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7E82A" w14:textId="2ADBEF40" w:rsidR="007661F0" w:rsidRPr="00CA46C7" w:rsidRDefault="007661F0" w:rsidP="00EA0376">
      <w:pPr>
        <w:jc w:val="center"/>
        <w:rPr>
          <w:b/>
          <w:bCs/>
          <w:iCs/>
          <w:szCs w:val="22"/>
          <w:u w:val="single"/>
          <w:lang w:val="sr-Latn-CS"/>
        </w:rPr>
      </w:pPr>
      <w:r w:rsidRPr="00CA46C7">
        <w:rPr>
          <w:b/>
          <w:bCs/>
          <w:iCs/>
          <w:szCs w:val="22"/>
          <w:u w:val="single"/>
          <w:lang w:val="sr-Latn-CS"/>
        </w:rPr>
        <w:t>SAŽETAK KARAKTERISTIKA L</w:t>
      </w:r>
      <w:r w:rsidR="00C31616" w:rsidRPr="00CA46C7">
        <w:rPr>
          <w:b/>
          <w:bCs/>
          <w:iCs/>
          <w:szCs w:val="22"/>
          <w:u w:val="single"/>
          <w:lang w:val="sr-Latn-CS"/>
        </w:rPr>
        <w:t>IJ</w:t>
      </w:r>
      <w:r w:rsidRPr="00CA46C7">
        <w:rPr>
          <w:b/>
          <w:bCs/>
          <w:iCs/>
          <w:szCs w:val="22"/>
          <w:u w:val="single"/>
          <w:lang w:val="sr-Latn-CS"/>
        </w:rPr>
        <w:t>EKA</w:t>
      </w:r>
    </w:p>
    <w:p w14:paraId="25F7E82C" w14:textId="27946A49" w:rsidR="007661F0" w:rsidRDefault="007661F0" w:rsidP="00EA0376">
      <w:pPr>
        <w:rPr>
          <w:szCs w:val="22"/>
          <w:lang w:val="sr-Latn-CS"/>
        </w:rPr>
      </w:pPr>
      <w:r w:rsidRPr="00CA46C7">
        <w:rPr>
          <w:szCs w:val="22"/>
          <w:lang w:val="sr-Latn-CS"/>
        </w:rPr>
        <w:t xml:space="preserve"> </w:t>
      </w:r>
    </w:p>
    <w:p w14:paraId="03BE4B2A" w14:textId="77777777" w:rsidR="00EA0376" w:rsidRPr="00CA46C7" w:rsidRDefault="00EA0376" w:rsidP="00EA0376">
      <w:pPr>
        <w:rPr>
          <w:szCs w:val="22"/>
          <w:lang w:val="sr-Latn-CS"/>
        </w:rPr>
      </w:pPr>
    </w:p>
    <w:p w14:paraId="25F7E82D" w14:textId="7F98BA90" w:rsidR="007661F0" w:rsidRDefault="007661F0" w:rsidP="00EA0376">
      <w:pPr>
        <w:pStyle w:val="NASLOV123"/>
        <w:spacing w:before="0" w:after="0"/>
        <w:jc w:val="both"/>
        <w:rPr>
          <w:lang w:val="sr-Latn-CS"/>
        </w:rPr>
      </w:pPr>
      <w:r w:rsidRPr="00CA46C7">
        <w:rPr>
          <w:lang w:val="sr-Latn-CS"/>
        </w:rPr>
        <w:t xml:space="preserve">1. </w:t>
      </w:r>
      <w:r w:rsidR="00C31616" w:rsidRPr="00CA46C7">
        <w:rPr>
          <w:lang w:val="sr-Latn-CS"/>
        </w:rPr>
        <w:t>NAZIV</w:t>
      </w:r>
      <w:r w:rsidRPr="00CA46C7">
        <w:rPr>
          <w:lang w:val="sr-Latn-CS"/>
        </w:rPr>
        <w:t xml:space="preserve"> L</w:t>
      </w:r>
      <w:r w:rsidR="00C31616" w:rsidRPr="00CA46C7">
        <w:rPr>
          <w:lang w:val="sr-Latn-CS"/>
        </w:rPr>
        <w:t>IJ</w:t>
      </w:r>
      <w:r w:rsidRPr="00CA46C7">
        <w:rPr>
          <w:lang w:val="sr-Latn-CS"/>
        </w:rPr>
        <w:t>EKA</w:t>
      </w:r>
    </w:p>
    <w:p w14:paraId="213A14D5" w14:textId="77777777" w:rsidR="00EA0376" w:rsidRPr="00CA46C7" w:rsidRDefault="00EA0376" w:rsidP="00EA0376">
      <w:pPr>
        <w:pStyle w:val="NASLOV123"/>
        <w:spacing w:before="0" w:after="0"/>
        <w:jc w:val="both"/>
        <w:rPr>
          <w:lang w:val="sr-Latn-CS"/>
        </w:rPr>
      </w:pPr>
    </w:p>
    <w:p w14:paraId="25F7E82F" w14:textId="3D61C1E9" w:rsidR="007661F0" w:rsidRPr="00EA0376" w:rsidRDefault="007661F0" w:rsidP="00EA0376">
      <w:pPr>
        <w:rPr>
          <w:iCs/>
          <w:szCs w:val="22"/>
          <w:lang w:val="sr-Latn-ME"/>
        </w:rPr>
      </w:pPr>
      <w:r w:rsidRPr="00EA0376">
        <w:rPr>
          <w:iCs/>
          <w:szCs w:val="22"/>
          <w:lang w:val="sr-Latn-ME"/>
        </w:rPr>
        <w:t>D</w:t>
      </w:r>
      <w:r w:rsidR="001A6167" w:rsidRPr="00EA0376">
        <w:rPr>
          <w:iCs/>
          <w:szCs w:val="22"/>
          <w:lang w:val="sr-Latn-ME"/>
        </w:rPr>
        <w:t>exason</w:t>
      </w:r>
      <w:r w:rsidRPr="00EA0376">
        <w:rPr>
          <w:iCs/>
          <w:szCs w:val="22"/>
          <w:lang w:val="sr-Latn-ME"/>
        </w:rPr>
        <w:t>®</w:t>
      </w:r>
      <w:r w:rsidR="00C70FA0" w:rsidRPr="00EA0376">
        <w:rPr>
          <w:iCs/>
          <w:szCs w:val="22"/>
          <w:lang w:val="sr-Latn-ME"/>
        </w:rPr>
        <w:t xml:space="preserve">, </w:t>
      </w:r>
      <w:r w:rsidRPr="00EA0376">
        <w:rPr>
          <w:iCs/>
          <w:szCs w:val="22"/>
          <w:lang w:val="sr-Latn-ME"/>
        </w:rPr>
        <w:t xml:space="preserve">0,5 mg, tablete  </w:t>
      </w:r>
    </w:p>
    <w:p w14:paraId="2AF75F3E" w14:textId="77777777" w:rsidR="006126BD" w:rsidRPr="00CA46C7" w:rsidRDefault="006126BD" w:rsidP="00EA0376">
      <w:pPr>
        <w:rPr>
          <w:szCs w:val="22"/>
          <w:lang w:val="sr-Latn-CS"/>
        </w:rPr>
      </w:pPr>
    </w:p>
    <w:p w14:paraId="25F7E831" w14:textId="753F8780" w:rsidR="007661F0" w:rsidRDefault="007661F0" w:rsidP="00EA0376">
      <w:pPr>
        <w:rPr>
          <w:szCs w:val="22"/>
          <w:lang w:val="sr-Latn-CS"/>
        </w:rPr>
      </w:pPr>
      <w:r w:rsidRPr="00CA46C7">
        <w:rPr>
          <w:szCs w:val="22"/>
          <w:lang w:val="sr-Latn-CS"/>
        </w:rPr>
        <w:t>INN: deksametazon</w:t>
      </w:r>
    </w:p>
    <w:p w14:paraId="213E2147" w14:textId="77777777" w:rsidR="00EA0376" w:rsidRPr="00CA46C7" w:rsidRDefault="00EA0376" w:rsidP="00EA0376">
      <w:pPr>
        <w:rPr>
          <w:szCs w:val="22"/>
          <w:lang w:val="sr-Latn-CS"/>
        </w:rPr>
      </w:pPr>
    </w:p>
    <w:p w14:paraId="00F74A91" w14:textId="77777777" w:rsidR="00C764A2" w:rsidRPr="00CA46C7" w:rsidRDefault="00C764A2" w:rsidP="00EA0376">
      <w:pPr>
        <w:pStyle w:val="NASLOV123"/>
        <w:spacing w:before="0" w:after="0"/>
        <w:jc w:val="both"/>
        <w:rPr>
          <w:lang w:val="sr-Latn-CS"/>
        </w:rPr>
      </w:pPr>
    </w:p>
    <w:p w14:paraId="25F7E833" w14:textId="2494F13C" w:rsidR="007661F0" w:rsidRPr="00CA46C7" w:rsidRDefault="007661F0" w:rsidP="00EA0376">
      <w:pPr>
        <w:pStyle w:val="NASLOV123"/>
        <w:spacing w:before="0" w:after="0"/>
        <w:jc w:val="both"/>
        <w:rPr>
          <w:lang w:val="sr-Latn-CS"/>
        </w:rPr>
      </w:pPr>
      <w:r w:rsidRPr="00CA46C7">
        <w:rPr>
          <w:lang w:val="sr-Latn-CS"/>
        </w:rPr>
        <w:t>2. KVALITATIVNI I KVANTITATIVNI SASTAV</w:t>
      </w:r>
    </w:p>
    <w:p w14:paraId="24CBF392" w14:textId="77777777" w:rsidR="00EA0376" w:rsidRDefault="00EA0376" w:rsidP="00EA0376">
      <w:pPr>
        <w:pStyle w:val="Header"/>
        <w:tabs>
          <w:tab w:val="clear" w:pos="4536"/>
          <w:tab w:val="clear" w:pos="9072"/>
          <w:tab w:val="left" w:pos="284"/>
        </w:tabs>
        <w:rPr>
          <w:szCs w:val="22"/>
          <w:lang w:val="sr-Latn-CS"/>
        </w:rPr>
      </w:pPr>
    </w:p>
    <w:p w14:paraId="25F7E834" w14:textId="1DFD9864" w:rsidR="007661F0" w:rsidRPr="00CA46C7" w:rsidRDefault="00C70FA0" w:rsidP="00EA0376">
      <w:pPr>
        <w:pStyle w:val="Header"/>
        <w:tabs>
          <w:tab w:val="clear" w:pos="4536"/>
          <w:tab w:val="clear" w:pos="9072"/>
          <w:tab w:val="left" w:pos="284"/>
        </w:tabs>
        <w:rPr>
          <w:szCs w:val="22"/>
          <w:lang w:val="sr-Latn-CS"/>
        </w:rPr>
      </w:pPr>
      <w:r w:rsidRPr="00CA46C7">
        <w:rPr>
          <w:szCs w:val="22"/>
          <w:lang w:val="sr-Latn-CS"/>
        </w:rPr>
        <w:t>Jedna</w:t>
      </w:r>
      <w:r w:rsidR="007661F0" w:rsidRPr="00CA46C7">
        <w:rPr>
          <w:szCs w:val="22"/>
          <w:lang w:val="sr-Latn-CS"/>
        </w:rPr>
        <w:t xml:space="preserve"> tableta sadrži 0,5 mg deksametazona.</w:t>
      </w:r>
    </w:p>
    <w:p w14:paraId="25F7E835" w14:textId="77777777" w:rsidR="007661F0" w:rsidRPr="00CA46C7" w:rsidRDefault="007661F0" w:rsidP="00EA0376">
      <w:pPr>
        <w:pStyle w:val="Header"/>
        <w:tabs>
          <w:tab w:val="clear" w:pos="4536"/>
          <w:tab w:val="clear" w:pos="9072"/>
          <w:tab w:val="left" w:pos="284"/>
        </w:tabs>
        <w:rPr>
          <w:szCs w:val="22"/>
          <w:lang w:val="sr-Latn-CS"/>
        </w:rPr>
      </w:pPr>
    </w:p>
    <w:p w14:paraId="25F7E836" w14:textId="77777777" w:rsidR="007661F0" w:rsidRPr="00CA46C7" w:rsidRDefault="007661F0" w:rsidP="00EA0376">
      <w:pPr>
        <w:pStyle w:val="Header"/>
        <w:tabs>
          <w:tab w:val="clear" w:pos="4536"/>
          <w:tab w:val="clear" w:pos="9072"/>
          <w:tab w:val="left" w:pos="284"/>
        </w:tabs>
        <w:rPr>
          <w:szCs w:val="22"/>
          <w:lang w:val="sr-Latn-CS"/>
        </w:rPr>
      </w:pPr>
      <w:r w:rsidRPr="00CA46C7">
        <w:rPr>
          <w:szCs w:val="22"/>
          <w:lang w:val="sr-Latn-CS"/>
        </w:rPr>
        <w:t>Pomoćne supstnce sa potvrđenim dejstvom:</w:t>
      </w:r>
    </w:p>
    <w:p w14:paraId="25F7E837" w14:textId="0D8AC1E0" w:rsidR="007661F0" w:rsidRPr="00CA46C7" w:rsidRDefault="007661F0" w:rsidP="00EA0376">
      <w:pPr>
        <w:pStyle w:val="Header"/>
        <w:tabs>
          <w:tab w:val="clear" w:pos="4536"/>
          <w:tab w:val="clear" w:pos="9072"/>
          <w:tab w:val="left" w:pos="284"/>
        </w:tabs>
        <w:rPr>
          <w:szCs w:val="22"/>
          <w:lang w:val="sr-Latn-CS"/>
        </w:rPr>
      </w:pPr>
      <w:r w:rsidRPr="00CA46C7">
        <w:rPr>
          <w:szCs w:val="22"/>
          <w:lang w:val="sr-Latn-CS"/>
        </w:rPr>
        <w:t>1 tableta sadrži 142,41 mg laktoze, monohidrat i 9,09 mg glukoze,</w:t>
      </w:r>
      <w:r w:rsidR="00625FFC" w:rsidRPr="00CA46C7">
        <w:rPr>
          <w:szCs w:val="22"/>
          <w:lang w:val="sr-Latn-CS"/>
        </w:rPr>
        <w:t xml:space="preserve"> </w:t>
      </w:r>
      <w:r w:rsidR="001A6167" w:rsidRPr="00CA46C7">
        <w:rPr>
          <w:szCs w:val="22"/>
          <w:lang w:val="sr-Latn-CS"/>
        </w:rPr>
        <w:t>bezvodne</w:t>
      </w:r>
      <w:r w:rsidRPr="00CA46C7">
        <w:rPr>
          <w:szCs w:val="22"/>
          <w:lang w:val="sr-Latn-CS"/>
        </w:rPr>
        <w:t>.</w:t>
      </w:r>
    </w:p>
    <w:p w14:paraId="45EB08D6" w14:textId="77777777" w:rsidR="00C70FA0" w:rsidRPr="00CA46C7" w:rsidRDefault="00C70FA0" w:rsidP="00EA0376">
      <w:pPr>
        <w:rPr>
          <w:szCs w:val="22"/>
          <w:lang w:val="sr-Latn-CS"/>
        </w:rPr>
      </w:pPr>
    </w:p>
    <w:p w14:paraId="22A754B0" w14:textId="77777777" w:rsidR="00D21471" w:rsidRPr="00CA46C7" w:rsidRDefault="00D21471" w:rsidP="00EA0376">
      <w:pPr>
        <w:tabs>
          <w:tab w:val="clear" w:pos="284"/>
        </w:tabs>
        <w:jc w:val="left"/>
        <w:rPr>
          <w:szCs w:val="22"/>
          <w:lang w:val="sr-Latn-CS"/>
        </w:rPr>
      </w:pPr>
      <w:r w:rsidRPr="00CA46C7">
        <w:rPr>
          <w:szCs w:val="22"/>
          <w:lang w:val="sr-Latn-CS"/>
        </w:rPr>
        <w:t>Za spisak svih ekscipijenasa, pogledati dio 6.1.</w:t>
      </w:r>
    </w:p>
    <w:p w14:paraId="2930D5DD" w14:textId="63B4078F" w:rsidR="00C764A2" w:rsidRDefault="00C764A2" w:rsidP="00EA0376">
      <w:pPr>
        <w:pStyle w:val="NASLOV123"/>
        <w:spacing w:before="0" w:after="0"/>
        <w:jc w:val="both"/>
        <w:rPr>
          <w:lang w:val="sr-Latn-CS"/>
        </w:rPr>
      </w:pPr>
    </w:p>
    <w:p w14:paraId="0C92DE8E" w14:textId="77777777" w:rsidR="00EA0376" w:rsidRPr="00CA46C7" w:rsidRDefault="00EA0376" w:rsidP="00EA0376">
      <w:pPr>
        <w:pStyle w:val="NASLOV123"/>
        <w:spacing w:before="0" w:after="0"/>
        <w:jc w:val="both"/>
        <w:rPr>
          <w:lang w:val="sr-Latn-CS"/>
        </w:rPr>
      </w:pPr>
    </w:p>
    <w:p w14:paraId="25F7E83A" w14:textId="559E85A9" w:rsidR="007661F0" w:rsidRDefault="007661F0" w:rsidP="00EA0376">
      <w:pPr>
        <w:pStyle w:val="NASLOV123"/>
        <w:spacing w:before="0" w:after="0"/>
        <w:jc w:val="both"/>
        <w:rPr>
          <w:lang w:val="sr-Latn-CS"/>
        </w:rPr>
      </w:pPr>
      <w:r w:rsidRPr="00CA46C7">
        <w:rPr>
          <w:lang w:val="sr-Latn-CS"/>
        </w:rPr>
        <w:t>3. FARMACEUTSKI OBLIK</w:t>
      </w:r>
    </w:p>
    <w:p w14:paraId="3D7A8F9E" w14:textId="77777777" w:rsidR="00EA0376" w:rsidRPr="00CA46C7" w:rsidRDefault="00EA0376" w:rsidP="00EA0376">
      <w:pPr>
        <w:pStyle w:val="NASLOV123"/>
        <w:spacing w:before="0" w:after="0"/>
        <w:jc w:val="both"/>
        <w:rPr>
          <w:lang w:val="sr-Latn-CS"/>
        </w:rPr>
      </w:pPr>
    </w:p>
    <w:p w14:paraId="25F7E83B" w14:textId="1997EEFC" w:rsidR="007661F0" w:rsidRPr="00CA46C7" w:rsidRDefault="00C70FA0" w:rsidP="00EA0376">
      <w:pPr>
        <w:rPr>
          <w:szCs w:val="22"/>
          <w:lang w:val="sr-Latn-CS"/>
        </w:rPr>
      </w:pPr>
      <w:r w:rsidRPr="00CA46C7">
        <w:rPr>
          <w:szCs w:val="22"/>
          <w:lang w:val="sr-Latn-CS"/>
        </w:rPr>
        <w:t>T</w:t>
      </w:r>
      <w:r w:rsidR="007661F0" w:rsidRPr="00CA46C7">
        <w:rPr>
          <w:szCs w:val="22"/>
          <w:lang w:val="sr-Latn-CS"/>
        </w:rPr>
        <w:t>ablet</w:t>
      </w:r>
      <w:r w:rsidRPr="00CA46C7">
        <w:rPr>
          <w:szCs w:val="22"/>
          <w:lang w:val="sr-Latn-CS"/>
        </w:rPr>
        <w:t>a</w:t>
      </w:r>
      <w:r w:rsidR="006126BD" w:rsidRPr="00CA46C7">
        <w:rPr>
          <w:szCs w:val="22"/>
          <w:lang w:val="sr-Latn-CS"/>
        </w:rPr>
        <w:t>.</w:t>
      </w:r>
    </w:p>
    <w:p w14:paraId="25F7E83C" w14:textId="77777777" w:rsidR="007661F0" w:rsidRPr="00CA46C7" w:rsidRDefault="007661F0" w:rsidP="00EA0376">
      <w:pPr>
        <w:rPr>
          <w:szCs w:val="22"/>
          <w:lang w:val="sr-Latn-CS"/>
        </w:rPr>
      </w:pPr>
    </w:p>
    <w:p w14:paraId="25F7E83F" w14:textId="7D11173A" w:rsidR="007661F0" w:rsidRPr="00CA46C7" w:rsidRDefault="007661F0" w:rsidP="00EA0376">
      <w:pPr>
        <w:pStyle w:val="Header"/>
        <w:tabs>
          <w:tab w:val="left" w:pos="284"/>
        </w:tabs>
        <w:rPr>
          <w:szCs w:val="22"/>
          <w:lang w:val="sr-Latn-CS"/>
        </w:rPr>
      </w:pPr>
      <w:r w:rsidRPr="00CA46C7">
        <w:rPr>
          <w:szCs w:val="22"/>
          <w:lang w:val="sr-Latn-CS"/>
        </w:rPr>
        <w:t>Okrugle tablete ravnih površina, b</w:t>
      </w:r>
      <w:r w:rsidR="00C31616" w:rsidRPr="00CA46C7">
        <w:rPr>
          <w:szCs w:val="22"/>
          <w:lang w:val="sr-Latn-CS"/>
        </w:rPr>
        <w:t>ij</w:t>
      </w:r>
      <w:r w:rsidRPr="00CA46C7">
        <w:rPr>
          <w:szCs w:val="22"/>
          <w:lang w:val="sr-Latn-CS"/>
        </w:rPr>
        <w:t>ele do skoro b</w:t>
      </w:r>
      <w:r w:rsidR="00C31616" w:rsidRPr="00CA46C7">
        <w:rPr>
          <w:szCs w:val="22"/>
          <w:lang w:val="sr-Latn-CS"/>
        </w:rPr>
        <w:t>ij</w:t>
      </w:r>
      <w:r w:rsidRPr="00CA46C7">
        <w:rPr>
          <w:szCs w:val="22"/>
          <w:lang w:val="sr-Latn-CS"/>
        </w:rPr>
        <w:t>ele boje, sa naznačenom pod</w:t>
      </w:r>
      <w:r w:rsidR="00C31616" w:rsidRPr="00CA46C7">
        <w:rPr>
          <w:szCs w:val="22"/>
          <w:lang w:val="sr-Latn-CS"/>
        </w:rPr>
        <w:t>i</w:t>
      </w:r>
      <w:r w:rsidRPr="00CA46C7">
        <w:rPr>
          <w:szCs w:val="22"/>
          <w:lang w:val="sr-Latn-CS"/>
        </w:rPr>
        <w:t>onom linijom na jednoj strani.</w:t>
      </w:r>
      <w:r w:rsidR="00C31616" w:rsidRPr="00CA46C7">
        <w:rPr>
          <w:szCs w:val="22"/>
          <w:lang w:val="sr-Latn-CS"/>
        </w:rPr>
        <w:t xml:space="preserve"> </w:t>
      </w:r>
      <w:r w:rsidRPr="00CA46C7">
        <w:rPr>
          <w:szCs w:val="22"/>
          <w:lang w:val="sr-Latn-CS"/>
        </w:rPr>
        <w:t>Pod</w:t>
      </w:r>
      <w:r w:rsidR="00C31616" w:rsidRPr="00CA46C7">
        <w:rPr>
          <w:szCs w:val="22"/>
          <w:lang w:val="sr-Latn-CS"/>
        </w:rPr>
        <w:t>i</w:t>
      </w:r>
      <w:r w:rsidRPr="00CA46C7">
        <w:rPr>
          <w:szCs w:val="22"/>
          <w:lang w:val="sr-Latn-CS"/>
        </w:rPr>
        <w:t>ona linija nije nam</w:t>
      </w:r>
      <w:r w:rsidR="00C31616" w:rsidRPr="00CA46C7">
        <w:rPr>
          <w:szCs w:val="22"/>
          <w:lang w:val="sr-Latn-CS"/>
        </w:rPr>
        <w:t>ij</w:t>
      </w:r>
      <w:r w:rsidRPr="00CA46C7">
        <w:rPr>
          <w:szCs w:val="22"/>
          <w:lang w:val="sr-Latn-CS"/>
        </w:rPr>
        <w:t>enjena za lomljenje tablete.</w:t>
      </w:r>
    </w:p>
    <w:p w14:paraId="13B51903" w14:textId="2D3C306D" w:rsidR="00C764A2" w:rsidRDefault="00C764A2" w:rsidP="00EA0376">
      <w:pPr>
        <w:pStyle w:val="Header"/>
        <w:tabs>
          <w:tab w:val="left" w:pos="284"/>
        </w:tabs>
        <w:rPr>
          <w:szCs w:val="22"/>
          <w:lang w:val="sr-Latn-CS"/>
        </w:rPr>
      </w:pPr>
    </w:p>
    <w:p w14:paraId="791A9D09" w14:textId="77777777" w:rsidR="00EA0376" w:rsidRPr="00CA46C7" w:rsidRDefault="00EA0376" w:rsidP="00EA0376">
      <w:pPr>
        <w:pStyle w:val="Header"/>
        <w:tabs>
          <w:tab w:val="left" w:pos="284"/>
        </w:tabs>
        <w:rPr>
          <w:szCs w:val="22"/>
          <w:lang w:val="sr-Latn-CS"/>
        </w:rPr>
      </w:pPr>
    </w:p>
    <w:p w14:paraId="25F7E841" w14:textId="5B2248EC" w:rsidR="007661F0" w:rsidRDefault="007661F0" w:rsidP="00EA0376">
      <w:pPr>
        <w:pStyle w:val="NASLOV123"/>
        <w:spacing w:before="0" w:after="0"/>
        <w:jc w:val="both"/>
        <w:rPr>
          <w:lang w:val="sr-Latn-CS"/>
        </w:rPr>
      </w:pPr>
      <w:r w:rsidRPr="00CA46C7">
        <w:rPr>
          <w:lang w:val="sr-Latn-CS"/>
        </w:rPr>
        <w:t>4. KLINIČKI PODACI</w:t>
      </w:r>
    </w:p>
    <w:p w14:paraId="4D546C16" w14:textId="77777777" w:rsidR="00EA0376" w:rsidRPr="00CA46C7" w:rsidRDefault="00EA0376" w:rsidP="00EA0376">
      <w:pPr>
        <w:pStyle w:val="NASLOV123"/>
        <w:spacing w:before="0" w:after="0"/>
        <w:jc w:val="both"/>
        <w:rPr>
          <w:lang w:val="sr-Latn-CS"/>
        </w:rPr>
      </w:pPr>
    </w:p>
    <w:p w14:paraId="25F7E842" w14:textId="1245D114" w:rsidR="007661F0" w:rsidRDefault="007661F0" w:rsidP="00EA0376">
      <w:pPr>
        <w:rPr>
          <w:b/>
          <w:bCs/>
          <w:szCs w:val="22"/>
          <w:lang w:val="sr-Latn-CS"/>
        </w:rPr>
      </w:pPr>
      <w:r w:rsidRPr="00CA46C7">
        <w:rPr>
          <w:b/>
          <w:bCs/>
          <w:szCs w:val="22"/>
          <w:lang w:val="sr-Latn-CS"/>
        </w:rPr>
        <w:t>4.1. Terapijske indikacije</w:t>
      </w:r>
    </w:p>
    <w:p w14:paraId="1B72AC7B" w14:textId="77777777" w:rsidR="00185C48" w:rsidRPr="00CA46C7" w:rsidRDefault="00185C48" w:rsidP="00EA0376">
      <w:pPr>
        <w:rPr>
          <w:b/>
          <w:bCs/>
          <w:szCs w:val="22"/>
          <w:lang w:val="sr-Latn-CS"/>
        </w:rPr>
      </w:pPr>
    </w:p>
    <w:p w14:paraId="25F7E843" w14:textId="083C384A" w:rsidR="007661F0" w:rsidRPr="005C187F" w:rsidRDefault="007661F0" w:rsidP="00EA0376">
      <w:pPr>
        <w:pStyle w:val="Header"/>
        <w:tabs>
          <w:tab w:val="clear" w:pos="4536"/>
          <w:tab w:val="clear" w:pos="9072"/>
          <w:tab w:val="left" w:pos="284"/>
        </w:tabs>
        <w:rPr>
          <w:szCs w:val="22"/>
          <w:lang w:val="sr-Latn-CS"/>
        </w:rPr>
      </w:pPr>
      <w:r w:rsidRPr="005C187F">
        <w:rPr>
          <w:szCs w:val="22"/>
          <w:lang w:val="sr-Latn-CS"/>
        </w:rPr>
        <w:t>L</w:t>
      </w:r>
      <w:r w:rsidR="00C31616" w:rsidRPr="005C187F">
        <w:rPr>
          <w:szCs w:val="22"/>
          <w:lang w:val="sr-Latn-CS"/>
        </w:rPr>
        <w:t>ij</w:t>
      </w:r>
      <w:r w:rsidRPr="005C187F">
        <w:rPr>
          <w:szCs w:val="22"/>
          <w:lang w:val="sr-Latn-CS"/>
        </w:rPr>
        <w:t>ek Dexason se koristi za l</w:t>
      </w:r>
      <w:r w:rsidR="00C31616" w:rsidRPr="005C187F">
        <w:rPr>
          <w:szCs w:val="22"/>
          <w:lang w:val="sr-Latn-CS"/>
        </w:rPr>
        <w:t>ij</w:t>
      </w:r>
      <w:r w:rsidRPr="005C187F">
        <w:rPr>
          <w:szCs w:val="22"/>
          <w:lang w:val="sr-Latn-CS"/>
        </w:rPr>
        <w:t>ečenje različitih inflamatornih i autoimunih oboljenja, npr:</w:t>
      </w:r>
    </w:p>
    <w:p w14:paraId="25F7E844" w14:textId="77777777" w:rsidR="007661F0" w:rsidRPr="005C187F" w:rsidRDefault="007661F0" w:rsidP="00EA0376">
      <w:pPr>
        <w:pStyle w:val="Header"/>
        <w:numPr>
          <w:ilvl w:val="0"/>
          <w:numId w:val="4"/>
        </w:numPr>
        <w:tabs>
          <w:tab w:val="clear" w:pos="4536"/>
          <w:tab w:val="clear" w:pos="9072"/>
          <w:tab w:val="left" w:pos="284"/>
        </w:tabs>
        <w:rPr>
          <w:szCs w:val="22"/>
          <w:lang w:val="sr-Latn-CS"/>
        </w:rPr>
      </w:pPr>
      <w:r w:rsidRPr="005C187F">
        <w:rPr>
          <w:b/>
          <w:szCs w:val="22"/>
          <w:lang w:val="sr-Latn-CS"/>
        </w:rPr>
        <w:t>Reumatizam</w:t>
      </w:r>
      <w:r w:rsidRPr="005C187F">
        <w:rPr>
          <w:szCs w:val="22"/>
          <w:lang w:val="sr-Latn-CS"/>
        </w:rPr>
        <w:t xml:space="preserve"> – bol, ukočenost ili ograničena pokretljivost, naročito u zglobovima i okolnim strukturama, uključujući mišiće, burze, tetive i fibrozno tkivo;</w:t>
      </w:r>
    </w:p>
    <w:p w14:paraId="25F7E845" w14:textId="77777777" w:rsidR="007661F0" w:rsidRPr="005C187F" w:rsidRDefault="007661F0" w:rsidP="00EA0376">
      <w:pPr>
        <w:pStyle w:val="Header"/>
        <w:numPr>
          <w:ilvl w:val="0"/>
          <w:numId w:val="4"/>
        </w:numPr>
        <w:tabs>
          <w:tab w:val="clear" w:pos="4536"/>
          <w:tab w:val="clear" w:pos="9072"/>
          <w:tab w:val="left" w:pos="284"/>
        </w:tabs>
        <w:rPr>
          <w:szCs w:val="22"/>
          <w:lang w:val="sr-Latn-CS"/>
        </w:rPr>
      </w:pPr>
      <w:r w:rsidRPr="005C187F">
        <w:rPr>
          <w:b/>
          <w:szCs w:val="22"/>
          <w:lang w:val="sr-Latn-CS"/>
        </w:rPr>
        <w:t>Kolagenoze (bolesti vezivnog tkiva)</w:t>
      </w:r>
      <w:r w:rsidRPr="005C187F">
        <w:rPr>
          <w:szCs w:val="22"/>
          <w:lang w:val="sr-Latn-CS"/>
        </w:rPr>
        <w:t xml:space="preserve"> – lupus eritematozus, dermatomiozitis, poliarteritis nodoza, trombocitopenijska purpura i reumatoidni artritis;</w:t>
      </w:r>
    </w:p>
    <w:p w14:paraId="25F7E846" w14:textId="6D246C89" w:rsidR="007661F0" w:rsidRPr="005C187F" w:rsidRDefault="007661F0" w:rsidP="00EA0376">
      <w:pPr>
        <w:pStyle w:val="Header"/>
        <w:numPr>
          <w:ilvl w:val="0"/>
          <w:numId w:val="4"/>
        </w:numPr>
        <w:tabs>
          <w:tab w:val="clear" w:pos="4536"/>
          <w:tab w:val="clear" w:pos="9072"/>
          <w:tab w:val="left" w:pos="284"/>
        </w:tabs>
        <w:rPr>
          <w:szCs w:val="22"/>
          <w:lang w:val="sr-Latn-CS"/>
        </w:rPr>
      </w:pPr>
      <w:r w:rsidRPr="005C187F">
        <w:rPr>
          <w:b/>
          <w:szCs w:val="22"/>
          <w:lang w:val="sr-Latn-CS"/>
        </w:rPr>
        <w:t>Alergije</w:t>
      </w:r>
      <w:r w:rsidRPr="005C187F">
        <w:rPr>
          <w:szCs w:val="22"/>
          <w:lang w:val="sr-Latn-CS"/>
        </w:rPr>
        <w:t xml:space="preserve"> – status astmatikus, bronhijalna astma, kontaktni dermatitis, zapaljenski procesi u oku i adneksima oka, teške reakcije preos</w:t>
      </w:r>
      <w:r w:rsidR="00C31616" w:rsidRPr="005C187F">
        <w:rPr>
          <w:szCs w:val="22"/>
          <w:lang w:val="sr-Latn-CS"/>
        </w:rPr>
        <w:t>j</w:t>
      </w:r>
      <w:r w:rsidRPr="005C187F">
        <w:rPr>
          <w:szCs w:val="22"/>
          <w:lang w:val="sr-Latn-CS"/>
        </w:rPr>
        <w:t>etljivosti na l</w:t>
      </w:r>
      <w:r w:rsidR="00C31616" w:rsidRPr="005C187F">
        <w:rPr>
          <w:szCs w:val="22"/>
          <w:lang w:val="sr-Latn-CS"/>
        </w:rPr>
        <w:t>j</w:t>
      </w:r>
      <w:r w:rsidRPr="005C187F">
        <w:rPr>
          <w:szCs w:val="22"/>
          <w:lang w:val="sr-Latn-CS"/>
        </w:rPr>
        <w:t>ekove ili ujed insekta, anafilaktički šok, pr</w:t>
      </w:r>
      <w:r w:rsidR="00F91C82" w:rsidRPr="005C187F">
        <w:rPr>
          <w:szCs w:val="22"/>
          <w:lang w:val="sr-Latn-CS"/>
        </w:rPr>
        <w:t>ij</w:t>
      </w:r>
      <w:r w:rsidRPr="005C187F">
        <w:rPr>
          <w:szCs w:val="22"/>
          <w:lang w:val="sr-Latn-CS"/>
        </w:rPr>
        <w:t>eteće odbacivanje alografta;</w:t>
      </w:r>
    </w:p>
    <w:p w14:paraId="25F7E847" w14:textId="77777777" w:rsidR="007661F0" w:rsidRPr="005C187F" w:rsidRDefault="007661F0" w:rsidP="00EA0376">
      <w:pPr>
        <w:pStyle w:val="Header"/>
        <w:numPr>
          <w:ilvl w:val="0"/>
          <w:numId w:val="4"/>
        </w:numPr>
        <w:tabs>
          <w:tab w:val="clear" w:pos="4536"/>
          <w:tab w:val="clear" w:pos="9072"/>
          <w:tab w:val="left" w:pos="284"/>
        </w:tabs>
        <w:rPr>
          <w:szCs w:val="22"/>
          <w:lang w:val="sr-Latn-CS"/>
        </w:rPr>
      </w:pPr>
      <w:r w:rsidRPr="005C187F">
        <w:rPr>
          <w:b/>
          <w:szCs w:val="22"/>
          <w:lang w:val="sr-Latn-CS"/>
        </w:rPr>
        <w:t>Primarna ili sekundarna adrenokortikalna insuficijencija ili adrenogenitalni sindrom</w:t>
      </w:r>
      <w:r w:rsidRPr="005C187F">
        <w:rPr>
          <w:szCs w:val="22"/>
          <w:lang w:val="sr-Latn-CS"/>
        </w:rPr>
        <w:t xml:space="preserve">. </w:t>
      </w:r>
    </w:p>
    <w:p w14:paraId="25F7E848" w14:textId="77777777" w:rsidR="007661F0" w:rsidRPr="00CA46C7" w:rsidRDefault="007661F0" w:rsidP="00EA0376">
      <w:pPr>
        <w:rPr>
          <w:szCs w:val="22"/>
          <w:lang w:val="sr-Latn-CS"/>
        </w:rPr>
      </w:pPr>
    </w:p>
    <w:p w14:paraId="25F7E849" w14:textId="0F274D74" w:rsidR="007661F0" w:rsidRPr="00CA46C7" w:rsidRDefault="007661F0" w:rsidP="00EA0376">
      <w:pPr>
        <w:rPr>
          <w:szCs w:val="22"/>
          <w:lang w:val="sr-Latn-CS"/>
        </w:rPr>
      </w:pPr>
      <w:r w:rsidRPr="00CA46C7">
        <w:rPr>
          <w:szCs w:val="22"/>
          <w:lang w:val="sr-Latn-CS"/>
        </w:rPr>
        <w:t>L</w:t>
      </w:r>
      <w:r w:rsidR="00C31616" w:rsidRPr="00CA46C7">
        <w:rPr>
          <w:szCs w:val="22"/>
          <w:lang w:val="sr-Latn-CS"/>
        </w:rPr>
        <w:t>ij</w:t>
      </w:r>
      <w:r w:rsidRPr="00CA46C7">
        <w:rPr>
          <w:szCs w:val="22"/>
          <w:lang w:val="sr-Latn-CS"/>
        </w:rPr>
        <w:t xml:space="preserve">ek Dexason se koristi i kao dodatna terapija u kontroli </w:t>
      </w:r>
      <w:r w:rsidRPr="00CA46C7">
        <w:rPr>
          <w:b/>
          <w:szCs w:val="22"/>
          <w:lang w:val="sr-Latn-CS"/>
        </w:rPr>
        <w:t>cerebralnog edema</w:t>
      </w:r>
      <w:r w:rsidRPr="00CA46C7">
        <w:rPr>
          <w:szCs w:val="22"/>
          <w:lang w:val="sr-Latn-CS"/>
        </w:rPr>
        <w:t xml:space="preserve"> (ne koristi se u slučajevima kada je edem posl</w:t>
      </w:r>
      <w:r w:rsidR="00C31616" w:rsidRPr="00CA46C7">
        <w:rPr>
          <w:szCs w:val="22"/>
          <w:lang w:val="sr-Latn-CS"/>
        </w:rPr>
        <w:t>j</w:t>
      </w:r>
      <w:r w:rsidRPr="00CA46C7">
        <w:rPr>
          <w:szCs w:val="22"/>
          <w:lang w:val="sr-Latn-CS"/>
        </w:rPr>
        <w:t>edica povrede glave), za l</w:t>
      </w:r>
      <w:r w:rsidR="00C31616" w:rsidRPr="00CA46C7">
        <w:rPr>
          <w:szCs w:val="22"/>
          <w:lang w:val="sr-Latn-CS"/>
        </w:rPr>
        <w:t>ij</w:t>
      </w:r>
      <w:r w:rsidRPr="00CA46C7">
        <w:rPr>
          <w:szCs w:val="22"/>
          <w:lang w:val="sr-Latn-CS"/>
        </w:rPr>
        <w:t xml:space="preserve">ečenje </w:t>
      </w:r>
      <w:r w:rsidRPr="00CA46C7">
        <w:rPr>
          <w:b/>
          <w:szCs w:val="22"/>
          <w:lang w:val="sr-Latn-CS"/>
        </w:rPr>
        <w:t>limfocitne leukemije</w:t>
      </w:r>
      <w:r w:rsidRPr="00CA46C7">
        <w:rPr>
          <w:szCs w:val="22"/>
          <w:lang w:val="sr-Latn-CS"/>
        </w:rPr>
        <w:t xml:space="preserve">, kao </w:t>
      </w:r>
      <w:r w:rsidRPr="00CA46C7">
        <w:rPr>
          <w:b/>
          <w:szCs w:val="22"/>
          <w:lang w:val="sr-Latn-CS"/>
        </w:rPr>
        <w:t>antiemetik</w:t>
      </w:r>
      <w:r w:rsidRPr="00CA46C7">
        <w:rPr>
          <w:szCs w:val="22"/>
          <w:lang w:val="sr-Latn-CS"/>
        </w:rPr>
        <w:t xml:space="preserve"> u različitim hemioterapijskim protokolima i u palijativnom zbrinjavanju pacijenata u terminalnim stadijumima </w:t>
      </w:r>
      <w:r w:rsidRPr="00CA46C7">
        <w:rPr>
          <w:b/>
          <w:szCs w:val="22"/>
          <w:lang w:val="sr-Latn-CS"/>
        </w:rPr>
        <w:t>malignih oboljenja.</w:t>
      </w:r>
      <w:r w:rsidRPr="00CA46C7">
        <w:rPr>
          <w:szCs w:val="22"/>
          <w:lang w:val="sr-Latn-CS"/>
        </w:rPr>
        <w:t xml:space="preserve"> </w:t>
      </w:r>
    </w:p>
    <w:p w14:paraId="428300B9" w14:textId="3EAEE236" w:rsidR="00153EB8" w:rsidRPr="00CA46C7" w:rsidRDefault="00153EB8" w:rsidP="00EA0376">
      <w:pPr>
        <w:rPr>
          <w:szCs w:val="22"/>
          <w:lang w:val="sr-Latn-CS"/>
        </w:rPr>
      </w:pPr>
    </w:p>
    <w:p w14:paraId="0ECCED48" w14:textId="299C2A83" w:rsidR="00153EB8" w:rsidRPr="00CA46C7" w:rsidRDefault="00153EB8" w:rsidP="00EA0376">
      <w:pPr>
        <w:rPr>
          <w:szCs w:val="22"/>
          <w:lang w:val="sr-Latn-CS"/>
        </w:rPr>
      </w:pPr>
      <w:r w:rsidRPr="00CA46C7">
        <w:rPr>
          <w:szCs w:val="22"/>
          <w:lang w:val="sr-Latn-CS"/>
        </w:rPr>
        <w:t>Deksametazon je indikovan za l</w:t>
      </w:r>
      <w:r w:rsidR="00C31616" w:rsidRPr="00CA46C7">
        <w:rPr>
          <w:szCs w:val="22"/>
          <w:lang w:val="sr-Latn-CS"/>
        </w:rPr>
        <w:t>ij</w:t>
      </w:r>
      <w:r w:rsidRPr="00CA46C7">
        <w:rPr>
          <w:szCs w:val="22"/>
          <w:lang w:val="sr-Latn-CS"/>
        </w:rPr>
        <w:t xml:space="preserve">ečenje </w:t>
      </w:r>
      <w:r w:rsidR="00023A56" w:rsidRPr="00CA46C7">
        <w:rPr>
          <w:szCs w:val="22"/>
          <w:lang w:val="sr-Latn-CS"/>
        </w:rPr>
        <w:t>koronavirusne bolesti 2019 (</w:t>
      </w:r>
      <w:r w:rsidRPr="00CA46C7">
        <w:rPr>
          <w:szCs w:val="22"/>
          <w:lang w:val="sr-Latn-CS"/>
        </w:rPr>
        <w:t>COVID-19</w:t>
      </w:r>
      <w:r w:rsidR="00023A56" w:rsidRPr="00CA46C7">
        <w:rPr>
          <w:szCs w:val="22"/>
          <w:lang w:val="sr-Latn-CS"/>
        </w:rPr>
        <w:t>)</w:t>
      </w:r>
      <w:r w:rsidRPr="00CA46C7">
        <w:rPr>
          <w:szCs w:val="22"/>
          <w:lang w:val="sr-Latn-CS"/>
        </w:rPr>
        <w:t xml:space="preserve"> kod odraslih pacijenata i adolescenata (uzrasta 12 godina i starijih, sa t</w:t>
      </w:r>
      <w:r w:rsidR="00C31616" w:rsidRPr="00CA46C7">
        <w:rPr>
          <w:szCs w:val="22"/>
          <w:lang w:val="sr-Latn-CS"/>
        </w:rPr>
        <w:t>j</w:t>
      </w:r>
      <w:r w:rsidRPr="00CA46C7">
        <w:rPr>
          <w:szCs w:val="22"/>
          <w:lang w:val="sr-Latn-CS"/>
        </w:rPr>
        <w:t xml:space="preserve">elesnom masom od najmanje 40 kg), kod kojih je </w:t>
      </w:r>
      <w:r w:rsidR="00023A56" w:rsidRPr="00CA46C7">
        <w:rPr>
          <w:szCs w:val="22"/>
          <w:lang w:val="sr-Latn-CS"/>
        </w:rPr>
        <w:t>potrebna dodatna terapija kiseonikom</w:t>
      </w:r>
      <w:r w:rsidRPr="00CA46C7">
        <w:rPr>
          <w:szCs w:val="22"/>
          <w:lang w:val="sr-Latn-CS"/>
        </w:rPr>
        <w:t>.</w:t>
      </w:r>
    </w:p>
    <w:p w14:paraId="08F5D008" w14:textId="58A0F147" w:rsidR="00023A56" w:rsidRPr="00CA46C7" w:rsidRDefault="00023A56" w:rsidP="00EA0376">
      <w:pPr>
        <w:rPr>
          <w:szCs w:val="22"/>
          <w:lang w:val="sr-Latn-CS"/>
        </w:rPr>
      </w:pPr>
    </w:p>
    <w:p w14:paraId="25F7E84B" w14:textId="71CAA8B1" w:rsidR="007661F0" w:rsidRPr="00CA46C7" w:rsidRDefault="007661F0" w:rsidP="00EA0376">
      <w:pPr>
        <w:rPr>
          <w:b/>
          <w:bCs/>
          <w:szCs w:val="22"/>
          <w:lang w:val="sr-Latn-CS"/>
        </w:rPr>
      </w:pPr>
      <w:r w:rsidRPr="00CA46C7">
        <w:rPr>
          <w:b/>
          <w:bCs/>
          <w:szCs w:val="22"/>
          <w:lang w:val="sr-Latn-CS"/>
        </w:rPr>
        <w:t>4.2. Doziranje i način prim</w:t>
      </w:r>
      <w:r w:rsidR="00C31616" w:rsidRPr="00CA46C7">
        <w:rPr>
          <w:b/>
          <w:bCs/>
          <w:szCs w:val="22"/>
          <w:lang w:val="sr-Latn-CS"/>
        </w:rPr>
        <w:t>j</w:t>
      </w:r>
      <w:r w:rsidRPr="00CA46C7">
        <w:rPr>
          <w:b/>
          <w:bCs/>
          <w:szCs w:val="22"/>
          <w:lang w:val="sr-Latn-CS"/>
        </w:rPr>
        <w:t>ene</w:t>
      </w:r>
    </w:p>
    <w:p w14:paraId="5A8786D6" w14:textId="7836B7A0" w:rsidR="00023A56" w:rsidRPr="00CA46C7" w:rsidRDefault="00023A56" w:rsidP="00EA0376">
      <w:pPr>
        <w:rPr>
          <w:b/>
          <w:bCs/>
          <w:szCs w:val="22"/>
          <w:lang w:val="sr-Latn-CS"/>
        </w:rPr>
      </w:pPr>
    </w:p>
    <w:p w14:paraId="662F709B" w14:textId="06B681FE" w:rsidR="00023A56" w:rsidRPr="00CA46C7" w:rsidRDefault="00023A56" w:rsidP="00EA0376">
      <w:pPr>
        <w:rPr>
          <w:bCs/>
          <w:szCs w:val="22"/>
          <w:u w:val="single"/>
          <w:lang w:val="sr-Latn-RS"/>
        </w:rPr>
      </w:pPr>
      <w:r w:rsidRPr="00CA46C7">
        <w:rPr>
          <w:bCs/>
          <w:szCs w:val="22"/>
          <w:u w:val="single"/>
          <w:lang w:val="sr-Latn-RS"/>
        </w:rPr>
        <w:t>Način prim</w:t>
      </w:r>
      <w:r w:rsidR="00C31616" w:rsidRPr="00CA46C7">
        <w:rPr>
          <w:bCs/>
          <w:szCs w:val="22"/>
          <w:u w:val="single"/>
          <w:lang w:val="sr-Latn-RS"/>
        </w:rPr>
        <w:t>j</w:t>
      </w:r>
      <w:r w:rsidRPr="00CA46C7">
        <w:rPr>
          <w:bCs/>
          <w:szCs w:val="22"/>
          <w:u w:val="single"/>
          <w:lang w:val="sr-Latn-RS"/>
        </w:rPr>
        <w:t>ene</w:t>
      </w:r>
    </w:p>
    <w:p w14:paraId="25F7E84C" w14:textId="77777777" w:rsidR="007661F0" w:rsidRPr="00CA46C7" w:rsidRDefault="007661F0" w:rsidP="00EA0376">
      <w:pPr>
        <w:rPr>
          <w:szCs w:val="22"/>
          <w:lang w:val="sr-Latn-CS"/>
        </w:rPr>
      </w:pPr>
    </w:p>
    <w:p w14:paraId="25F7E84D" w14:textId="2F29DED5" w:rsidR="007661F0" w:rsidRPr="00CA46C7" w:rsidRDefault="007661F0" w:rsidP="00EA0376">
      <w:pPr>
        <w:rPr>
          <w:szCs w:val="22"/>
          <w:lang w:val="sr-Latn-CS"/>
        </w:rPr>
      </w:pPr>
      <w:r w:rsidRPr="00CA46C7">
        <w:rPr>
          <w:szCs w:val="22"/>
          <w:lang w:val="sr-Latn-CS"/>
        </w:rPr>
        <w:lastRenderedPageBreak/>
        <w:t>Način prim</w:t>
      </w:r>
      <w:r w:rsidR="00C31616" w:rsidRPr="00CA46C7">
        <w:rPr>
          <w:szCs w:val="22"/>
          <w:lang w:val="sr-Latn-CS"/>
        </w:rPr>
        <w:t>j</w:t>
      </w:r>
      <w:r w:rsidRPr="00CA46C7">
        <w:rPr>
          <w:szCs w:val="22"/>
          <w:lang w:val="sr-Latn-CS"/>
        </w:rPr>
        <w:t>ene glukokortikoida može biti različit i zavisi od prirode bolesti i opšteg stanja pacijenta. Opšta preporuka je da se l</w:t>
      </w:r>
      <w:r w:rsidR="00C31616" w:rsidRPr="00CA46C7">
        <w:rPr>
          <w:szCs w:val="22"/>
          <w:lang w:val="sr-Latn-CS"/>
        </w:rPr>
        <w:t>ij</w:t>
      </w:r>
      <w:r w:rsidRPr="00CA46C7">
        <w:rPr>
          <w:szCs w:val="22"/>
          <w:lang w:val="sr-Latn-CS"/>
        </w:rPr>
        <w:t>ek prim</w:t>
      </w:r>
      <w:r w:rsidR="00C31616" w:rsidRPr="00CA46C7">
        <w:rPr>
          <w:szCs w:val="22"/>
          <w:lang w:val="sr-Latn-CS"/>
        </w:rPr>
        <w:t>j</w:t>
      </w:r>
      <w:r w:rsidRPr="00CA46C7">
        <w:rPr>
          <w:szCs w:val="22"/>
          <w:lang w:val="sr-Latn-CS"/>
        </w:rPr>
        <w:t>enjuje lokalno zbog minimizacije pojave neželjenih dejstava. Ukoliko je potrebna sistemska upotreba l</w:t>
      </w:r>
      <w:r w:rsidR="00C31616" w:rsidRPr="00CA46C7">
        <w:rPr>
          <w:szCs w:val="22"/>
          <w:lang w:val="sr-Latn-CS"/>
        </w:rPr>
        <w:t>ij</w:t>
      </w:r>
      <w:r w:rsidRPr="00CA46C7">
        <w:rPr>
          <w:szCs w:val="22"/>
          <w:lang w:val="sr-Latn-CS"/>
        </w:rPr>
        <w:t>eka, preporučuje se oralni način prim</w:t>
      </w:r>
      <w:r w:rsidR="00C31616" w:rsidRPr="00CA46C7">
        <w:rPr>
          <w:szCs w:val="22"/>
          <w:lang w:val="sr-Latn-CS"/>
        </w:rPr>
        <w:t>j</w:t>
      </w:r>
      <w:r w:rsidRPr="00CA46C7">
        <w:rPr>
          <w:szCs w:val="22"/>
          <w:lang w:val="sr-Latn-CS"/>
        </w:rPr>
        <w:t xml:space="preserve">ene, zbog lakše kontrole doziranja i raznovrsnosti terapijskih režima. </w:t>
      </w:r>
    </w:p>
    <w:p w14:paraId="25F7E84E" w14:textId="77777777" w:rsidR="007661F0" w:rsidRPr="00CA46C7" w:rsidRDefault="007661F0" w:rsidP="00EA0376">
      <w:pPr>
        <w:rPr>
          <w:szCs w:val="22"/>
          <w:lang w:val="sr-Latn-CS"/>
        </w:rPr>
      </w:pPr>
    </w:p>
    <w:p w14:paraId="25F7E84F" w14:textId="27E120CC" w:rsidR="007661F0" w:rsidRPr="00CA46C7" w:rsidRDefault="007661F0" w:rsidP="00EA0376">
      <w:pPr>
        <w:rPr>
          <w:szCs w:val="22"/>
          <w:lang w:val="sr-Latn-CS"/>
        </w:rPr>
      </w:pPr>
      <w:r w:rsidRPr="00CA46C7">
        <w:rPr>
          <w:szCs w:val="22"/>
          <w:lang w:val="sr-Latn-CS"/>
        </w:rPr>
        <w:t>L</w:t>
      </w:r>
      <w:r w:rsidR="00C31616" w:rsidRPr="00CA46C7">
        <w:rPr>
          <w:szCs w:val="22"/>
          <w:lang w:val="sr-Latn-CS"/>
        </w:rPr>
        <w:t>ij</w:t>
      </w:r>
      <w:r w:rsidRPr="00CA46C7">
        <w:rPr>
          <w:szCs w:val="22"/>
          <w:lang w:val="sr-Latn-CS"/>
        </w:rPr>
        <w:t>ek Dexason se prim</w:t>
      </w:r>
      <w:r w:rsidR="00C31616" w:rsidRPr="00CA46C7">
        <w:rPr>
          <w:szCs w:val="22"/>
          <w:lang w:val="sr-Latn-CS"/>
        </w:rPr>
        <w:t>j</w:t>
      </w:r>
      <w:r w:rsidRPr="00CA46C7">
        <w:rPr>
          <w:szCs w:val="22"/>
          <w:lang w:val="sr-Latn-CS"/>
        </w:rPr>
        <w:t>enjuje oralno, sa malo tečnosti.</w:t>
      </w:r>
    </w:p>
    <w:p w14:paraId="524A6BFB" w14:textId="64EDE38D" w:rsidR="00023A56" w:rsidRPr="00CA46C7" w:rsidRDefault="00023A56" w:rsidP="00EA0376">
      <w:pPr>
        <w:rPr>
          <w:szCs w:val="22"/>
          <w:lang w:val="sr-Latn-CS"/>
        </w:rPr>
      </w:pPr>
    </w:p>
    <w:p w14:paraId="153F72F7" w14:textId="0CEDA014" w:rsidR="00023A56" w:rsidRPr="00CA46C7" w:rsidRDefault="00023A56" w:rsidP="00EA0376">
      <w:pPr>
        <w:rPr>
          <w:szCs w:val="22"/>
          <w:u w:val="single"/>
          <w:lang w:val="sr-Latn-CS"/>
        </w:rPr>
      </w:pPr>
      <w:r w:rsidRPr="00CA46C7">
        <w:rPr>
          <w:szCs w:val="22"/>
          <w:u w:val="single"/>
          <w:lang w:val="sr-Latn-CS"/>
        </w:rPr>
        <w:t>Doziranje</w:t>
      </w:r>
    </w:p>
    <w:p w14:paraId="25F7E850" w14:textId="77777777" w:rsidR="007661F0" w:rsidRPr="00CA46C7" w:rsidRDefault="007661F0" w:rsidP="00EA0376">
      <w:pPr>
        <w:rPr>
          <w:szCs w:val="22"/>
          <w:lang w:val="sr-Latn-CS"/>
        </w:rPr>
      </w:pPr>
    </w:p>
    <w:p w14:paraId="25F7E851" w14:textId="4EDF6A99" w:rsidR="007661F0" w:rsidRPr="00CA46C7" w:rsidRDefault="007661F0" w:rsidP="00EA0376">
      <w:pPr>
        <w:rPr>
          <w:szCs w:val="22"/>
          <w:lang w:val="sr-Latn-CS"/>
        </w:rPr>
      </w:pPr>
      <w:r w:rsidRPr="00CA46C7">
        <w:rPr>
          <w:szCs w:val="22"/>
          <w:lang w:val="sr-Latn-CS"/>
        </w:rPr>
        <w:t>Doziranje l</w:t>
      </w:r>
      <w:r w:rsidR="00C31616" w:rsidRPr="00CA46C7">
        <w:rPr>
          <w:szCs w:val="22"/>
          <w:lang w:val="sr-Latn-CS"/>
        </w:rPr>
        <w:t>ij</w:t>
      </w:r>
      <w:r w:rsidRPr="00CA46C7">
        <w:rPr>
          <w:szCs w:val="22"/>
          <w:lang w:val="sr-Latn-CS"/>
        </w:rPr>
        <w:t>eka Dexason zavisi od težine oboljenja i odgovora pacijenta na terapiju.</w:t>
      </w:r>
    </w:p>
    <w:p w14:paraId="00DB3379" w14:textId="2767D9D0" w:rsidR="00023A56" w:rsidRPr="00CA46C7" w:rsidRDefault="00023A56" w:rsidP="00EA0376">
      <w:pPr>
        <w:rPr>
          <w:szCs w:val="22"/>
          <w:lang w:val="sr-Latn-CS"/>
        </w:rPr>
      </w:pPr>
    </w:p>
    <w:p w14:paraId="25F7E853" w14:textId="0C6420F0" w:rsidR="007661F0" w:rsidRPr="00CA46C7" w:rsidRDefault="007661F0" w:rsidP="00EA0376">
      <w:pPr>
        <w:rPr>
          <w:szCs w:val="22"/>
          <w:lang w:val="sr-Latn-CS"/>
        </w:rPr>
      </w:pPr>
      <w:r w:rsidRPr="00CA46C7">
        <w:rPr>
          <w:szCs w:val="22"/>
          <w:lang w:val="sr-Latn-CS"/>
        </w:rPr>
        <w:t>Neželjena dejstva, kao što je supresija osovine hipotalamus-hipofiza-nadbubrežna žl</w:t>
      </w:r>
      <w:r w:rsidR="00C31616" w:rsidRPr="00CA46C7">
        <w:rPr>
          <w:szCs w:val="22"/>
          <w:lang w:val="sr-Latn-CS"/>
        </w:rPr>
        <w:t>ij</w:t>
      </w:r>
      <w:r w:rsidRPr="00CA46C7">
        <w:rPr>
          <w:szCs w:val="22"/>
          <w:lang w:val="sr-Latn-CS"/>
        </w:rPr>
        <w:t>ezda, se mogu smanjiti prim</w:t>
      </w:r>
      <w:r w:rsidR="00C31616" w:rsidRPr="00CA46C7">
        <w:rPr>
          <w:szCs w:val="22"/>
          <w:lang w:val="sr-Latn-CS"/>
        </w:rPr>
        <w:t>j</w:t>
      </w:r>
      <w:r w:rsidRPr="00CA46C7">
        <w:rPr>
          <w:szCs w:val="22"/>
          <w:lang w:val="sr-Latn-CS"/>
        </w:rPr>
        <w:t>enom najmanje efektivne doze u što kraćem periodu. Preporučuje se prim</w:t>
      </w:r>
      <w:r w:rsidR="00C31616" w:rsidRPr="00CA46C7">
        <w:rPr>
          <w:szCs w:val="22"/>
          <w:lang w:val="sr-Latn-CS"/>
        </w:rPr>
        <w:t>j</w:t>
      </w:r>
      <w:r w:rsidRPr="00CA46C7">
        <w:rPr>
          <w:szCs w:val="22"/>
          <w:lang w:val="sr-Latn-CS"/>
        </w:rPr>
        <w:t>ena t</w:t>
      </w:r>
      <w:r w:rsidR="00625FFC" w:rsidRPr="00CA46C7">
        <w:rPr>
          <w:szCs w:val="22"/>
          <w:lang w:val="sr-Latn-CS"/>
        </w:rPr>
        <w:t>a</w:t>
      </w:r>
      <w:r w:rsidRPr="00CA46C7">
        <w:rPr>
          <w:szCs w:val="22"/>
          <w:lang w:val="sr-Latn-CS"/>
        </w:rPr>
        <w:t xml:space="preserve">blete(a) </w:t>
      </w:r>
      <w:r w:rsidR="00023A56" w:rsidRPr="00CA46C7">
        <w:rPr>
          <w:szCs w:val="22"/>
          <w:lang w:val="sr-Latn-CS"/>
        </w:rPr>
        <w:t>ujutru</w:t>
      </w:r>
      <w:r w:rsidRPr="00CA46C7">
        <w:rPr>
          <w:szCs w:val="22"/>
          <w:lang w:val="sr-Latn-CS"/>
        </w:rPr>
        <w:t xml:space="preserve">, a ukoliko </w:t>
      </w:r>
      <w:r w:rsidR="00023A56" w:rsidRPr="00CA46C7">
        <w:rPr>
          <w:szCs w:val="22"/>
          <w:lang w:val="sr-Latn-CS"/>
        </w:rPr>
        <w:t>kontrola bolesti to</w:t>
      </w:r>
      <w:r w:rsidRPr="00CA46C7">
        <w:rPr>
          <w:szCs w:val="22"/>
          <w:lang w:val="sr-Latn-CS"/>
        </w:rPr>
        <w:t xml:space="preserve"> dozvoljava</w:t>
      </w:r>
      <w:r w:rsidR="00023A56" w:rsidRPr="00CA46C7">
        <w:rPr>
          <w:szCs w:val="22"/>
          <w:lang w:val="sr-Latn-CS"/>
        </w:rPr>
        <w:t xml:space="preserve"> </w:t>
      </w:r>
      <w:r w:rsidRPr="00CA46C7">
        <w:rPr>
          <w:szCs w:val="22"/>
          <w:lang w:val="sr-Latn-CS"/>
        </w:rPr>
        <w:t xml:space="preserve">i </w:t>
      </w:r>
      <w:r w:rsidR="00023A56" w:rsidRPr="00CA46C7">
        <w:rPr>
          <w:szCs w:val="22"/>
          <w:lang w:val="sr-Latn-CS"/>
        </w:rPr>
        <w:t>prim</w:t>
      </w:r>
      <w:r w:rsidR="00C31616" w:rsidRPr="00CA46C7">
        <w:rPr>
          <w:szCs w:val="22"/>
          <w:lang w:val="sr-Latn-CS"/>
        </w:rPr>
        <w:t>j</w:t>
      </w:r>
      <w:r w:rsidR="00023A56" w:rsidRPr="00CA46C7">
        <w:rPr>
          <w:szCs w:val="22"/>
          <w:lang w:val="sr-Latn-CS"/>
        </w:rPr>
        <w:t>ena l</w:t>
      </w:r>
      <w:r w:rsidR="00C31616" w:rsidRPr="00CA46C7">
        <w:rPr>
          <w:szCs w:val="22"/>
          <w:lang w:val="sr-Latn-CS"/>
        </w:rPr>
        <w:t>ij</w:t>
      </w:r>
      <w:r w:rsidR="00023A56" w:rsidRPr="00CA46C7">
        <w:rPr>
          <w:szCs w:val="22"/>
          <w:lang w:val="sr-Latn-CS"/>
        </w:rPr>
        <w:t>eka svakog drugog dana</w:t>
      </w:r>
      <w:r w:rsidRPr="00CA46C7">
        <w:rPr>
          <w:szCs w:val="22"/>
          <w:lang w:val="sr-Latn-CS"/>
        </w:rPr>
        <w:t xml:space="preserve"> (</w:t>
      </w:r>
      <w:r w:rsidR="00023A56" w:rsidRPr="00CA46C7">
        <w:rPr>
          <w:szCs w:val="22"/>
          <w:lang w:val="sr-Latn-CS"/>
        </w:rPr>
        <w:t>engl. a</w:t>
      </w:r>
      <w:r w:rsidR="00023A56" w:rsidRPr="00CA46C7">
        <w:rPr>
          <w:i/>
          <w:szCs w:val="22"/>
          <w:lang w:val="sr-Latn-CS"/>
        </w:rPr>
        <w:t>lternate day therapy</w:t>
      </w:r>
      <w:r w:rsidRPr="00CA46C7">
        <w:rPr>
          <w:szCs w:val="22"/>
          <w:lang w:val="sr-Latn-CS"/>
        </w:rPr>
        <w:t>). Kod sistemske prim</w:t>
      </w:r>
      <w:r w:rsidR="00C31616" w:rsidRPr="00CA46C7">
        <w:rPr>
          <w:szCs w:val="22"/>
          <w:lang w:val="sr-Latn-CS"/>
        </w:rPr>
        <w:t>j</w:t>
      </w:r>
      <w:r w:rsidRPr="00CA46C7">
        <w:rPr>
          <w:szCs w:val="22"/>
          <w:lang w:val="sr-Latn-CS"/>
        </w:rPr>
        <w:t>ene deksametazona uveče, veća je v</w:t>
      </w:r>
      <w:r w:rsidR="00C31616" w:rsidRPr="00CA46C7">
        <w:rPr>
          <w:szCs w:val="22"/>
          <w:lang w:val="sr-Latn-CS"/>
        </w:rPr>
        <w:t>j</w:t>
      </w:r>
      <w:r w:rsidRPr="00CA46C7">
        <w:rPr>
          <w:szCs w:val="22"/>
          <w:lang w:val="sr-Latn-CS"/>
        </w:rPr>
        <w:t>erovatnoća pojave supresije osovine hipotalamus-hipofiza-nadbubrežna žl</w:t>
      </w:r>
      <w:r w:rsidR="00C31616" w:rsidRPr="00CA46C7">
        <w:rPr>
          <w:szCs w:val="22"/>
          <w:lang w:val="sr-Latn-CS"/>
        </w:rPr>
        <w:t>ij</w:t>
      </w:r>
      <w:r w:rsidRPr="00CA46C7">
        <w:rPr>
          <w:szCs w:val="22"/>
          <w:lang w:val="sr-Latn-CS"/>
        </w:rPr>
        <w:t xml:space="preserve">ezda. </w:t>
      </w:r>
      <w:r w:rsidR="00023A56" w:rsidRPr="00CA46C7">
        <w:rPr>
          <w:szCs w:val="22"/>
          <w:lang w:val="sr-Latn-CS"/>
        </w:rPr>
        <w:t>Prim</w:t>
      </w:r>
      <w:r w:rsidR="00C31616" w:rsidRPr="00CA46C7">
        <w:rPr>
          <w:szCs w:val="22"/>
          <w:lang w:val="sr-Latn-CS"/>
        </w:rPr>
        <w:t>j</w:t>
      </w:r>
      <w:r w:rsidR="00023A56" w:rsidRPr="00CA46C7">
        <w:rPr>
          <w:szCs w:val="22"/>
          <w:lang w:val="sr-Latn-CS"/>
        </w:rPr>
        <w:t>ena svakog drugog dana</w:t>
      </w:r>
      <w:r w:rsidRPr="00CA46C7">
        <w:rPr>
          <w:szCs w:val="22"/>
          <w:lang w:val="sr-Latn-CS"/>
        </w:rPr>
        <w:t xml:space="preserve"> nije odgovarajuć</w:t>
      </w:r>
      <w:r w:rsidR="00023A56" w:rsidRPr="00CA46C7">
        <w:rPr>
          <w:szCs w:val="22"/>
          <w:lang w:val="sr-Latn-CS"/>
        </w:rPr>
        <w:t>a</w:t>
      </w:r>
      <w:r w:rsidRPr="00CA46C7">
        <w:rPr>
          <w:szCs w:val="22"/>
          <w:lang w:val="sr-Latn-CS"/>
        </w:rPr>
        <w:t xml:space="preserve"> za pacijente sa utvrđenom adrenalnom insuficijencijom. Potrebna je česta kontrola pacijenata kako bi se na odgovarajući način izvršila titracija doze u odnosu na aktivnost bolesti. Ukoliko nema povoljnog terapijskog odgovora u toku nekoliko dana, nastavak terapije glukokortikoidima nije poželjan. </w:t>
      </w:r>
    </w:p>
    <w:p w14:paraId="5B539302" w14:textId="669DB043" w:rsidR="00023A56" w:rsidRPr="00CA46C7" w:rsidRDefault="00023A56" w:rsidP="00EA0376">
      <w:pPr>
        <w:rPr>
          <w:szCs w:val="22"/>
          <w:lang w:val="sr-Latn-CS"/>
        </w:rPr>
      </w:pPr>
    </w:p>
    <w:p w14:paraId="4A7FE0B1" w14:textId="48447F67" w:rsidR="00023A56" w:rsidRPr="00CA46C7" w:rsidRDefault="00023A56" w:rsidP="00EA0376">
      <w:pPr>
        <w:rPr>
          <w:i/>
          <w:szCs w:val="22"/>
          <w:lang w:val="sr-Latn-CS"/>
        </w:rPr>
      </w:pPr>
      <w:r w:rsidRPr="00CA46C7">
        <w:rPr>
          <w:i/>
          <w:szCs w:val="22"/>
          <w:lang w:val="sr-Latn-CS"/>
        </w:rPr>
        <w:t>Odrasli</w:t>
      </w:r>
    </w:p>
    <w:p w14:paraId="25F7E854" w14:textId="77777777" w:rsidR="007661F0" w:rsidRPr="00CA46C7" w:rsidRDefault="007661F0" w:rsidP="00EA0376">
      <w:pPr>
        <w:rPr>
          <w:szCs w:val="22"/>
          <w:lang w:val="sr-Latn-CS"/>
        </w:rPr>
      </w:pPr>
    </w:p>
    <w:p w14:paraId="285E0958" w14:textId="39FFBC6F" w:rsidR="00023A56" w:rsidRPr="00CA46C7" w:rsidRDefault="007661F0" w:rsidP="00EA0376">
      <w:pPr>
        <w:rPr>
          <w:szCs w:val="22"/>
          <w:lang w:val="sr-Latn-CS"/>
        </w:rPr>
      </w:pPr>
      <w:r w:rsidRPr="00CA46C7">
        <w:rPr>
          <w:szCs w:val="22"/>
          <w:lang w:val="sr-Latn-CS"/>
        </w:rPr>
        <w:t xml:space="preserve">Uobičajena doza za odrasle iznosi 0,5 mg – 10 mg dnevno. Čim dođe do poboljšanja simptoma bolesti, dozu treba smanjiti uz stalno praćenje kliničke slike </w:t>
      </w:r>
      <w:r w:rsidR="00023A56" w:rsidRPr="00CA46C7">
        <w:rPr>
          <w:szCs w:val="22"/>
          <w:lang w:val="sr-Latn-CS"/>
        </w:rPr>
        <w:t xml:space="preserve">do najmanje moguće doze </w:t>
      </w:r>
      <w:r w:rsidRPr="00CA46C7">
        <w:rPr>
          <w:szCs w:val="22"/>
          <w:lang w:val="sr-Latn-CS"/>
        </w:rPr>
        <w:t>ili l</w:t>
      </w:r>
      <w:r w:rsidR="00C31616" w:rsidRPr="00CA46C7">
        <w:rPr>
          <w:szCs w:val="22"/>
          <w:lang w:val="sr-Latn-CS"/>
        </w:rPr>
        <w:t>ij</w:t>
      </w:r>
      <w:r w:rsidRPr="00CA46C7">
        <w:rPr>
          <w:szCs w:val="22"/>
          <w:lang w:val="sr-Latn-CS"/>
        </w:rPr>
        <w:t>ek treba potpuno isključiti iz terapije prateći plan prekida terapije</w:t>
      </w:r>
      <w:r w:rsidR="00023A56" w:rsidRPr="00CA46C7">
        <w:rPr>
          <w:szCs w:val="22"/>
          <w:lang w:val="sr-Latn-CS"/>
        </w:rPr>
        <w:t>,</w:t>
      </w:r>
      <w:r w:rsidRPr="00CA46C7">
        <w:rPr>
          <w:szCs w:val="22"/>
          <w:lang w:val="sr-Latn-CS"/>
        </w:rPr>
        <w:t xml:space="preserve"> što je navedeno u tekstu ispod. </w:t>
      </w:r>
    </w:p>
    <w:p w14:paraId="055674BF" w14:textId="77777777" w:rsidR="00023A56" w:rsidRPr="00CA46C7" w:rsidRDefault="00023A56" w:rsidP="00EA0376">
      <w:pPr>
        <w:rPr>
          <w:szCs w:val="22"/>
          <w:lang w:val="sr-Latn-CS"/>
        </w:rPr>
      </w:pPr>
    </w:p>
    <w:p w14:paraId="2942CB8D" w14:textId="7A32B885" w:rsidR="00023A56" w:rsidRPr="00CA46C7" w:rsidRDefault="00023A56" w:rsidP="00EA0376">
      <w:pPr>
        <w:rPr>
          <w:i/>
          <w:szCs w:val="22"/>
          <w:lang w:val="sr-Latn-CS"/>
        </w:rPr>
      </w:pPr>
      <w:r w:rsidRPr="00CA46C7">
        <w:rPr>
          <w:i/>
          <w:szCs w:val="22"/>
          <w:lang w:val="sr-Latn-CS"/>
        </w:rPr>
        <w:t>Pedijatrijska populacija</w:t>
      </w:r>
    </w:p>
    <w:p w14:paraId="06DDB67D" w14:textId="77777777" w:rsidR="00023A56" w:rsidRPr="00CA46C7" w:rsidRDefault="00023A56" w:rsidP="00EA0376">
      <w:pPr>
        <w:rPr>
          <w:i/>
          <w:szCs w:val="22"/>
          <w:lang w:val="sr-Latn-CS"/>
        </w:rPr>
      </w:pPr>
    </w:p>
    <w:p w14:paraId="25F7E855" w14:textId="67179F9B" w:rsidR="007661F0" w:rsidRPr="00CA46C7" w:rsidRDefault="007661F0" w:rsidP="00EA0376">
      <w:pPr>
        <w:rPr>
          <w:szCs w:val="22"/>
          <w:lang w:val="sr-Latn-CS"/>
        </w:rPr>
      </w:pPr>
      <w:r w:rsidRPr="00CA46C7">
        <w:rPr>
          <w:szCs w:val="22"/>
          <w:lang w:val="sr-Latn-CS"/>
        </w:rPr>
        <w:t>Deksametazon se može prim</w:t>
      </w:r>
      <w:r w:rsidR="00C31616" w:rsidRPr="00CA46C7">
        <w:rPr>
          <w:szCs w:val="22"/>
          <w:lang w:val="sr-Latn-CS"/>
        </w:rPr>
        <w:t>j</w:t>
      </w:r>
      <w:r w:rsidRPr="00CA46C7">
        <w:rPr>
          <w:szCs w:val="22"/>
          <w:lang w:val="sr-Latn-CS"/>
        </w:rPr>
        <w:t>enjivati kod d</w:t>
      </w:r>
      <w:r w:rsidR="00C31616" w:rsidRPr="00CA46C7">
        <w:rPr>
          <w:szCs w:val="22"/>
          <w:lang w:val="sr-Latn-CS"/>
        </w:rPr>
        <w:t>j</w:t>
      </w:r>
      <w:r w:rsidRPr="00CA46C7">
        <w:rPr>
          <w:szCs w:val="22"/>
          <w:lang w:val="sr-Latn-CS"/>
        </w:rPr>
        <w:t>ece samo sa oprezom, jer glukokortikoidi mogu dovesti do usporenog rasta d</w:t>
      </w:r>
      <w:r w:rsidR="00C31616" w:rsidRPr="00CA46C7">
        <w:rPr>
          <w:szCs w:val="22"/>
          <w:lang w:val="sr-Latn-CS"/>
        </w:rPr>
        <w:t>j</w:t>
      </w:r>
      <w:r w:rsidRPr="00CA46C7">
        <w:rPr>
          <w:szCs w:val="22"/>
          <w:lang w:val="sr-Latn-CS"/>
        </w:rPr>
        <w:t>eteta. Dnevnu dozu treba da odredi l</w:t>
      </w:r>
      <w:r w:rsidR="00C31616" w:rsidRPr="00CA46C7">
        <w:rPr>
          <w:szCs w:val="22"/>
          <w:lang w:val="sr-Latn-CS"/>
        </w:rPr>
        <w:t>j</w:t>
      </w:r>
      <w:r w:rsidRPr="00CA46C7">
        <w:rPr>
          <w:szCs w:val="22"/>
          <w:lang w:val="sr-Latn-CS"/>
        </w:rPr>
        <w:t>ekar za svako d</w:t>
      </w:r>
      <w:r w:rsidR="00C31616" w:rsidRPr="00CA46C7">
        <w:rPr>
          <w:szCs w:val="22"/>
          <w:lang w:val="sr-Latn-CS"/>
        </w:rPr>
        <w:t>ij</w:t>
      </w:r>
      <w:r w:rsidRPr="00CA46C7">
        <w:rPr>
          <w:szCs w:val="22"/>
          <w:lang w:val="sr-Latn-CS"/>
        </w:rPr>
        <w:t>ete posebno.</w:t>
      </w:r>
    </w:p>
    <w:p w14:paraId="3EE80A69" w14:textId="061E71EA" w:rsidR="00286F18" w:rsidRPr="00CA46C7" w:rsidRDefault="00286F18" w:rsidP="00EA0376">
      <w:pPr>
        <w:rPr>
          <w:szCs w:val="22"/>
          <w:lang w:val="sr-Latn-CS"/>
        </w:rPr>
      </w:pPr>
    </w:p>
    <w:p w14:paraId="5904C8AE" w14:textId="4078C62C" w:rsidR="00286F18" w:rsidRPr="00CA46C7" w:rsidRDefault="00286F18" w:rsidP="00EA0376">
      <w:pPr>
        <w:rPr>
          <w:i/>
          <w:szCs w:val="22"/>
          <w:lang w:val="sr-Latn-CS"/>
        </w:rPr>
      </w:pPr>
      <w:r w:rsidRPr="00CA46C7">
        <w:rPr>
          <w:i/>
          <w:szCs w:val="22"/>
          <w:lang w:val="sr-Latn-CS"/>
        </w:rPr>
        <w:t>Dugotrajna terapija</w:t>
      </w:r>
    </w:p>
    <w:p w14:paraId="25F7E856" w14:textId="77777777" w:rsidR="007661F0" w:rsidRPr="00CA46C7" w:rsidRDefault="007661F0" w:rsidP="00EA0376">
      <w:pPr>
        <w:rPr>
          <w:szCs w:val="22"/>
          <w:lang w:val="sr-Latn-CS"/>
        </w:rPr>
      </w:pPr>
    </w:p>
    <w:p w14:paraId="25F7E857" w14:textId="41491441" w:rsidR="007661F0" w:rsidRPr="00CA46C7" w:rsidRDefault="007661F0" w:rsidP="00EA0376">
      <w:pPr>
        <w:rPr>
          <w:szCs w:val="22"/>
          <w:lang w:val="sr-Latn-CS"/>
        </w:rPr>
      </w:pPr>
      <w:r w:rsidRPr="00CA46C7">
        <w:rPr>
          <w:szCs w:val="22"/>
          <w:lang w:val="sr-Latn-CS"/>
        </w:rPr>
        <w:t>Za vr</w:t>
      </w:r>
      <w:r w:rsidR="00C31616" w:rsidRPr="00CA46C7">
        <w:rPr>
          <w:szCs w:val="22"/>
          <w:lang w:val="sr-Latn-CS"/>
        </w:rPr>
        <w:t>ij</w:t>
      </w:r>
      <w:r w:rsidRPr="00CA46C7">
        <w:rPr>
          <w:szCs w:val="22"/>
          <w:lang w:val="sr-Latn-CS"/>
        </w:rPr>
        <w:t>eme dugotrajne terapije bilo koja pridružena bolest, trauma ili hirurška operacija zaht</w:t>
      </w:r>
      <w:r w:rsidR="00C31616" w:rsidRPr="00CA46C7">
        <w:rPr>
          <w:szCs w:val="22"/>
          <w:lang w:val="sr-Latn-CS"/>
        </w:rPr>
        <w:t>ij</w:t>
      </w:r>
      <w:r w:rsidRPr="00CA46C7">
        <w:rPr>
          <w:szCs w:val="22"/>
          <w:lang w:val="sr-Latn-CS"/>
        </w:rPr>
        <w:t>evaće kratkotrajno povećanje doze.</w:t>
      </w:r>
    </w:p>
    <w:p w14:paraId="25F7E858" w14:textId="77777777" w:rsidR="007661F0" w:rsidRPr="00CA46C7" w:rsidRDefault="007661F0" w:rsidP="00EA0376">
      <w:pPr>
        <w:rPr>
          <w:szCs w:val="22"/>
          <w:lang w:val="sr-Latn-CS"/>
        </w:rPr>
      </w:pPr>
    </w:p>
    <w:p w14:paraId="25F7E859" w14:textId="11DC5DC6" w:rsidR="007661F0" w:rsidRPr="00CA46C7" w:rsidRDefault="007661F0" w:rsidP="00EA0376">
      <w:pPr>
        <w:rPr>
          <w:b/>
          <w:szCs w:val="22"/>
          <w:lang w:val="sr-Latn-CS"/>
        </w:rPr>
      </w:pPr>
      <w:r w:rsidRPr="00CA46C7">
        <w:rPr>
          <w:b/>
          <w:szCs w:val="22"/>
          <w:lang w:val="sr-Latn-CS"/>
        </w:rPr>
        <w:t>Prekid dugotrajn</w:t>
      </w:r>
      <w:r w:rsidR="00286F18" w:rsidRPr="00CA46C7">
        <w:rPr>
          <w:b/>
          <w:szCs w:val="22"/>
          <w:lang w:val="sr-Latn-CS"/>
        </w:rPr>
        <w:t>e terapije</w:t>
      </w:r>
    </w:p>
    <w:p w14:paraId="25F7E85B" w14:textId="766F6BF7" w:rsidR="007661F0" w:rsidRPr="00CA46C7" w:rsidRDefault="007661F0" w:rsidP="00EA0376">
      <w:pPr>
        <w:rPr>
          <w:szCs w:val="22"/>
          <w:lang w:val="sr-Latn-CS"/>
        </w:rPr>
      </w:pPr>
      <w:r w:rsidRPr="00CA46C7">
        <w:rPr>
          <w:szCs w:val="22"/>
          <w:lang w:val="sr-Latn-CS"/>
        </w:rPr>
        <w:t>Kod pacijenata koji su primali deksametazon u periodu dužem od 3 ned</w:t>
      </w:r>
      <w:r w:rsidR="00C31616" w:rsidRPr="00CA46C7">
        <w:rPr>
          <w:szCs w:val="22"/>
          <w:lang w:val="sr-Latn-CS"/>
        </w:rPr>
        <w:t>j</w:t>
      </w:r>
      <w:r w:rsidRPr="00CA46C7">
        <w:rPr>
          <w:szCs w:val="22"/>
          <w:lang w:val="sr-Latn-CS"/>
        </w:rPr>
        <w:t>elje, obustava l</w:t>
      </w:r>
      <w:r w:rsidR="00C31616" w:rsidRPr="00CA46C7">
        <w:rPr>
          <w:szCs w:val="22"/>
          <w:lang w:val="sr-Latn-CS"/>
        </w:rPr>
        <w:t>ij</w:t>
      </w:r>
      <w:r w:rsidRPr="00CA46C7">
        <w:rPr>
          <w:szCs w:val="22"/>
          <w:lang w:val="sr-Latn-CS"/>
        </w:rPr>
        <w:t>eka ne sm</w:t>
      </w:r>
      <w:r w:rsidR="00C31616" w:rsidRPr="00CA46C7">
        <w:rPr>
          <w:szCs w:val="22"/>
          <w:lang w:val="sr-Latn-CS"/>
        </w:rPr>
        <w:t>ij</w:t>
      </w:r>
      <w:r w:rsidRPr="00CA46C7">
        <w:rPr>
          <w:szCs w:val="22"/>
          <w:lang w:val="sr-Latn-CS"/>
        </w:rPr>
        <w:t>e biti nagla. Način na koji treba redukovati dozu (postepeno smanjivanje tokom ned</w:t>
      </w:r>
      <w:r w:rsidR="00C31616" w:rsidRPr="00CA46C7">
        <w:rPr>
          <w:szCs w:val="22"/>
          <w:lang w:val="sr-Latn-CS"/>
        </w:rPr>
        <w:t>j</w:t>
      </w:r>
      <w:r w:rsidRPr="00CA46C7">
        <w:rPr>
          <w:szCs w:val="22"/>
          <w:lang w:val="sr-Latn-CS"/>
        </w:rPr>
        <w:t>elja ili m</w:t>
      </w:r>
      <w:r w:rsidR="00C31616" w:rsidRPr="00CA46C7">
        <w:rPr>
          <w:szCs w:val="22"/>
          <w:lang w:val="sr-Latn-CS"/>
        </w:rPr>
        <w:t>j</w:t>
      </w:r>
      <w:r w:rsidRPr="00CA46C7">
        <w:rPr>
          <w:szCs w:val="22"/>
          <w:lang w:val="sr-Latn-CS"/>
        </w:rPr>
        <w:t>eseci) zavisi u velikoj m</w:t>
      </w:r>
      <w:r w:rsidR="00C31616" w:rsidRPr="00CA46C7">
        <w:rPr>
          <w:szCs w:val="22"/>
          <w:lang w:val="sr-Latn-CS"/>
        </w:rPr>
        <w:t>j</w:t>
      </w:r>
      <w:r w:rsidRPr="00CA46C7">
        <w:rPr>
          <w:szCs w:val="22"/>
          <w:lang w:val="sr-Latn-CS"/>
        </w:rPr>
        <w:t>eri od v</w:t>
      </w:r>
      <w:r w:rsidR="001F4629" w:rsidRPr="00CA46C7">
        <w:rPr>
          <w:szCs w:val="22"/>
          <w:lang w:val="sr-Latn-CS"/>
        </w:rPr>
        <w:t>j</w:t>
      </w:r>
      <w:r w:rsidRPr="00CA46C7">
        <w:rPr>
          <w:szCs w:val="22"/>
          <w:lang w:val="sr-Latn-CS"/>
        </w:rPr>
        <w:t>erovatnoće pojave relapsa bolesti usl</w:t>
      </w:r>
      <w:r w:rsidR="001F4629" w:rsidRPr="00CA46C7">
        <w:rPr>
          <w:szCs w:val="22"/>
          <w:lang w:val="sr-Latn-CS"/>
        </w:rPr>
        <w:t>j</w:t>
      </w:r>
      <w:r w:rsidRPr="00CA46C7">
        <w:rPr>
          <w:szCs w:val="22"/>
          <w:lang w:val="sr-Latn-CS"/>
        </w:rPr>
        <w:t>ed smanjenja doze sistemski prim</w:t>
      </w:r>
      <w:r w:rsidR="001F4629" w:rsidRPr="00CA46C7">
        <w:rPr>
          <w:szCs w:val="22"/>
          <w:lang w:val="sr-Latn-CS"/>
        </w:rPr>
        <w:t>ij</w:t>
      </w:r>
      <w:r w:rsidRPr="00CA46C7">
        <w:rPr>
          <w:szCs w:val="22"/>
          <w:lang w:val="sr-Latn-CS"/>
        </w:rPr>
        <w:t>enjenog glukokortikoida. Stoga, prilikom obustave l</w:t>
      </w:r>
      <w:r w:rsidR="001F4629" w:rsidRPr="00CA46C7">
        <w:rPr>
          <w:szCs w:val="22"/>
          <w:lang w:val="sr-Latn-CS"/>
        </w:rPr>
        <w:t>ij</w:t>
      </w:r>
      <w:r w:rsidRPr="00CA46C7">
        <w:rPr>
          <w:szCs w:val="22"/>
          <w:lang w:val="sr-Latn-CS"/>
        </w:rPr>
        <w:t>eka može biti potrebna klinička proc</w:t>
      </w:r>
      <w:r w:rsidR="001F4629" w:rsidRPr="00CA46C7">
        <w:rPr>
          <w:szCs w:val="22"/>
          <w:lang w:val="sr-Latn-CS"/>
        </w:rPr>
        <w:t>j</w:t>
      </w:r>
      <w:r w:rsidRPr="00CA46C7">
        <w:rPr>
          <w:szCs w:val="22"/>
          <w:lang w:val="sr-Latn-CS"/>
        </w:rPr>
        <w:t>ena aktivnosti bolesti. Ukoliko je mala v</w:t>
      </w:r>
      <w:r w:rsidR="001F4629" w:rsidRPr="00CA46C7">
        <w:rPr>
          <w:szCs w:val="22"/>
          <w:lang w:val="sr-Latn-CS"/>
        </w:rPr>
        <w:t>j</w:t>
      </w:r>
      <w:r w:rsidRPr="00CA46C7">
        <w:rPr>
          <w:szCs w:val="22"/>
          <w:lang w:val="sr-Latn-CS"/>
        </w:rPr>
        <w:t>erovatnoća relapsa bolesti tokom obustave l</w:t>
      </w:r>
      <w:r w:rsidR="001F4629" w:rsidRPr="00CA46C7">
        <w:rPr>
          <w:szCs w:val="22"/>
          <w:lang w:val="sr-Latn-CS"/>
        </w:rPr>
        <w:t>ij</w:t>
      </w:r>
      <w:r w:rsidRPr="00CA46C7">
        <w:rPr>
          <w:szCs w:val="22"/>
          <w:lang w:val="sr-Latn-CS"/>
        </w:rPr>
        <w:t>eka, ali je neizv</w:t>
      </w:r>
      <w:r w:rsidR="001F4629" w:rsidRPr="00CA46C7">
        <w:rPr>
          <w:szCs w:val="22"/>
          <w:lang w:val="sr-Latn-CS"/>
        </w:rPr>
        <w:t>j</w:t>
      </w:r>
      <w:r w:rsidRPr="00CA46C7">
        <w:rPr>
          <w:szCs w:val="22"/>
          <w:lang w:val="sr-Latn-CS"/>
        </w:rPr>
        <w:t>esna pojava supresije osovine hipotalamus-hipofiza-nadbubrežna žl</w:t>
      </w:r>
      <w:r w:rsidR="001F4629" w:rsidRPr="00CA46C7">
        <w:rPr>
          <w:szCs w:val="22"/>
          <w:lang w:val="sr-Latn-CS"/>
        </w:rPr>
        <w:t>ij</w:t>
      </w:r>
      <w:r w:rsidRPr="00CA46C7">
        <w:rPr>
          <w:szCs w:val="22"/>
          <w:lang w:val="sr-Latn-CS"/>
        </w:rPr>
        <w:t>ezda, doza sistemski prim</w:t>
      </w:r>
      <w:r w:rsidR="001F4629" w:rsidRPr="00CA46C7">
        <w:rPr>
          <w:szCs w:val="22"/>
          <w:lang w:val="sr-Latn-CS"/>
        </w:rPr>
        <w:t>ij</w:t>
      </w:r>
      <w:r w:rsidRPr="00CA46C7">
        <w:rPr>
          <w:szCs w:val="22"/>
          <w:lang w:val="sr-Latn-CS"/>
        </w:rPr>
        <w:t>enjenog deksametazona se može brzo smanjiti do fizioloških doza. Kada se jednom postigne dnevna doza od oko 1 mg deksametazona, dalje smanjenje doze treba da bude sporije kako bi se omogućio oporavak osovine hipotalamus-hipofiza-nadbubrežna žl</w:t>
      </w:r>
      <w:r w:rsidR="001F4629" w:rsidRPr="00CA46C7">
        <w:rPr>
          <w:szCs w:val="22"/>
          <w:lang w:val="sr-Latn-CS"/>
        </w:rPr>
        <w:t>ij</w:t>
      </w:r>
      <w:r w:rsidRPr="00CA46C7">
        <w:rPr>
          <w:szCs w:val="22"/>
          <w:lang w:val="sr-Latn-CS"/>
        </w:rPr>
        <w:t xml:space="preserve">ezda. </w:t>
      </w:r>
    </w:p>
    <w:p w14:paraId="25F7E85C" w14:textId="77777777" w:rsidR="007661F0" w:rsidRPr="00CA46C7" w:rsidRDefault="007661F0" w:rsidP="00EA0376">
      <w:pPr>
        <w:rPr>
          <w:szCs w:val="22"/>
          <w:lang w:val="sr-Latn-CS"/>
        </w:rPr>
      </w:pPr>
    </w:p>
    <w:p w14:paraId="25F7E85D" w14:textId="06AB8CD0" w:rsidR="007661F0" w:rsidRPr="00CA46C7" w:rsidRDefault="007661F0" w:rsidP="00EA0376">
      <w:pPr>
        <w:rPr>
          <w:szCs w:val="22"/>
          <w:lang w:val="sr-Latn-CS"/>
        </w:rPr>
      </w:pPr>
      <w:r w:rsidRPr="00CA46C7">
        <w:rPr>
          <w:szCs w:val="22"/>
          <w:lang w:val="sr-Latn-CS"/>
        </w:rPr>
        <w:t>Nagla obustava sistemske terapije deksametazonom, nakon kontinuirane prim</w:t>
      </w:r>
      <w:r w:rsidR="001F4629" w:rsidRPr="00CA46C7">
        <w:rPr>
          <w:szCs w:val="22"/>
          <w:lang w:val="sr-Latn-CS"/>
        </w:rPr>
        <w:t>j</w:t>
      </w:r>
      <w:r w:rsidRPr="00CA46C7">
        <w:rPr>
          <w:szCs w:val="22"/>
          <w:lang w:val="sr-Latn-CS"/>
        </w:rPr>
        <w:t>ene do 3 ned</w:t>
      </w:r>
      <w:r w:rsidR="001F4629" w:rsidRPr="00CA46C7">
        <w:rPr>
          <w:szCs w:val="22"/>
          <w:lang w:val="sr-Latn-CS"/>
        </w:rPr>
        <w:t>j</w:t>
      </w:r>
      <w:r w:rsidRPr="00CA46C7">
        <w:rPr>
          <w:szCs w:val="22"/>
          <w:lang w:val="sr-Latn-CS"/>
        </w:rPr>
        <w:t>elje, je prikladna ako se smatra da je mala v</w:t>
      </w:r>
      <w:r w:rsidR="001F4629" w:rsidRPr="00CA46C7">
        <w:rPr>
          <w:szCs w:val="22"/>
          <w:lang w:val="sr-Latn-CS"/>
        </w:rPr>
        <w:t>j</w:t>
      </w:r>
      <w:r w:rsidRPr="00CA46C7">
        <w:rPr>
          <w:szCs w:val="22"/>
          <w:lang w:val="sr-Latn-CS"/>
        </w:rPr>
        <w:t>erovatnoća relapsa bolesti. Smatra se da je malo v</w:t>
      </w:r>
      <w:r w:rsidR="001F4629" w:rsidRPr="00CA46C7">
        <w:rPr>
          <w:szCs w:val="22"/>
          <w:lang w:val="sr-Latn-CS"/>
        </w:rPr>
        <w:t>j</w:t>
      </w:r>
      <w:r w:rsidRPr="00CA46C7">
        <w:rPr>
          <w:szCs w:val="22"/>
          <w:lang w:val="sr-Latn-CS"/>
        </w:rPr>
        <w:t>erovatno da će nagla obustava deksametazona u dozi do oko 6 mg dnevno tokom 3 ned</w:t>
      </w:r>
      <w:r w:rsidR="001F4629" w:rsidRPr="00CA46C7">
        <w:rPr>
          <w:szCs w:val="22"/>
          <w:lang w:val="sr-Latn-CS"/>
        </w:rPr>
        <w:t>j</w:t>
      </w:r>
      <w:r w:rsidRPr="00CA46C7">
        <w:rPr>
          <w:szCs w:val="22"/>
          <w:lang w:val="sr-Latn-CS"/>
        </w:rPr>
        <w:t>elje dovesti do klinički značajne supresije osovine hipotalamus-hipofiza-nadbubrežna žl</w:t>
      </w:r>
      <w:r w:rsidR="001F4629" w:rsidRPr="00CA46C7">
        <w:rPr>
          <w:szCs w:val="22"/>
          <w:lang w:val="sr-Latn-CS"/>
        </w:rPr>
        <w:t>ij</w:t>
      </w:r>
      <w:r w:rsidRPr="00CA46C7">
        <w:rPr>
          <w:szCs w:val="22"/>
          <w:lang w:val="sr-Latn-CS"/>
        </w:rPr>
        <w:t xml:space="preserve">ezda kod većine pacijenata. </w:t>
      </w:r>
    </w:p>
    <w:p w14:paraId="25F7E85E" w14:textId="77777777" w:rsidR="007661F0" w:rsidRPr="00CA46C7" w:rsidRDefault="007661F0" w:rsidP="00EA0376">
      <w:pPr>
        <w:rPr>
          <w:szCs w:val="22"/>
          <w:lang w:val="sr-Latn-CS"/>
        </w:rPr>
      </w:pPr>
    </w:p>
    <w:p w14:paraId="25F7E85F" w14:textId="5281932F" w:rsidR="007661F0" w:rsidRPr="00CA46C7" w:rsidRDefault="007661F0" w:rsidP="00EA0376">
      <w:pPr>
        <w:rPr>
          <w:szCs w:val="22"/>
          <w:lang w:val="sr-Latn-CS"/>
        </w:rPr>
      </w:pPr>
      <w:r w:rsidRPr="00CA46C7">
        <w:rPr>
          <w:szCs w:val="22"/>
          <w:lang w:val="sr-Latn-CS"/>
        </w:rPr>
        <w:t>Postepenu obustavu sistemske terapije deksametazonom, čak i nakon ciklusa u trajanju od 3 ned</w:t>
      </w:r>
      <w:r w:rsidR="001F4629" w:rsidRPr="00CA46C7">
        <w:rPr>
          <w:szCs w:val="22"/>
          <w:lang w:val="sr-Latn-CS"/>
        </w:rPr>
        <w:t>j</w:t>
      </w:r>
      <w:r w:rsidRPr="00CA46C7">
        <w:rPr>
          <w:szCs w:val="22"/>
          <w:lang w:val="sr-Latn-CS"/>
        </w:rPr>
        <w:t>elje ili kraće, treba razmotriti kod sl</w:t>
      </w:r>
      <w:r w:rsidR="001F4629" w:rsidRPr="00CA46C7">
        <w:rPr>
          <w:szCs w:val="22"/>
          <w:lang w:val="sr-Latn-CS"/>
        </w:rPr>
        <w:t>j</w:t>
      </w:r>
      <w:r w:rsidRPr="00CA46C7">
        <w:rPr>
          <w:szCs w:val="22"/>
          <w:lang w:val="sr-Latn-CS"/>
        </w:rPr>
        <w:t>edećih grupa pacijenata:</w:t>
      </w:r>
    </w:p>
    <w:p w14:paraId="25F7E860" w14:textId="4FF865B0" w:rsidR="007661F0" w:rsidRPr="00CA46C7" w:rsidRDefault="007661F0" w:rsidP="00EA0376">
      <w:pPr>
        <w:numPr>
          <w:ilvl w:val="0"/>
          <w:numId w:val="7"/>
        </w:numPr>
        <w:rPr>
          <w:szCs w:val="22"/>
          <w:lang w:val="sr-Latn-CS"/>
        </w:rPr>
      </w:pPr>
      <w:r w:rsidRPr="00CA46C7">
        <w:rPr>
          <w:szCs w:val="22"/>
          <w:lang w:val="sr-Latn-CS"/>
        </w:rPr>
        <w:lastRenderedPageBreak/>
        <w:t>pacijenti koji su primali ponavljane cikluse deksametazona (ili drugih kortikosteroida)</w:t>
      </w:r>
      <w:r w:rsidR="00286F18" w:rsidRPr="00CA46C7">
        <w:rPr>
          <w:szCs w:val="22"/>
          <w:lang w:val="sr-Latn-CS"/>
        </w:rPr>
        <w:t xml:space="preserve"> za sistemsku upotrebu</w:t>
      </w:r>
      <w:r w:rsidRPr="00CA46C7">
        <w:rPr>
          <w:szCs w:val="22"/>
          <w:lang w:val="sr-Latn-CS"/>
        </w:rPr>
        <w:t>, naročito duže od 3 ned</w:t>
      </w:r>
      <w:r w:rsidR="001F4629" w:rsidRPr="00CA46C7">
        <w:rPr>
          <w:szCs w:val="22"/>
          <w:lang w:val="sr-Latn-CS"/>
        </w:rPr>
        <w:t>j</w:t>
      </w:r>
      <w:r w:rsidRPr="00CA46C7">
        <w:rPr>
          <w:szCs w:val="22"/>
          <w:lang w:val="sr-Latn-CS"/>
        </w:rPr>
        <w:t>elje.</w:t>
      </w:r>
    </w:p>
    <w:p w14:paraId="25F7E861" w14:textId="0761F532" w:rsidR="007661F0" w:rsidRPr="00CA46C7" w:rsidRDefault="007661F0" w:rsidP="00EA0376">
      <w:pPr>
        <w:numPr>
          <w:ilvl w:val="0"/>
          <w:numId w:val="7"/>
        </w:numPr>
        <w:rPr>
          <w:szCs w:val="22"/>
          <w:lang w:val="sr-Latn-CS"/>
        </w:rPr>
      </w:pPr>
      <w:r w:rsidRPr="00CA46C7">
        <w:rPr>
          <w:szCs w:val="22"/>
          <w:lang w:val="sr-Latn-CS"/>
        </w:rPr>
        <w:t>pacijenti koji su primili kratkotrajan ciklus tokom prve godine od prekida dugotrajne terapije (m</w:t>
      </w:r>
      <w:r w:rsidR="001F4629" w:rsidRPr="00CA46C7">
        <w:rPr>
          <w:szCs w:val="22"/>
          <w:lang w:val="sr-Latn-CS"/>
        </w:rPr>
        <w:t>j</w:t>
      </w:r>
      <w:r w:rsidRPr="00CA46C7">
        <w:rPr>
          <w:szCs w:val="22"/>
          <w:lang w:val="sr-Latn-CS"/>
        </w:rPr>
        <w:t>esecima ili godinama)</w:t>
      </w:r>
      <w:r w:rsidR="00286F18" w:rsidRPr="00CA46C7">
        <w:rPr>
          <w:szCs w:val="22"/>
          <w:lang w:val="sr-Latn-CS"/>
        </w:rPr>
        <w:t>.</w:t>
      </w:r>
    </w:p>
    <w:p w14:paraId="25F7E862" w14:textId="4C085FBC" w:rsidR="007661F0" w:rsidRPr="00CA46C7" w:rsidRDefault="007661F0" w:rsidP="00EA0376">
      <w:pPr>
        <w:numPr>
          <w:ilvl w:val="0"/>
          <w:numId w:val="7"/>
        </w:numPr>
        <w:rPr>
          <w:szCs w:val="22"/>
          <w:lang w:val="sr-Latn-CS"/>
        </w:rPr>
      </w:pPr>
      <w:r w:rsidRPr="00CA46C7">
        <w:rPr>
          <w:szCs w:val="22"/>
          <w:lang w:val="sr-Latn-CS"/>
        </w:rPr>
        <w:t>pacijenti koji mogu imati razloge za razvoj adrenokortikalne insuficijencije, a koji ni</w:t>
      </w:r>
      <w:r w:rsidR="000B63DA" w:rsidRPr="00CA46C7">
        <w:rPr>
          <w:szCs w:val="22"/>
          <w:lang w:val="sr-Latn-CS"/>
        </w:rPr>
        <w:t>je</w:t>
      </w:r>
      <w:r w:rsidRPr="00CA46C7">
        <w:rPr>
          <w:szCs w:val="22"/>
          <w:lang w:val="sr-Latn-CS"/>
        </w:rPr>
        <w:t>su povezani sa prim</w:t>
      </w:r>
      <w:r w:rsidR="001F4629" w:rsidRPr="00CA46C7">
        <w:rPr>
          <w:szCs w:val="22"/>
          <w:lang w:val="sr-Latn-CS"/>
        </w:rPr>
        <w:t>j</w:t>
      </w:r>
      <w:r w:rsidRPr="00CA46C7">
        <w:rPr>
          <w:szCs w:val="22"/>
          <w:lang w:val="sr-Latn-CS"/>
        </w:rPr>
        <w:t>enom egzogenog deksametazona (ili drugih kortikosteroida).</w:t>
      </w:r>
    </w:p>
    <w:p w14:paraId="25F7E863" w14:textId="2EE55454" w:rsidR="007661F0" w:rsidRPr="00CA46C7" w:rsidRDefault="007661F0" w:rsidP="00EA0376">
      <w:pPr>
        <w:numPr>
          <w:ilvl w:val="0"/>
          <w:numId w:val="7"/>
        </w:numPr>
        <w:rPr>
          <w:szCs w:val="22"/>
          <w:lang w:val="sr-Latn-CS"/>
        </w:rPr>
      </w:pPr>
      <w:r w:rsidRPr="00CA46C7">
        <w:rPr>
          <w:szCs w:val="22"/>
          <w:lang w:val="sr-Latn-CS"/>
        </w:rPr>
        <w:t xml:space="preserve">pacijenti koji primaju doze deksametazona za sistemsku upotrebu koje su veće od </w:t>
      </w:r>
      <w:r w:rsidR="00286F18" w:rsidRPr="00CA46C7">
        <w:rPr>
          <w:szCs w:val="22"/>
          <w:lang w:val="sr-Latn-CS"/>
        </w:rPr>
        <w:t xml:space="preserve">oko </w:t>
      </w:r>
      <w:r w:rsidRPr="00CA46C7">
        <w:rPr>
          <w:szCs w:val="22"/>
          <w:lang w:val="sr-Latn-CS"/>
        </w:rPr>
        <w:t>6 mg dnevno.</w:t>
      </w:r>
    </w:p>
    <w:p w14:paraId="25F7E864" w14:textId="77777777" w:rsidR="007661F0" w:rsidRPr="00CA46C7" w:rsidRDefault="007661F0" w:rsidP="00EA0376">
      <w:pPr>
        <w:numPr>
          <w:ilvl w:val="0"/>
          <w:numId w:val="7"/>
        </w:numPr>
        <w:rPr>
          <w:szCs w:val="22"/>
          <w:lang w:val="sr-Latn-CS"/>
        </w:rPr>
      </w:pPr>
      <w:r w:rsidRPr="00CA46C7">
        <w:rPr>
          <w:szCs w:val="22"/>
          <w:lang w:val="sr-Latn-CS"/>
        </w:rPr>
        <w:t>pacijenti koji ponavljano primaju doze uveče.</w:t>
      </w:r>
    </w:p>
    <w:p w14:paraId="25F7E865" w14:textId="77777777" w:rsidR="007661F0" w:rsidRPr="00CA46C7" w:rsidRDefault="007661F0" w:rsidP="00EA0376">
      <w:pPr>
        <w:rPr>
          <w:szCs w:val="22"/>
          <w:lang w:val="sr-Latn-CS"/>
        </w:rPr>
      </w:pPr>
    </w:p>
    <w:p w14:paraId="25F7E866" w14:textId="306EBD0B" w:rsidR="007661F0" w:rsidRPr="00CA46C7" w:rsidRDefault="007661F0" w:rsidP="00EA0376">
      <w:pPr>
        <w:rPr>
          <w:szCs w:val="22"/>
          <w:lang w:val="sr-Latn-CS"/>
        </w:rPr>
      </w:pPr>
      <w:r w:rsidRPr="00CA46C7">
        <w:rPr>
          <w:szCs w:val="22"/>
          <w:lang w:val="sr-Latn-CS"/>
        </w:rPr>
        <w:t>Pacijenti, koji su za vr</w:t>
      </w:r>
      <w:r w:rsidR="001F4629" w:rsidRPr="00CA46C7">
        <w:rPr>
          <w:szCs w:val="22"/>
          <w:lang w:val="sr-Latn-CS"/>
        </w:rPr>
        <w:t>ij</w:t>
      </w:r>
      <w:r w:rsidRPr="00CA46C7">
        <w:rPr>
          <w:szCs w:val="22"/>
          <w:lang w:val="sr-Latn-CS"/>
        </w:rPr>
        <w:t xml:space="preserve">eme sistemske terapije izloženi dodatnom stresu kao što su trauma, hirurška intervencija ili infekcija i koji imaju povećan rizik od pojave adrenalne insuficijencije, treba da </w:t>
      </w:r>
      <w:r w:rsidR="00286F18" w:rsidRPr="00CA46C7">
        <w:rPr>
          <w:szCs w:val="22"/>
          <w:lang w:val="sr-Latn-CS"/>
        </w:rPr>
        <w:t xml:space="preserve">primaju </w:t>
      </w:r>
      <w:r w:rsidRPr="00CA46C7">
        <w:rPr>
          <w:szCs w:val="22"/>
          <w:lang w:val="sr-Latn-CS"/>
        </w:rPr>
        <w:t>dodatn</w:t>
      </w:r>
      <w:r w:rsidR="00286F18" w:rsidRPr="00CA46C7">
        <w:rPr>
          <w:szCs w:val="22"/>
          <w:lang w:val="sr-Latn-CS"/>
        </w:rPr>
        <w:t>i</w:t>
      </w:r>
      <w:r w:rsidRPr="00CA46C7">
        <w:rPr>
          <w:szCs w:val="22"/>
          <w:lang w:val="sr-Latn-CS"/>
        </w:rPr>
        <w:t xml:space="preserve"> deksametazon za sistemsku upotrebu tokom ovog perioda. Ovo uključuje i pacijente koji su završili ciklus sistemske terapije deksametazonom, koji je trajao manje od 3 ned</w:t>
      </w:r>
      <w:r w:rsidR="001F4629" w:rsidRPr="00CA46C7">
        <w:rPr>
          <w:szCs w:val="22"/>
          <w:lang w:val="sr-Latn-CS"/>
        </w:rPr>
        <w:t>j</w:t>
      </w:r>
      <w:r w:rsidRPr="00CA46C7">
        <w:rPr>
          <w:szCs w:val="22"/>
          <w:lang w:val="sr-Latn-CS"/>
        </w:rPr>
        <w:t>elje, ned</w:t>
      </w:r>
      <w:r w:rsidR="001F4629" w:rsidRPr="00CA46C7">
        <w:rPr>
          <w:szCs w:val="22"/>
          <w:lang w:val="sr-Latn-CS"/>
        </w:rPr>
        <w:t>j</w:t>
      </w:r>
      <w:r w:rsidRPr="00CA46C7">
        <w:rPr>
          <w:szCs w:val="22"/>
          <w:lang w:val="sr-Latn-CS"/>
        </w:rPr>
        <w:t>elju dana pr</w:t>
      </w:r>
      <w:r w:rsidR="001F4629" w:rsidRPr="00CA46C7">
        <w:rPr>
          <w:szCs w:val="22"/>
          <w:lang w:val="sr-Latn-CS"/>
        </w:rPr>
        <w:t>ij</w:t>
      </w:r>
      <w:r w:rsidRPr="00CA46C7">
        <w:rPr>
          <w:szCs w:val="22"/>
          <w:lang w:val="sr-Latn-CS"/>
        </w:rPr>
        <w:t xml:space="preserve">e pojave stresne situacije. Pacijenti na sistemskoj terapiji deksametazonom koji imaju povećan rizik od pojave adrenalne insuficijencije i koji ne mogu da uzimaju tablete oralno, treba da primaju deksametazon parenteralno u toku ovog perioda. </w:t>
      </w:r>
    </w:p>
    <w:p w14:paraId="25F7E867" w14:textId="77777777" w:rsidR="007661F0" w:rsidRPr="00CA46C7" w:rsidRDefault="007661F0" w:rsidP="00EA0376">
      <w:pPr>
        <w:rPr>
          <w:szCs w:val="22"/>
          <w:lang w:val="sr-Latn-CS"/>
        </w:rPr>
      </w:pPr>
    </w:p>
    <w:p w14:paraId="25F7E868" w14:textId="2B0DFE37" w:rsidR="007661F0" w:rsidRPr="00CA46C7" w:rsidRDefault="007661F0" w:rsidP="00EA0376">
      <w:pPr>
        <w:rPr>
          <w:szCs w:val="22"/>
          <w:lang w:val="sr-Latn-CS"/>
        </w:rPr>
      </w:pPr>
      <w:r w:rsidRPr="00CA46C7">
        <w:rPr>
          <w:szCs w:val="22"/>
          <w:lang w:val="sr-Latn-CS"/>
        </w:rPr>
        <w:t>Kod dugotrajne prim</w:t>
      </w:r>
      <w:r w:rsidR="001F4629" w:rsidRPr="00CA46C7">
        <w:rPr>
          <w:szCs w:val="22"/>
          <w:lang w:val="sr-Latn-CS"/>
        </w:rPr>
        <w:t>j</w:t>
      </w:r>
      <w:r w:rsidRPr="00CA46C7">
        <w:rPr>
          <w:szCs w:val="22"/>
          <w:lang w:val="sr-Latn-CS"/>
        </w:rPr>
        <w:t>ene l</w:t>
      </w:r>
      <w:r w:rsidR="001F4629" w:rsidRPr="00CA46C7">
        <w:rPr>
          <w:szCs w:val="22"/>
          <w:lang w:val="sr-Latn-CS"/>
        </w:rPr>
        <w:t>ij</w:t>
      </w:r>
      <w:r w:rsidRPr="00CA46C7">
        <w:rPr>
          <w:szCs w:val="22"/>
          <w:lang w:val="sr-Latn-CS"/>
        </w:rPr>
        <w:t>eka, prebrzo smanjenje doze deksametazona može dovesti do akutne adrenalne insuficijencije, hipotenzije i smrti. Specifični simptomi „sindroma obustave“ koji se mogu javiti obuhvataju groznicu, mijalgiju, artralgiju, rinitis, konjunktivitis, bolne kožne čvoriće praćene svrabom i gubitak t</w:t>
      </w:r>
      <w:r w:rsidR="001F4629" w:rsidRPr="00CA46C7">
        <w:rPr>
          <w:szCs w:val="22"/>
          <w:lang w:val="sr-Latn-CS"/>
        </w:rPr>
        <w:t>j</w:t>
      </w:r>
      <w:r w:rsidRPr="00CA46C7">
        <w:rPr>
          <w:szCs w:val="22"/>
          <w:lang w:val="sr-Latn-CS"/>
        </w:rPr>
        <w:t xml:space="preserve">elesne mase. </w:t>
      </w:r>
    </w:p>
    <w:p w14:paraId="337AD5FD" w14:textId="0B22925C" w:rsidR="00153EB8" w:rsidRPr="00CA46C7" w:rsidRDefault="00153EB8" w:rsidP="00EA0376">
      <w:pPr>
        <w:rPr>
          <w:szCs w:val="22"/>
          <w:lang w:val="sr-Latn-CS"/>
        </w:rPr>
      </w:pPr>
    </w:p>
    <w:p w14:paraId="509FCD32" w14:textId="349A574D" w:rsidR="00153EB8" w:rsidRPr="00CA46C7" w:rsidRDefault="00153EB8" w:rsidP="00EA0376">
      <w:pPr>
        <w:rPr>
          <w:szCs w:val="22"/>
          <w:u w:val="single"/>
          <w:lang w:val="sr-Latn-CS"/>
        </w:rPr>
      </w:pPr>
      <w:r w:rsidRPr="00CA46C7">
        <w:rPr>
          <w:szCs w:val="22"/>
          <w:u w:val="single"/>
          <w:lang w:val="sr-Latn-CS"/>
        </w:rPr>
        <w:t>Za l</w:t>
      </w:r>
      <w:r w:rsidR="001F4629" w:rsidRPr="00CA46C7">
        <w:rPr>
          <w:szCs w:val="22"/>
          <w:u w:val="single"/>
          <w:lang w:val="sr-Latn-CS"/>
        </w:rPr>
        <w:t>ij</w:t>
      </w:r>
      <w:r w:rsidRPr="00CA46C7">
        <w:rPr>
          <w:szCs w:val="22"/>
          <w:u w:val="single"/>
          <w:lang w:val="sr-Latn-CS"/>
        </w:rPr>
        <w:t>ečenje Covid-19</w:t>
      </w:r>
    </w:p>
    <w:p w14:paraId="1D8FE9BB" w14:textId="77777777" w:rsidR="00153EB8" w:rsidRPr="00CA46C7" w:rsidRDefault="00153EB8" w:rsidP="00EA0376">
      <w:pPr>
        <w:rPr>
          <w:szCs w:val="22"/>
          <w:lang w:val="sr-Latn-CS"/>
        </w:rPr>
      </w:pPr>
      <w:r w:rsidRPr="00CA46C7">
        <w:rPr>
          <w:i/>
          <w:szCs w:val="22"/>
          <w:lang w:val="sr-Latn-CS"/>
        </w:rPr>
        <w:t>Odrasli pacijenti</w:t>
      </w:r>
      <w:r w:rsidRPr="00CA46C7">
        <w:rPr>
          <w:szCs w:val="22"/>
          <w:lang w:val="sr-Latn-CS"/>
        </w:rPr>
        <w:t>: 6 mg oralno, jednom dnevno, u trajanju do 10 dana.</w:t>
      </w:r>
    </w:p>
    <w:p w14:paraId="324803F2" w14:textId="77777777" w:rsidR="00286F18" w:rsidRPr="00CA46C7" w:rsidRDefault="00286F18" w:rsidP="00EA0376">
      <w:pPr>
        <w:rPr>
          <w:i/>
          <w:szCs w:val="22"/>
          <w:lang w:val="sr-Latn-CS"/>
        </w:rPr>
      </w:pPr>
    </w:p>
    <w:p w14:paraId="35067A5C" w14:textId="0F2C51BA" w:rsidR="00153EB8" w:rsidRPr="00CA46C7" w:rsidRDefault="00153EB8" w:rsidP="00EA0376">
      <w:pPr>
        <w:rPr>
          <w:szCs w:val="22"/>
          <w:lang w:val="sr-Latn-CS"/>
        </w:rPr>
      </w:pPr>
      <w:r w:rsidRPr="00CA46C7">
        <w:rPr>
          <w:i/>
          <w:szCs w:val="22"/>
          <w:lang w:val="sr-Latn-CS"/>
        </w:rPr>
        <w:t>Pedijatrijski pacijenti (adolescenti</w:t>
      </w:r>
      <w:r w:rsidR="00286F18" w:rsidRPr="00CA46C7">
        <w:rPr>
          <w:i/>
          <w:szCs w:val="22"/>
          <w:lang w:val="sr-Latn-CS"/>
        </w:rPr>
        <w:t xml:space="preserve"> uzrasta</w:t>
      </w:r>
      <w:r w:rsidRPr="00CA46C7">
        <w:rPr>
          <w:i/>
          <w:szCs w:val="22"/>
          <w:lang w:val="sr-Latn-CS"/>
        </w:rPr>
        <w:t xml:space="preserve"> 12 godina i stariji):</w:t>
      </w:r>
      <w:r w:rsidRPr="00CA46C7">
        <w:rPr>
          <w:szCs w:val="22"/>
          <w:lang w:val="sr-Latn-CS"/>
        </w:rPr>
        <w:t xml:space="preserve"> preporučena doza je 6 mg oralno, jednom dnevno u trajanju do 10 dana.</w:t>
      </w:r>
    </w:p>
    <w:p w14:paraId="5DCA59BD" w14:textId="77777777" w:rsidR="00286F18" w:rsidRPr="00CA46C7" w:rsidRDefault="00286F18" w:rsidP="00EA0376">
      <w:pPr>
        <w:rPr>
          <w:szCs w:val="22"/>
          <w:lang w:val="sr-Latn-CS"/>
        </w:rPr>
      </w:pPr>
    </w:p>
    <w:p w14:paraId="5490E394" w14:textId="2014057C" w:rsidR="00153EB8" w:rsidRPr="00CA46C7" w:rsidRDefault="00153EB8" w:rsidP="00EA0376">
      <w:pPr>
        <w:rPr>
          <w:szCs w:val="22"/>
          <w:lang w:val="sr-Latn-CS"/>
        </w:rPr>
      </w:pPr>
      <w:r w:rsidRPr="00CA46C7">
        <w:rPr>
          <w:szCs w:val="22"/>
          <w:lang w:val="sr-Latn-CS"/>
        </w:rPr>
        <w:t>Dužina prim</w:t>
      </w:r>
      <w:r w:rsidR="001F4629" w:rsidRPr="00CA46C7">
        <w:rPr>
          <w:szCs w:val="22"/>
          <w:lang w:val="sr-Latn-CS"/>
        </w:rPr>
        <w:t>j</w:t>
      </w:r>
      <w:r w:rsidRPr="00CA46C7">
        <w:rPr>
          <w:szCs w:val="22"/>
          <w:lang w:val="sr-Latn-CS"/>
        </w:rPr>
        <w:t>ene zavisi od kliničkog odgovora i individualnih potreba pacijenta.</w:t>
      </w:r>
    </w:p>
    <w:p w14:paraId="061610A9" w14:textId="77777777" w:rsidR="00286F18" w:rsidRPr="00CA46C7" w:rsidRDefault="00286F18" w:rsidP="00EA0376">
      <w:pPr>
        <w:rPr>
          <w:i/>
          <w:szCs w:val="22"/>
          <w:lang w:val="sr-Latn-CS"/>
        </w:rPr>
      </w:pPr>
    </w:p>
    <w:p w14:paraId="55777B88" w14:textId="4B11D49B" w:rsidR="00153EB8" w:rsidRPr="00CA46C7" w:rsidRDefault="00153EB8" w:rsidP="00EA0376">
      <w:pPr>
        <w:rPr>
          <w:szCs w:val="22"/>
          <w:lang w:val="sr-Latn-CS"/>
        </w:rPr>
      </w:pPr>
      <w:r w:rsidRPr="00CA46C7">
        <w:rPr>
          <w:i/>
          <w:szCs w:val="22"/>
          <w:lang w:val="sr-Latn-CS"/>
        </w:rPr>
        <w:t>Stariji pacijenti, pacijenti sa oštećenjem funkcije jetre ili bubrega</w:t>
      </w:r>
      <w:r w:rsidRPr="00CA46C7">
        <w:rPr>
          <w:szCs w:val="22"/>
          <w:lang w:val="sr-Latn-CS"/>
        </w:rPr>
        <w:t>: nije potrebno prilagođavanje doze.</w:t>
      </w:r>
    </w:p>
    <w:p w14:paraId="25F7E869" w14:textId="77777777" w:rsidR="007661F0" w:rsidRPr="00CA46C7" w:rsidRDefault="007661F0" w:rsidP="00EA0376">
      <w:pPr>
        <w:rPr>
          <w:szCs w:val="22"/>
          <w:lang w:val="sr-Latn-CS"/>
        </w:rPr>
      </w:pPr>
    </w:p>
    <w:p w14:paraId="25F7E86A" w14:textId="0C7A1EA4" w:rsidR="007661F0" w:rsidRPr="00CA46C7" w:rsidRDefault="007661F0" w:rsidP="00EA0376">
      <w:pPr>
        <w:rPr>
          <w:b/>
          <w:bCs/>
          <w:szCs w:val="22"/>
          <w:lang w:val="sr-Latn-CS"/>
        </w:rPr>
      </w:pPr>
      <w:r w:rsidRPr="00CA46C7">
        <w:rPr>
          <w:b/>
          <w:bCs/>
          <w:szCs w:val="22"/>
          <w:lang w:val="sr-Latn-CS"/>
        </w:rPr>
        <w:t>4.3. Kontraindikacije</w:t>
      </w:r>
    </w:p>
    <w:p w14:paraId="43F6367F" w14:textId="77777777" w:rsidR="000B63DA" w:rsidRPr="00CA46C7" w:rsidRDefault="000B63DA" w:rsidP="00EA0376">
      <w:pPr>
        <w:rPr>
          <w:b/>
          <w:bCs/>
          <w:szCs w:val="22"/>
          <w:lang w:val="sr-Latn-CS"/>
        </w:rPr>
      </w:pPr>
    </w:p>
    <w:p w14:paraId="25F7E86F" w14:textId="56B63CDB" w:rsidR="007661F0" w:rsidRPr="005C187F" w:rsidRDefault="007661F0" w:rsidP="00EA0376">
      <w:pPr>
        <w:pStyle w:val="Header"/>
        <w:numPr>
          <w:ilvl w:val="0"/>
          <w:numId w:val="9"/>
        </w:numPr>
        <w:tabs>
          <w:tab w:val="clear" w:pos="4536"/>
          <w:tab w:val="clear" w:pos="9072"/>
          <w:tab w:val="left" w:pos="284"/>
        </w:tabs>
        <w:rPr>
          <w:szCs w:val="22"/>
          <w:lang w:val="sr-Latn-CS"/>
        </w:rPr>
      </w:pPr>
      <w:r w:rsidRPr="005C187F">
        <w:rPr>
          <w:szCs w:val="22"/>
          <w:lang w:val="sr-Latn-CS"/>
        </w:rPr>
        <w:t>Preos</w:t>
      </w:r>
      <w:r w:rsidR="001F4629" w:rsidRPr="005C187F">
        <w:rPr>
          <w:szCs w:val="22"/>
          <w:lang w:val="sr-Latn-CS"/>
        </w:rPr>
        <w:t>j</w:t>
      </w:r>
      <w:r w:rsidRPr="005C187F">
        <w:rPr>
          <w:szCs w:val="22"/>
          <w:lang w:val="sr-Latn-CS"/>
        </w:rPr>
        <w:t xml:space="preserve">etljivost na deksametazon ili </w:t>
      </w:r>
      <w:r w:rsidR="008969C3" w:rsidRPr="005C187F">
        <w:rPr>
          <w:szCs w:val="22"/>
          <w:lang w:val="sr-Latn-CS"/>
        </w:rPr>
        <w:t xml:space="preserve">na bilo koju od pomoćnih supstanci navedenih u </w:t>
      </w:r>
      <w:r w:rsidR="001F4629" w:rsidRPr="005C187F">
        <w:rPr>
          <w:szCs w:val="22"/>
          <w:lang w:val="sr-Latn-CS"/>
        </w:rPr>
        <w:t>dijelu</w:t>
      </w:r>
      <w:r w:rsidR="008969C3" w:rsidRPr="005C187F">
        <w:rPr>
          <w:szCs w:val="22"/>
          <w:lang w:val="sr-Latn-CS"/>
        </w:rPr>
        <w:t xml:space="preserve"> 6.1.</w:t>
      </w:r>
    </w:p>
    <w:p w14:paraId="293F0A25" w14:textId="77777777" w:rsidR="001F4629" w:rsidRPr="00CA46C7" w:rsidRDefault="001F4629" w:rsidP="00EA0376">
      <w:pPr>
        <w:rPr>
          <w:b/>
          <w:bCs/>
          <w:szCs w:val="22"/>
          <w:lang w:val="sr-Latn-CS"/>
        </w:rPr>
      </w:pPr>
    </w:p>
    <w:p w14:paraId="25F7E870" w14:textId="7CD45665" w:rsidR="007661F0" w:rsidRPr="00CA46C7" w:rsidRDefault="007661F0" w:rsidP="00EA0376">
      <w:pPr>
        <w:rPr>
          <w:b/>
          <w:bCs/>
          <w:szCs w:val="22"/>
          <w:lang w:val="sr-Latn-CS"/>
        </w:rPr>
      </w:pPr>
      <w:r w:rsidRPr="00CA46C7">
        <w:rPr>
          <w:b/>
          <w:bCs/>
          <w:szCs w:val="22"/>
          <w:lang w:val="sr-Latn-CS"/>
        </w:rPr>
        <w:t>4.4. Posebna upozorenja i m</w:t>
      </w:r>
      <w:r w:rsidR="001F4629" w:rsidRPr="00CA46C7">
        <w:rPr>
          <w:b/>
          <w:bCs/>
          <w:szCs w:val="22"/>
          <w:lang w:val="sr-Latn-CS"/>
        </w:rPr>
        <w:t>j</w:t>
      </w:r>
      <w:r w:rsidRPr="00CA46C7">
        <w:rPr>
          <w:b/>
          <w:bCs/>
          <w:szCs w:val="22"/>
          <w:lang w:val="sr-Latn-CS"/>
        </w:rPr>
        <w:t>ere opreza pri upotrebi l</w:t>
      </w:r>
      <w:r w:rsidR="001F4629" w:rsidRPr="00CA46C7">
        <w:rPr>
          <w:b/>
          <w:bCs/>
          <w:szCs w:val="22"/>
          <w:lang w:val="sr-Latn-CS"/>
        </w:rPr>
        <w:t>ij</w:t>
      </w:r>
      <w:r w:rsidRPr="00CA46C7">
        <w:rPr>
          <w:b/>
          <w:bCs/>
          <w:szCs w:val="22"/>
          <w:lang w:val="sr-Latn-CS"/>
        </w:rPr>
        <w:t>eka</w:t>
      </w:r>
    </w:p>
    <w:p w14:paraId="25F7E871" w14:textId="77777777" w:rsidR="007661F0" w:rsidRPr="005C187F" w:rsidRDefault="007661F0" w:rsidP="00EA0376">
      <w:pPr>
        <w:pStyle w:val="Header"/>
        <w:tabs>
          <w:tab w:val="clear" w:pos="4536"/>
          <w:tab w:val="clear" w:pos="9072"/>
          <w:tab w:val="left" w:pos="284"/>
        </w:tabs>
        <w:rPr>
          <w:szCs w:val="22"/>
          <w:lang w:val="sr-Latn-CS"/>
        </w:rPr>
      </w:pPr>
    </w:p>
    <w:p w14:paraId="25F7E872" w14:textId="77777777" w:rsidR="007661F0" w:rsidRPr="005C187F" w:rsidRDefault="007661F0" w:rsidP="00EA0376">
      <w:pPr>
        <w:pStyle w:val="Header"/>
        <w:tabs>
          <w:tab w:val="clear" w:pos="4536"/>
          <w:tab w:val="clear" w:pos="9072"/>
          <w:tab w:val="left" w:pos="284"/>
        </w:tabs>
        <w:rPr>
          <w:i/>
          <w:szCs w:val="22"/>
          <w:lang w:val="sr-Latn-CS"/>
        </w:rPr>
      </w:pPr>
      <w:r w:rsidRPr="005C187F">
        <w:rPr>
          <w:i/>
          <w:szCs w:val="22"/>
          <w:lang w:val="sr-Latn-CS"/>
        </w:rPr>
        <w:t>Adrenokortikalna insuficijencija</w:t>
      </w:r>
    </w:p>
    <w:p w14:paraId="25F7E873" w14:textId="0EA72E0D" w:rsidR="007661F0" w:rsidRPr="005C187F" w:rsidRDefault="007661F0" w:rsidP="00EA0376">
      <w:pPr>
        <w:pStyle w:val="Default"/>
        <w:jc w:val="both"/>
        <w:rPr>
          <w:color w:val="auto"/>
          <w:sz w:val="22"/>
          <w:szCs w:val="22"/>
          <w:lang w:val="sr-Latn-CS"/>
        </w:rPr>
      </w:pPr>
      <w:r w:rsidRPr="005C187F">
        <w:rPr>
          <w:color w:val="auto"/>
          <w:sz w:val="22"/>
          <w:szCs w:val="22"/>
          <w:lang w:val="sr-Latn-CS"/>
        </w:rPr>
        <w:t>Adrenokortikalna insuficijencija koju uzrokuje l</w:t>
      </w:r>
      <w:r w:rsidR="001F4629" w:rsidRPr="005C187F">
        <w:rPr>
          <w:color w:val="auto"/>
          <w:sz w:val="22"/>
          <w:szCs w:val="22"/>
          <w:lang w:val="sr-Latn-CS"/>
        </w:rPr>
        <w:t>ij</w:t>
      </w:r>
      <w:r w:rsidRPr="005C187F">
        <w:rPr>
          <w:color w:val="auto"/>
          <w:sz w:val="22"/>
          <w:szCs w:val="22"/>
          <w:lang w:val="sr-Latn-CS"/>
        </w:rPr>
        <w:t>ečenje glukokortikoidima, može, u zavisnosti od doze i dužine l</w:t>
      </w:r>
      <w:r w:rsidR="001F4629" w:rsidRPr="005C187F">
        <w:rPr>
          <w:color w:val="auto"/>
          <w:sz w:val="22"/>
          <w:szCs w:val="22"/>
          <w:lang w:val="sr-Latn-CS"/>
        </w:rPr>
        <w:t>ij</w:t>
      </w:r>
      <w:r w:rsidRPr="005C187F">
        <w:rPr>
          <w:color w:val="auto"/>
          <w:sz w:val="22"/>
          <w:szCs w:val="22"/>
          <w:lang w:val="sr-Latn-CS"/>
        </w:rPr>
        <w:t>ečenja, trajati više m</w:t>
      </w:r>
      <w:r w:rsidR="001F4629" w:rsidRPr="005C187F">
        <w:rPr>
          <w:color w:val="auto"/>
          <w:sz w:val="22"/>
          <w:szCs w:val="22"/>
          <w:lang w:val="sr-Latn-CS"/>
        </w:rPr>
        <w:t>j</w:t>
      </w:r>
      <w:r w:rsidRPr="005C187F">
        <w:rPr>
          <w:color w:val="auto"/>
          <w:sz w:val="22"/>
          <w:szCs w:val="22"/>
          <w:lang w:val="sr-Latn-CS"/>
        </w:rPr>
        <w:t>eseci, a u nekim slučajevima i duže od godinu dana nakon prekida l</w:t>
      </w:r>
      <w:r w:rsidR="001F4629" w:rsidRPr="005C187F">
        <w:rPr>
          <w:color w:val="auto"/>
          <w:sz w:val="22"/>
          <w:szCs w:val="22"/>
          <w:lang w:val="sr-Latn-CS"/>
        </w:rPr>
        <w:t>ij</w:t>
      </w:r>
      <w:r w:rsidRPr="005C187F">
        <w:rPr>
          <w:color w:val="auto"/>
          <w:sz w:val="22"/>
          <w:szCs w:val="22"/>
          <w:lang w:val="sr-Latn-CS"/>
        </w:rPr>
        <w:t>ečenja. Tokom l</w:t>
      </w:r>
      <w:r w:rsidR="001F4629" w:rsidRPr="005C187F">
        <w:rPr>
          <w:color w:val="auto"/>
          <w:sz w:val="22"/>
          <w:szCs w:val="22"/>
          <w:lang w:val="sr-Latn-CS"/>
        </w:rPr>
        <w:t>ij</w:t>
      </w:r>
      <w:r w:rsidRPr="005C187F">
        <w:rPr>
          <w:color w:val="auto"/>
          <w:sz w:val="22"/>
          <w:szCs w:val="22"/>
          <w:lang w:val="sr-Latn-CS"/>
        </w:rPr>
        <w:t>ečenja deksametazonom zbog određenih stanja fizičkog stresa (</w:t>
      </w:r>
      <w:r w:rsidR="000B63DA" w:rsidRPr="005C187F">
        <w:rPr>
          <w:color w:val="auto"/>
          <w:sz w:val="22"/>
          <w:szCs w:val="22"/>
          <w:lang w:val="sr-Latn-CS"/>
        </w:rPr>
        <w:t>povrede,</w:t>
      </w:r>
      <w:r w:rsidRPr="005C187F">
        <w:rPr>
          <w:color w:val="auto"/>
          <w:sz w:val="22"/>
          <w:szCs w:val="22"/>
          <w:lang w:val="sr-Latn-CS"/>
        </w:rPr>
        <w:t>operacije, porođaj, itd.), može biti potrebno privremeno povećati dozu. Zbog mogućeg rizika kod stresnih stanja treba izraditi ID karticu s</w:t>
      </w:r>
      <w:r w:rsidR="009E7027" w:rsidRPr="005C187F">
        <w:rPr>
          <w:color w:val="auto"/>
          <w:sz w:val="22"/>
          <w:szCs w:val="22"/>
          <w:lang w:val="sr-Latn-CS"/>
        </w:rPr>
        <w:t>a</w:t>
      </w:r>
      <w:r w:rsidRPr="005C187F">
        <w:rPr>
          <w:color w:val="auto"/>
          <w:sz w:val="22"/>
          <w:szCs w:val="22"/>
          <w:lang w:val="sr-Latn-CS"/>
        </w:rPr>
        <w:t xml:space="preserve"> naznačenom kortikosteroidnom terapijom za bolesnike koji su na dugotrajnom l</w:t>
      </w:r>
      <w:r w:rsidR="001F4629" w:rsidRPr="005C187F">
        <w:rPr>
          <w:color w:val="auto"/>
          <w:sz w:val="22"/>
          <w:szCs w:val="22"/>
          <w:lang w:val="sr-Latn-CS"/>
        </w:rPr>
        <w:t>ij</w:t>
      </w:r>
      <w:r w:rsidRPr="005C187F">
        <w:rPr>
          <w:color w:val="auto"/>
          <w:sz w:val="22"/>
          <w:szCs w:val="22"/>
          <w:lang w:val="sr-Latn-CS"/>
        </w:rPr>
        <w:t xml:space="preserve">ečenju. </w:t>
      </w:r>
      <w:r w:rsidR="005F396C" w:rsidRPr="005C187F">
        <w:rPr>
          <w:color w:val="auto"/>
          <w:sz w:val="22"/>
          <w:szCs w:val="22"/>
          <w:lang w:val="sr-Latn-CS"/>
        </w:rPr>
        <w:t>Takođe,</w:t>
      </w:r>
      <w:r w:rsidRPr="005C187F">
        <w:rPr>
          <w:color w:val="auto"/>
          <w:sz w:val="22"/>
          <w:szCs w:val="22"/>
          <w:lang w:val="sr-Latn-CS"/>
        </w:rPr>
        <w:t xml:space="preserve"> u slučajevima dugotrajne adrenokortikalne insuficijencije, nakon prekida l</w:t>
      </w:r>
      <w:r w:rsidR="001F4629" w:rsidRPr="005C187F">
        <w:rPr>
          <w:color w:val="auto"/>
          <w:sz w:val="22"/>
          <w:szCs w:val="22"/>
          <w:lang w:val="sr-Latn-CS"/>
        </w:rPr>
        <w:t>ij</w:t>
      </w:r>
      <w:r w:rsidRPr="005C187F">
        <w:rPr>
          <w:color w:val="auto"/>
          <w:sz w:val="22"/>
          <w:szCs w:val="22"/>
          <w:lang w:val="sr-Latn-CS"/>
        </w:rPr>
        <w:t>ečenja može biti potrebna prim</w:t>
      </w:r>
      <w:r w:rsidR="001F4629" w:rsidRPr="005C187F">
        <w:rPr>
          <w:color w:val="auto"/>
          <w:sz w:val="22"/>
          <w:szCs w:val="22"/>
          <w:lang w:val="sr-Latn-CS"/>
        </w:rPr>
        <w:t>j</w:t>
      </w:r>
      <w:r w:rsidRPr="005C187F">
        <w:rPr>
          <w:color w:val="auto"/>
          <w:sz w:val="22"/>
          <w:szCs w:val="22"/>
          <w:lang w:val="sr-Latn-CS"/>
        </w:rPr>
        <w:t xml:space="preserve">ena glukokortikoida u situacijama fizičkog stresa. Akutna adrenokortikalna insuficijencija izazvana terapijom može se minimizirati sporim smanjivanjem doze do planiranog vremena prekida. </w:t>
      </w:r>
    </w:p>
    <w:p w14:paraId="57E1858D" w14:textId="2AB1E1B2" w:rsidR="005F396C" w:rsidRPr="005C187F" w:rsidRDefault="005F396C" w:rsidP="00EA0376">
      <w:pPr>
        <w:pStyle w:val="Default"/>
        <w:jc w:val="both"/>
        <w:rPr>
          <w:color w:val="auto"/>
          <w:sz w:val="22"/>
          <w:szCs w:val="22"/>
          <w:lang w:val="sr-Latn-CS"/>
        </w:rPr>
      </w:pPr>
    </w:p>
    <w:p w14:paraId="052C3C77" w14:textId="5F3B47AF" w:rsidR="005F396C" w:rsidRPr="005C187F" w:rsidRDefault="005F396C" w:rsidP="00EA0376">
      <w:pPr>
        <w:pStyle w:val="Default"/>
        <w:jc w:val="both"/>
        <w:rPr>
          <w:color w:val="auto"/>
          <w:sz w:val="22"/>
          <w:szCs w:val="22"/>
          <w:lang w:val="sr-Latn-CS"/>
        </w:rPr>
      </w:pPr>
      <w:r w:rsidRPr="005C187F">
        <w:rPr>
          <w:color w:val="auto"/>
          <w:sz w:val="22"/>
          <w:szCs w:val="22"/>
          <w:lang w:val="sr-Latn-CS"/>
        </w:rPr>
        <w:t>Usl</w:t>
      </w:r>
      <w:r w:rsidR="001F4629" w:rsidRPr="005C187F">
        <w:rPr>
          <w:color w:val="auto"/>
          <w:sz w:val="22"/>
          <w:szCs w:val="22"/>
          <w:lang w:val="sr-Latn-CS"/>
        </w:rPr>
        <w:t>j</w:t>
      </w:r>
      <w:r w:rsidRPr="005C187F">
        <w:rPr>
          <w:color w:val="auto"/>
          <w:sz w:val="22"/>
          <w:szCs w:val="22"/>
          <w:lang w:val="sr-Latn-CS"/>
        </w:rPr>
        <w:t>ed imunosupresije, terapija deksametazonom može povećati rizik od bakterijskih, virusnih, parazitarnih, oportunističkih i gljivičnih infekcija. Može maskirati simptome postojeće infekcije i time otežati postavljanje dijagnoze. Može doći do reaktivacije latentnih infekcija, poput tuberkuloze ili hepatitisa B.</w:t>
      </w:r>
    </w:p>
    <w:p w14:paraId="25F7E874" w14:textId="77777777" w:rsidR="007661F0" w:rsidRPr="005C187F" w:rsidRDefault="007661F0" w:rsidP="00EA0376">
      <w:pPr>
        <w:pStyle w:val="Default"/>
        <w:jc w:val="both"/>
        <w:rPr>
          <w:color w:val="auto"/>
          <w:sz w:val="22"/>
          <w:szCs w:val="22"/>
          <w:lang w:val="sr-Latn-CS"/>
        </w:rPr>
      </w:pPr>
    </w:p>
    <w:p w14:paraId="25F7E875" w14:textId="7F90F566" w:rsidR="007661F0" w:rsidRPr="005C187F" w:rsidRDefault="007661F0" w:rsidP="00EA0376">
      <w:pPr>
        <w:pStyle w:val="Default"/>
        <w:jc w:val="both"/>
        <w:rPr>
          <w:color w:val="auto"/>
          <w:sz w:val="22"/>
          <w:szCs w:val="22"/>
          <w:lang w:val="sr-Latn-CS"/>
        </w:rPr>
      </w:pPr>
      <w:r w:rsidRPr="005C187F">
        <w:rPr>
          <w:color w:val="auto"/>
          <w:sz w:val="22"/>
          <w:szCs w:val="22"/>
          <w:lang w:val="sr-Latn-CS"/>
        </w:rPr>
        <w:lastRenderedPageBreak/>
        <w:t>L</w:t>
      </w:r>
      <w:r w:rsidR="001F4629" w:rsidRPr="005C187F">
        <w:rPr>
          <w:color w:val="auto"/>
          <w:sz w:val="22"/>
          <w:szCs w:val="22"/>
          <w:lang w:val="sr-Latn-CS"/>
        </w:rPr>
        <w:t>ij</w:t>
      </w:r>
      <w:r w:rsidRPr="005C187F">
        <w:rPr>
          <w:color w:val="auto"/>
          <w:sz w:val="22"/>
          <w:szCs w:val="22"/>
          <w:lang w:val="sr-Latn-CS"/>
        </w:rPr>
        <w:t>ečenje deksametazonom treba sprovoditi samo u slučaju najjačih indikacija i, po potrebi, prim</w:t>
      </w:r>
      <w:r w:rsidR="001F4629" w:rsidRPr="005C187F">
        <w:rPr>
          <w:color w:val="auto"/>
          <w:sz w:val="22"/>
          <w:szCs w:val="22"/>
          <w:lang w:val="sr-Latn-CS"/>
        </w:rPr>
        <w:t>ij</w:t>
      </w:r>
      <w:r w:rsidRPr="005C187F">
        <w:rPr>
          <w:color w:val="auto"/>
          <w:sz w:val="22"/>
          <w:szCs w:val="22"/>
          <w:lang w:val="sr-Latn-CS"/>
        </w:rPr>
        <w:t>eniti dodatno ciljano antiinfektivno l</w:t>
      </w:r>
      <w:r w:rsidR="001F4629" w:rsidRPr="005C187F">
        <w:rPr>
          <w:color w:val="auto"/>
          <w:sz w:val="22"/>
          <w:szCs w:val="22"/>
          <w:lang w:val="sr-Latn-CS"/>
        </w:rPr>
        <w:t>ij</w:t>
      </w:r>
      <w:r w:rsidRPr="005C187F">
        <w:rPr>
          <w:color w:val="auto"/>
          <w:sz w:val="22"/>
          <w:szCs w:val="22"/>
          <w:lang w:val="sr-Latn-CS"/>
        </w:rPr>
        <w:t>ečenje kod sl</w:t>
      </w:r>
      <w:r w:rsidR="001F4629" w:rsidRPr="005C187F">
        <w:rPr>
          <w:color w:val="auto"/>
          <w:sz w:val="22"/>
          <w:szCs w:val="22"/>
          <w:lang w:val="sr-Latn-CS"/>
        </w:rPr>
        <w:t>j</w:t>
      </w:r>
      <w:r w:rsidRPr="005C187F">
        <w:rPr>
          <w:color w:val="auto"/>
          <w:sz w:val="22"/>
          <w:szCs w:val="22"/>
          <w:lang w:val="sr-Latn-CS"/>
        </w:rPr>
        <w:t xml:space="preserve">edećih oboljenja: </w:t>
      </w:r>
    </w:p>
    <w:p w14:paraId="79D96DF0" w14:textId="28EA09D8" w:rsidR="006126BD" w:rsidRPr="005C187F" w:rsidRDefault="007661F0" w:rsidP="00EA0376">
      <w:pPr>
        <w:pStyle w:val="Default"/>
        <w:numPr>
          <w:ilvl w:val="0"/>
          <w:numId w:val="10"/>
        </w:numPr>
        <w:jc w:val="both"/>
        <w:rPr>
          <w:color w:val="auto"/>
          <w:sz w:val="22"/>
          <w:szCs w:val="22"/>
          <w:lang w:val="sr-Latn-CS"/>
        </w:rPr>
      </w:pPr>
      <w:r w:rsidRPr="005C187F">
        <w:rPr>
          <w:color w:val="auto"/>
          <w:sz w:val="22"/>
          <w:szCs w:val="22"/>
          <w:lang w:val="sr-Latn-CS"/>
        </w:rPr>
        <w:t>akutne virusne infekcije (herpes zoster, herpes simpleks, varičela, herpetični keratitis)</w:t>
      </w:r>
      <w:r w:rsidR="00675407" w:rsidRPr="005C187F">
        <w:rPr>
          <w:color w:val="auto"/>
          <w:sz w:val="22"/>
          <w:szCs w:val="22"/>
          <w:lang w:val="sr-Latn-CS"/>
        </w:rPr>
        <w:t>,</w:t>
      </w:r>
      <w:r w:rsidRPr="005C187F">
        <w:rPr>
          <w:color w:val="auto"/>
          <w:sz w:val="22"/>
          <w:szCs w:val="22"/>
          <w:lang w:val="sr-Latn-CS"/>
        </w:rPr>
        <w:t xml:space="preserve"> </w:t>
      </w:r>
    </w:p>
    <w:p w14:paraId="28A57D8F" w14:textId="358872AB" w:rsidR="006126BD" w:rsidRPr="005C187F" w:rsidRDefault="007661F0" w:rsidP="00EA0376">
      <w:pPr>
        <w:pStyle w:val="Default"/>
        <w:numPr>
          <w:ilvl w:val="0"/>
          <w:numId w:val="10"/>
        </w:numPr>
        <w:jc w:val="both"/>
        <w:rPr>
          <w:color w:val="auto"/>
          <w:sz w:val="22"/>
          <w:szCs w:val="22"/>
          <w:lang w:val="sr-Latn-CS"/>
        </w:rPr>
      </w:pPr>
      <w:r w:rsidRPr="005C187F">
        <w:rPr>
          <w:color w:val="auto"/>
          <w:sz w:val="22"/>
          <w:szCs w:val="22"/>
          <w:lang w:val="sr-Latn-CS"/>
        </w:rPr>
        <w:t>HBsAg-pozitivni hronični aktivni hepatitis</w:t>
      </w:r>
      <w:r w:rsidR="00675407" w:rsidRPr="005C187F">
        <w:rPr>
          <w:color w:val="auto"/>
          <w:sz w:val="22"/>
          <w:szCs w:val="22"/>
          <w:lang w:val="sr-Latn-CS"/>
        </w:rPr>
        <w:t>,</w:t>
      </w:r>
      <w:r w:rsidRPr="005C187F">
        <w:rPr>
          <w:color w:val="auto"/>
          <w:sz w:val="22"/>
          <w:szCs w:val="22"/>
          <w:lang w:val="sr-Latn-CS"/>
        </w:rPr>
        <w:t xml:space="preserve"> </w:t>
      </w:r>
    </w:p>
    <w:p w14:paraId="69C32F87" w14:textId="44875C5A" w:rsidR="00675407" w:rsidRPr="005C187F" w:rsidRDefault="007661F0" w:rsidP="00EA0376">
      <w:pPr>
        <w:pStyle w:val="Default"/>
        <w:numPr>
          <w:ilvl w:val="0"/>
          <w:numId w:val="10"/>
        </w:numPr>
        <w:jc w:val="both"/>
        <w:rPr>
          <w:color w:val="auto"/>
          <w:sz w:val="22"/>
          <w:szCs w:val="22"/>
          <w:lang w:val="sr-Latn-CS"/>
        </w:rPr>
      </w:pPr>
      <w:r w:rsidRPr="005C187F">
        <w:rPr>
          <w:color w:val="auto"/>
          <w:sz w:val="22"/>
          <w:szCs w:val="22"/>
          <w:lang w:val="sr-Latn-CS"/>
        </w:rPr>
        <w:t>približno 8 ned</w:t>
      </w:r>
      <w:r w:rsidR="001F4629" w:rsidRPr="005C187F">
        <w:rPr>
          <w:color w:val="auto"/>
          <w:sz w:val="22"/>
          <w:szCs w:val="22"/>
          <w:lang w:val="sr-Latn-CS"/>
        </w:rPr>
        <w:t>j</w:t>
      </w:r>
      <w:r w:rsidRPr="005C187F">
        <w:rPr>
          <w:color w:val="auto"/>
          <w:sz w:val="22"/>
          <w:szCs w:val="22"/>
          <w:lang w:val="sr-Latn-CS"/>
        </w:rPr>
        <w:t>elja pr</w:t>
      </w:r>
      <w:r w:rsidR="001F4629" w:rsidRPr="005C187F">
        <w:rPr>
          <w:color w:val="auto"/>
          <w:sz w:val="22"/>
          <w:szCs w:val="22"/>
          <w:lang w:val="sr-Latn-CS"/>
        </w:rPr>
        <w:t>ij</w:t>
      </w:r>
      <w:r w:rsidRPr="005C187F">
        <w:rPr>
          <w:color w:val="auto"/>
          <w:sz w:val="22"/>
          <w:szCs w:val="22"/>
          <w:lang w:val="sr-Latn-CS"/>
        </w:rPr>
        <w:t>e i do 2 ned</w:t>
      </w:r>
      <w:r w:rsidR="001F4629" w:rsidRPr="005C187F">
        <w:rPr>
          <w:color w:val="auto"/>
          <w:sz w:val="22"/>
          <w:szCs w:val="22"/>
          <w:lang w:val="sr-Latn-CS"/>
        </w:rPr>
        <w:t>j</w:t>
      </w:r>
      <w:r w:rsidRPr="005C187F">
        <w:rPr>
          <w:color w:val="auto"/>
          <w:sz w:val="22"/>
          <w:szCs w:val="22"/>
          <w:lang w:val="sr-Latn-CS"/>
        </w:rPr>
        <w:t>elje posl</w:t>
      </w:r>
      <w:r w:rsidR="001F4629" w:rsidRPr="005C187F">
        <w:rPr>
          <w:color w:val="auto"/>
          <w:sz w:val="22"/>
          <w:szCs w:val="22"/>
          <w:lang w:val="sr-Latn-CS"/>
        </w:rPr>
        <w:t>ij</w:t>
      </w:r>
      <w:r w:rsidRPr="005C187F">
        <w:rPr>
          <w:color w:val="auto"/>
          <w:sz w:val="22"/>
          <w:szCs w:val="22"/>
          <w:lang w:val="sr-Latn-CS"/>
        </w:rPr>
        <w:t>e prim</w:t>
      </w:r>
      <w:r w:rsidR="001F4629" w:rsidRPr="005C187F">
        <w:rPr>
          <w:color w:val="auto"/>
          <w:sz w:val="22"/>
          <w:szCs w:val="22"/>
          <w:lang w:val="sr-Latn-CS"/>
        </w:rPr>
        <w:t>j</w:t>
      </w:r>
      <w:r w:rsidRPr="005C187F">
        <w:rPr>
          <w:color w:val="auto"/>
          <w:sz w:val="22"/>
          <w:szCs w:val="22"/>
          <w:lang w:val="sr-Latn-CS"/>
        </w:rPr>
        <w:t>ene živih vakcina</w:t>
      </w:r>
      <w:r w:rsidR="005F396C" w:rsidRPr="005C187F">
        <w:rPr>
          <w:color w:val="auto"/>
          <w:sz w:val="22"/>
          <w:szCs w:val="22"/>
          <w:lang w:val="sr-Latn-CS"/>
        </w:rPr>
        <w:t>,</w:t>
      </w:r>
    </w:p>
    <w:p w14:paraId="3B1BAB23" w14:textId="1A47E5A1" w:rsidR="00675407" w:rsidRPr="005C187F" w:rsidRDefault="007661F0" w:rsidP="00EA0376">
      <w:pPr>
        <w:pStyle w:val="Default"/>
        <w:numPr>
          <w:ilvl w:val="0"/>
          <w:numId w:val="10"/>
        </w:numPr>
        <w:jc w:val="both"/>
        <w:rPr>
          <w:color w:val="auto"/>
          <w:sz w:val="22"/>
          <w:szCs w:val="22"/>
          <w:lang w:val="sr-Latn-CS"/>
        </w:rPr>
      </w:pPr>
      <w:r w:rsidRPr="005C187F">
        <w:rPr>
          <w:color w:val="auto"/>
          <w:sz w:val="22"/>
          <w:szCs w:val="22"/>
          <w:lang w:val="sr-Latn-CS"/>
        </w:rPr>
        <w:t>sistemske mikoze i parazitoze (npr. nematode)</w:t>
      </w:r>
      <w:r w:rsidR="00675407" w:rsidRPr="005C187F">
        <w:rPr>
          <w:color w:val="auto"/>
          <w:sz w:val="22"/>
          <w:szCs w:val="22"/>
          <w:lang w:val="sr-Latn-CS"/>
        </w:rPr>
        <w:t>,</w:t>
      </w:r>
    </w:p>
    <w:p w14:paraId="29F9BBC9" w14:textId="3E9E62A5" w:rsidR="005F396C" w:rsidRPr="005C187F" w:rsidRDefault="005F396C" w:rsidP="00EA0376">
      <w:pPr>
        <w:pStyle w:val="Default"/>
        <w:numPr>
          <w:ilvl w:val="0"/>
          <w:numId w:val="10"/>
        </w:numPr>
        <w:jc w:val="both"/>
        <w:rPr>
          <w:color w:val="auto"/>
          <w:sz w:val="22"/>
          <w:szCs w:val="22"/>
          <w:lang w:val="sr-Latn-CS"/>
        </w:rPr>
      </w:pPr>
      <w:r w:rsidRPr="005C187F">
        <w:rPr>
          <w:color w:val="auto"/>
          <w:sz w:val="22"/>
          <w:szCs w:val="22"/>
          <w:lang w:val="sr-Latn-CS"/>
        </w:rPr>
        <w:t>poznata ili suspektna strongiloidoza (infestacija parazitskim glistama). L</w:t>
      </w:r>
      <w:r w:rsidR="006241B3" w:rsidRPr="005C187F">
        <w:rPr>
          <w:color w:val="auto"/>
          <w:sz w:val="22"/>
          <w:szCs w:val="22"/>
          <w:lang w:val="sr-Latn-CS"/>
        </w:rPr>
        <w:t>ij</w:t>
      </w:r>
      <w:r w:rsidRPr="005C187F">
        <w:rPr>
          <w:color w:val="auto"/>
          <w:sz w:val="22"/>
          <w:szCs w:val="22"/>
          <w:lang w:val="sr-Latn-CS"/>
        </w:rPr>
        <w:t xml:space="preserve">ečenje glukokortikoidima može dovesti do pojačane infekcije </w:t>
      </w:r>
      <w:r w:rsidRPr="005C187F">
        <w:rPr>
          <w:i/>
          <w:iCs/>
          <w:color w:val="auto"/>
          <w:sz w:val="22"/>
          <w:szCs w:val="22"/>
          <w:lang w:val="sr-Latn-CS"/>
        </w:rPr>
        <w:t xml:space="preserve">Strongyloides stercoralis </w:t>
      </w:r>
      <w:r w:rsidRPr="005C187F">
        <w:rPr>
          <w:color w:val="auto"/>
          <w:sz w:val="22"/>
          <w:szCs w:val="22"/>
          <w:lang w:val="sr-Latn-CS"/>
        </w:rPr>
        <w:t xml:space="preserve">i diseminacije sa široko rasprostranjenom migracijom larvi. </w:t>
      </w:r>
    </w:p>
    <w:p w14:paraId="0B0FB21D" w14:textId="16A7C633" w:rsidR="00675407" w:rsidRPr="005C187F" w:rsidRDefault="007661F0" w:rsidP="00EA0376">
      <w:pPr>
        <w:pStyle w:val="Default"/>
        <w:numPr>
          <w:ilvl w:val="0"/>
          <w:numId w:val="10"/>
        </w:numPr>
        <w:jc w:val="both"/>
        <w:rPr>
          <w:color w:val="auto"/>
          <w:sz w:val="22"/>
          <w:szCs w:val="22"/>
          <w:lang w:val="sr-Latn-CS"/>
        </w:rPr>
      </w:pPr>
      <w:r w:rsidRPr="005C187F">
        <w:rPr>
          <w:color w:val="auto"/>
          <w:sz w:val="22"/>
          <w:szCs w:val="22"/>
          <w:lang w:val="sr-Latn-CS"/>
        </w:rPr>
        <w:t>poliomijelitis</w:t>
      </w:r>
      <w:r w:rsidR="00675407" w:rsidRPr="005C187F">
        <w:rPr>
          <w:color w:val="auto"/>
          <w:sz w:val="22"/>
          <w:szCs w:val="22"/>
          <w:lang w:val="sr-Latn-CS"/>
        </w:rPr>
        <w:t>,</w:t>
      </w:r>
    </w:p>
    <w:p w14:paraId="075791FC" w14:textId="13C7737E" w:rsidR="00675407" w:rsidRPr="005C187F" w:rsidRDefault="007661F0" w:rsidP="00EA0376">
      <w:pPr>
        <w:pStyle w:val="Default"/>
        <w:numPr>
          <w:ilvl w:val="0"/>
          <w:numId w:val="10"/>
        </w:numPr>
        <w:jc w:val="both"/>
        <w:rPr>
          <w:color w:val="auto"/>
          <w:sz w:val="22"/>
          <w:szCs w:val="22"/>
          <w:lang w:val="sr-Latn-CS"/>
        </w:rPr>
      </w:pPr>
      <w:r w:rsidRPr="005C187F">
        <w:rPr>
          <w:color w:val="auto"/>
          <w:sz w:val="22"/>
          <w:szCs w:val="22"/>
          <w:lang w:val="sr-Latn-CS"/>
        </w:rPr>
        <w:t>limfadenitis nakon prim</w:t>
      </w:r>
      <w:r w:rsidR="006241B3" w:rsidRPr="005C187F">
        <w:rPr>
          <w:color w:val="auto"/>
          <w:sz w:val="22"/>
          <w:szCs w:val="22"/>
          <w:lang w:val="sr-Latn-CS"/>
        </w:rPr>
        <w:t>j</w:t>
      </w:r>
      <w:r w:rsidRPr="005C187F">
        <w:rPr>
          <w:color w:val="auto"/>
          <w:sz w:val="22"/>
          <w:szCs w:val="22"/>
          <w:lang w:val="sr-Latn-CS"/>
        </w:rPr>
        <w:t>ene BCG vakcine</w:t>
      </w:r>
      <w:r w:rsidR="00675407" w:rsidRPr="005C187F">
        <w:rPr>
          <w:color w:val="auto"/>
          <w:sz w:val="22"/>
          <w:szCs w:val="22"/>
          <w:lang w:val="sr-Latn-CS"/>
        </w:rPr>
        <w:t>,</w:t>
      </w:r>
    </w:p>
    <w:p w14:paraId="33DDDA0C" w14:textId="4EAF7C67" w:rsidR="00675407" w:rsidRPr="005C187F" w:rsidRDefault="007661F0" w:rsidP="00EA0376">
      <w:pPr>
        <w:pStyle w:val="Default"/>
        <w:numPr>
          <w:ilvl w:val="0"/>
          <w:numId w:val="10"/>
        </w:numPr>
        <w:jc w:val="both"/>
        <w:rPr>
          <w:color w:val="auto"/>
          <w:sz w:val="22"/>
          <w:szCs w:val="22"/>
          <w:lang w:val="sr-Latn-CS"/>
        </w:rPr>
      </w:pPr>
      <w:r w:rsidRPr="005C187F">
        <w:rPr>
          <w:color w:val="auto"/>
          <w:sz w:val="22"/>
          <w:szCs w:val="22"/>
          <w:lang w:val="sr-Latn-CS"/>
        </w:rPr>
        <w:t>akutne i hronične bakterijske infekcije</w:t>
      </w:r>
      <w:r w:rsidR="00675407" w:rsidRPr="005C187F">
        <w:rPr>
          <w:color w:val="auto"/>
          <w:sz w:val="22"/>
          <w:szCs w:val="22"/>
          <w:lang w:val="sr-Latn-CS"/>
        </w:rPr>
        <w:t>,</w:t>
      </w:r>
    </w:p>
    <w:p w14:paraId="5F186D5C" w14:textId="65A65B46" w:rsidR="00675407" w:rsidRPr="005C187F" w:rsidRDefault="007661F0" w:rsidP="00EA0376">
      <w:pPr>
        <w:pStyle w:val="Default"/>
        <w:numPr>
          <w:ilvl w:val="0"/>
          <w:numId w:val="10"/>
        </w:numPr>
        <w:jc w:val="both"/>
        <w:rPr>
          <w:color w:val="auto"/>
          <w:sz w:val="22"/>
          <w:szCs w:val="22"/>
          <w:lang w:val="sr-Latn-CS"/>
        </w:rPr>
      </w:pPr>
      <w:r w:rsidRPr="005C187F">
        <w:rPr>
          <w:color w:val="auto"/>
          <w:sz w:val="22"/>
          <w:szCs w:val="22"/>
          <w:lang w:val="sr-Latn-CS"/>
        </w:rPr>
        <w:t>kod preležane tuberkuloze (rizik od ponovne aktivacije) prim</w:t>
      </w:r>
      <w:r w:rsidR="006241B3" w:rsidRPr="005C187F">
        <w:rPr>
          <w:color w:val="auto"/>
          <w:sz w:val="22"/>
          <w:szCs w:val="22"/>
          <w:lang w:val="sr-Latn-CS"/>
        </w:rPr>
        <w:t>j</w:t>
      </w:r>
      <w:r w:rsidRPr="005C187F">
        <w:rPr>
          <w:color w:val="auto"/>
          <w:sz w:val="22"/>
          <w:szCs w:val="22"/>
          <w:lang w:val="sr-Latn-CS"/>
        </w:rPr>
        <w:t>enjivati samo pod tuberkulostatskom zaštitom</w:t>
      </w:r>
      <w:r w:rsidR="005F396C" w:rsidRPr="005C187F">
        <w:rPr>
          <w:color w:val="auto"/>
          <w:sz w:val="22"/>
          <w:szCs w:val="22"/>
          <w:lang w:val="sr-Latn-CS"/>
        </w:rPr>
        <w:t>.</w:t>
      </w:r>
    </w:p>
    <w:p w14:paraId="25F7E87F" w14:textId="77777777" w:rsidR="007661F0" w:rsidRPr="005C187F" w:rsidRDefault="007661F0" w:rsidP="00EA0376">
      <w:pPr>
        <w:pStyle w:val="Default"/>
        <w:jc w:val="both"/>
        <w:rPr>
          <w:color w:val="auto"/>
          <w:sz w:val="22"/>
          <w:szCs w:val="22"/>
          <w:lang w:val="sr-Latn-CS"/>
        </w:rPr>
      </w:pPr>
    </w:p>
    <w:p w14:paraId="25F7E880" w14:textId="5F7EB260" w:rsidR="007661F0" w:rsidRPr="005C187F" w:rsidRDefault="007661F0" w:rsidP="00EA0376">
      <w:pPr>
        <w:pStyle w:val="Default"/>
        <w:jc w:val="both"/>
        <w:rPr>
          <w:color w:val="auto"/>
          <w:sz w:val="22"/>
          <w:szCs w:val="22"/>
          <w:lang w:val="sr-Latn-CS"/>
        </w:rPr>
      </w:pPr>
      <w:r w:rsidRPr="005C187F">
        <w:rPr>
          <w:color w:val="auto"/>
          <w:sz w:val="22"/>
          <w:szCs w:val="22"/>
          <w:lang w:val="sr-Latn-CS"/>
        </w:rPr>
        <w:t>Osim toga, l</w:t>
      </w:r>
      <w:r w:rsidR="006241B3" w:rsidRPr="005C187F">
        <w:rPr>
          <w:color w:val="auto"/>
          <w:sz w:val="22"/>
          <w:szCs w:val="22"/>
          <w:lang w:val="sr-Latn-CS"/>
        </w:rPr>
        <w:t>ij</w:t>
      </w:r>
      <w:r w:rsidRPr="005C187F">
        <w:rPr>
          <w:color w:val="auto"/>
          <w:sz w:val="22"/>
          <w:szCs w:val="22"/>
          <w:lang w:val="sr-Latn-CS"/>
        </w:rPr>
        <w:t>ečenje deksametazonom se sm</w:t>
      </w:r>
      <w:r w:rsidR="006241B3" w:rsidRPr="005C187F">
        <w:rPr>
          <w:color w:val="auto"/>
          <w:sz w:val="22"/>
          <w:szCs w:val="22"/>
          <w:lang w:val="sr-Latn-CS"/>
        </w:rPr>
        <w:t>ij</w:t>
      </w:r>
      <w:r w:rsidRPr="005C187F">
        <w:rPr>
          <w:color w:val="auto"/>
          <w:sz w:val="22"/>
          <w:szCs w:val="22"/>
          <w:lang w:val="sr-Latn-CS"/>
        </w:rPr>
        <w:t>e sprovoditi samo kod jakih indikacija i, po potrebi, sprovoditi dodatno specifično l</w:t>
      </w:r>
      <w:r w:rsidR="006241B3" w:rsidRPr="005C187F">
        <w:rPr>
          <w:color w:val="auto"/>
          <w:sz w:val="22"/>
          <w:szCs w:val="22"/>
          <w:lang w:val="sr-Latn-CS"/>
        </w:rPr>
        <w:t>ij</w:t>
      </w:r>
      <w:r w:rsidRPr="005C187F">
        <w:rPr>
          <w:color w:val="auto"/>
          <w:sz w:val="22"/>
          <w:szCs w:val="22"/>
          <w:lang w:val="sr-Latn-CS"/>
        </w:rPr>
        <w:t xml:space="preserve">ečenje ukoliko postoje: </w:t>
      </w:r>
    </w:p>
    <w:p w14:paraId="5B9B3A3A" w14:textId="0F655583" w:rsidR="00675407" w:rsidRPr="005C187F" w:rsidRDefault="007661F0" w:rsidP="00EA0376">
      <w:pPr>
        <w:pStyle w:val="Default"/>
        <w:numPr>
          <w:ilvl w:val="0"/>
          <w:numId w:val="11"/>
        </w:numPr>
        <w:jc w:val="both"/>
        <w:rPr>
          <w:color w:val="auto"/>
          <w:sz w:val="22"/>
          <w:szCs w:val="22"/>
          <w:lang w:val="sr-Latn-CS"/>
        </w:rPr>
      </w:pPr>
      <w:r w:rsidRPr="005C187F">
        <w:rPr>
          <w:color w:val="auto"/>
          <w:sz w:val="22"/>
          <w:szCs w:val="22"/>
          <w:lang w:val="sr-Latn-CS"/>
        </w:rPr>
        <w:t>gastrointestinalni ulkusi</w:t>
      </w:r>
      <w:r w:rsidR="00675407" w:rsidRPr="005C187F">
        <w:rPr>
          <w:color w:val="auto"/>
          <w:sz w:val="22"/>
          <w:szCs w:val="22"/>
          <w:lang w:val="sr-Latn-CS"/>
        </w:rPr>
        <w:t>,</w:t>
      </w:r>
    </w:p>
    <w:p w14:paraId="12C48EF9" w14:textId="2848AFDB" w:rsidR="00675407" w:rsidRPr="005C187F" w:rsidRDefault="007661F0" w:rsidP="00EA0376">
      <w:pPr>
        <w:pStyle w:val="Default"/>
        <w:numPr>
          <w:ilvl w:val="0"/>
          <w:numId w:val="11"/>
        </w:numPr>
        <w:jc w:val="both"/>
        <w:rPr>
          <w:color w:val="auto"/>
          <w:sz w:val="22"/>
          <w:szCs w:val="22"/>
          <w:lang w:val="sr-Latn-CS"/>
        </w:rPr>
      </w:pPr>
      <w:r w:rsidRPr="005C187F">
        <w:rPr>
          <w:color w:val="auto"/>
          <w:sz w:val="22"/>
          <w:szCs w:val="22"/>
          <w:lang w:val="sr-Latn-CS"/>
        </w:rPr>
        <w:t>osteoporoza</w:t>
      </w:r>
      <w:r w:rsidR="00675407" w:rsidRPr="005C187F">
        <w:rPr>
          <w:color w:val="auto"/>
          <w:sz w:val="22"/>
          <w:szCs w:val="22"/>
          <w:lang w:val="sr-Latn-CS"/>
        </w:rPr>
        <w:t>,</w:t>
      </w:r>
    </w:p>
    <w:p w14:paraId="5F90C48F" w14:textId="594537BF" w:rsidR="005F396C" w:rsidRPr="005C187F" w:rsidRDefault="009E7027" w:rsidP="00EA0376">
      <w:pPr>
        <w:pStyle w:val="Default"/>
        <w:numPr>
          <w:ilvl w:val="0"/>
          <w:numId w:val="11"/>
        </w:numPr>
        <w:jc w:val="both"/>
        <w:rPr>
          <w:color w:val="auto"/>
          <w:sz w:val="22"/>
          <w:szCs w:val="22"/>
          <w:lang w:val="sr-Latn-CS"/>
        </w:rPr>
      </w:pPr>
      <w:r w:rsidRPr="005C187F">
        <w:rPr>
          <w:color w:val="auto"/>
          <w:sz w:val="22"/>
          <w:szCs w:val="22"/>
          <w:lang w:val="sr-Latn-CS"/>
        </w:rPr>
        <w:t>teška srčana insuficijencija</w:t>
      </w:r>
      <w:r w:rsidR="005F396C" w:rsidRPr="005C187F">
        <w:rPr>
          <w:color w:val="auto"/>
          <w:sz w:val="22"/>
          <w:szCs w:val="22"/>
          <w:lang w:val="sr-Latn-CS"/>
        </w:rPr>
        <w:t>,</w:t>
      </w:r>
    </w:p>
    <w:p w14:paraId="796581B9" w14:textId="68F327D9" w:rsidR="00675407" w:rsidRPr="005C187F" w:rsidRDefault="007661F0" w:rsidP="00EA0376">
      <w:pPr>
        <w:pStyle w:val="Default"/>
        <w:numPr>
          <w:ilvl w:val="0"/>
          <w:numId w:val="11"/>
        </w:numPr>
        <w:jc w:val="both"/>
        <w:rPr>
          <w:color w:val="auto"/>
          <w:sz w:val="22"/>
          <w:szCs w:val="22"/>
          <w:lang w:val="sr-Latn-CS"/>
        </w:rPr>
      </w:pPr>
      <w:r w:rsidRPr="005C187F">
        <w:rPr>
          <w:color w:val="auto"/>
          <w:sz w:val="22"/>
          <w:szCs w:val="22"/>
          <w:lang w:val="sr-Latn-CS"/>
        </w:rPr>
        <w:t>visok krvni pritisak koji je teško regulisati</w:t>
      </w:r>
      <w:r w:rsidR="00675407" w:rsidRPr="005C187F">
        <w:rPr>
          <w:color w:val="auto"/>
          <w:sz w:val="22"/>
          <w:szCs w:val="22"/>
          <w:lang w:val="sr-Latn-CS"/>
        </w:rPr>
        <w:t>,</w:t>
      </w:r>
    </w:p>
    <w:p w14:paraId="090ED458" w14:textId="3CF95E3F" w:rsidR="00675407" w:rsidRPr="005C187F" w:rsidRDefault="007661F0" w:rsidP="00EA0376">
      <w:pPr>
        <w:pStyle w:val="Default"/>
        <w:numPr>
          <w:ilvl w:val="0"/>
          <w:numId w:val="11"/>
        </w:numPr>
        <w:jc w:val="both"/>
        <w:rPr>
          <w:color w:val="auto"/>
          <w:sz w:val="22"/>
          <w:szCs w:val="22"/>
          <w:lang w:val="sr-Latn-CS"/>
        </w:rPr>
      </w:pPr>
      <w:r w:rsidRPr="005C187F">
        <w:rPr>
          <w:color w:val="auto"/>
          <w:sz w:val="22"/>
          <w:szCs w:val="22"/>
          <w:lang w:val="sr-Latn-CS"/>
        </w:rPr>
        <w:t>dijabetes melitus koji je teško regulisati</w:t>
      </w:r>
      <w:r w:rsidR="00675407" w:rsidRPr="005C187F">
        <w:rPr>
          <w:color w:val="auto"/>
          <w:sz w:val="22"/>
          <w:szCs w:val="22"/>
          <w:lang w:val="sr-Latn-CS"/>
        </w:rPr>
        <w:t>,</w:t>
      </w:r>
    </w:p>
    <w:p w14:paraId="0F97E50F" w14:textId="4F788E60" w:rsidR="00675407" w:rsidRPr="005C187F" w:rsidRDefault="007661F0" w:rsidP="00EA0376">
      <w:pPr>
        <w:pStyle w:val="Default"/>
        <w:numPr>
          <w:ilvl w:val="0"/>
          <w:numId w:val="11"/>
        </w:numPr>
        <w:jc w:val="both"/>
        <w:rPr>
          <w:color w:val="auto"/>
          <w:sz w:val="22"/>
          <w:szCs w:val="22"/>
          <w:lang w:val="sr-Latn-CS"/>
        </w:rPr>
      </w:pPr>
      <w:r w:rsidRPr="005C187F">
        <w:rPr>
          <w:color w:val="auto"/>
          <w:sz w:val="22"/>
          <w:szCs w:val="22"/>
          <w:lang w:val="sr-Latn-CS"/>
        </w:rPr>
        <w:t>psihijatrijski poremećaji (uključujući ove poremećaje u anamnezi)</w:t>
      </w:r>
      <w:r w:rsidR="00675407" w:rsidRPr="005C187F">
        <w:rPr>
          <w:color w:val="auto"/>
          <w:sz w:val="22"/>
          <w:szCs w:val="22"/>
          <w:lang w:val="sr-Latn-CS"/>
        </w:rPr>
        <w:t>,</w:t>
      </w:r>
      <w:r w:rsidR="001E427C" w:rsidRPr="005C187F">
        <w:rPr>
          <w:color w:val="auto"/>
          <w:sz w:val="22"/>
          <w:szCs w:val="22"/>
          <w:lang w:val="sr-Latn-CS"/>
        </w:rPr>
        <w:t xml:space="preserve"> uključujući suidicidalne </w:t>
      </w:r>
      <w:r w:rsidR="009E7027" w:rsidRPr="005C187F">
        <w:rPr>
          <w:color w:val="auto"/>
          <w:sz w:val="22"/>
          <w:szCs w:val="22"/>
          <w:lang w:val="sr-Latn-CS"/>
        </w:rPr>
        <w:t>ideje</w:t>
      </w:r>
      <w:r w:rsidR="001E427C" w:rsidRPr="005C187F">
        <w:rPr>
          <w:color w:val="auto"/>
          <w:sz w:val="22"/>
          <w:szCs w:val="22"/>
          <w:lang w:val="sr-Latn-CS"/>
        </w:rPr>
        <w:t>; preporučuje se neurološko ili psihijatrijsko praćenje,</w:t>
      </w:r>
    </w:p>
    <w:p w14:paraId="5C68BF61" w14:textId="078F224E" w:rsidR="00675407" w:rsidRPr="005C187F" w:rsidRDefault="007661F0" w:rsidP="00EA0376">
      <w:pPr>
        <w:pStyle w:val="Default"/>
        <w:numPr>
          <w:ilvl w:val="0"/>
          <w:numId w:val="11"/>
        </w:numPr>
        <w:jc w:val="both"/>
        <w:rPr>
          <w:color w:val="auto"/>
          <w:sz w:val="22"/>
          <w:szCs w:val="22"/>
          <w:lang w:val="sr-Latn-CS"/>
        </w:rPr>
      </w:pPr>
      <w:r w:rsidRPr="005C187F">
        <w:rPr>
          <w:color w:val="auto"/>
          <w:sz w:val="22"/>
          <w:szCs w:val="22"/>
          <w:lang w:val="sr-Latn-CS"/>
        </w:rPr>
        <w:t>glaukom zatvorenog ugla i glaukom širokog (otvorenog) ugla</w:t>
      </w:r>
      <w:r w:rsidR="001E427C" w:rsidRPr="005C187F">
        <w:rPr>
          <w:color w:val="auto"/>
          <w:sz w:val="22"/>
          <w:szCs w:val="22"/>
          <w:lang w:val="sr-Latn-CS"/>
        </w:rPr>
        <w:t>; preporučuje se oftalmološko praćenje i dodatna terapija,</w:t>
      </w:r>
    </w:p>
    <w:p w14:paraId="6EAD3797" w14:textId="71C39756" w:rsidR="00675407" w:rsidRPr="005C187F" w:rsidRDefault="007661F0" w:rsidP="00EA0376">
      <w:pPr>
        <w:pStyle w:val="Default"/>
        <w:numPr>
          <w:ilvl w:val="0"/>
          <w:numId w:val="11"/>
        </w:numPr>
        <w:jc w:val="both"/>
        <w:rPr>
          <w:color w:val="auto"/>
          <w:sz w:val="22"/>
          <w:szCs w:val="22"/>
          <w:lang w:val="sr-Latn-CS"/>
        </w:rPr>
      </w:pPr>
      <w:r w:rsidRPr="005C187F">
        <w:rPr>
          <w:color w:val="auto"/>
          <w:sz w:val="22"/>
          <w:szCs w:val="22"/>
          <w:lang w:val="sr-Latn-CS"/>
        </w:rPr>
        <w:t>ulceracije rožnjače i povrede rožnjače</w:t>
      </w:r>
      <w:r w:rsidR="00675407" w:rsidRPr="005C187F">
        <w:rPr>
          <w:color w:val="auto"/>
          <w:sz w:val="22"/>
          <w:szCs w:val="22"/>
          <w:lang w:val="sr-Latn-CS"/>
        </w:rPr>
        <w:t>,</w:t>
      </w:r>
      <w:r w:rsidR="001E427C" w:rsidRPr="005C187F">
        <w:rPr>
          <w:color w:val="auto"/>
          <w:sz w:val="22"/>
          <w:szCs w:val="22"/>
          <w:lang w:val="sr-Latn-CS"/>
        </w:rPr>
        <w:t xml:space="preserve"> preporučuje se oftalmološko praćenje i dodatna terapija.</w:t>
      </w:r>
    </w:p>
    <w:p w14:paraId="7791BBE5" w14:textId="2E7264D6" w:rsidR="00B479C4" w:rsidRPr="005C187F" w:rsidRDefault="00B479C4" w:rsidP="00EA0376">
      <w:pPr>
        <w:pStyle w:val="Default"/>
        <w:jc w:val="both"/>
        <w:rPr>
          <w:color w:val="auto"/>
          <w:sz w:val="22"/>
          <w:szCs w:val="22"/>
          <w:lang w:val="sr-Latn-CS"/>
        </w:rPr>
      </w:pPr>
    </w:p>
    <w:p w14:paraId="6D1D03D5" w14:textId="55A9F4AC" w:rsidR="00180A2E" w:rsidRPr="005C187F" w:rsidRDefault="00180A2E" w:rsidP="00EA0376">
      <w:pPr>
        <w:pStyle w:val="Default"/>
        <w:jc w:val="both"/>
        <w:rPr>
          <w:color w:val="auto"/>
          <w:sz w:val="22"/>
          <w:szCs w:val="22"/>
          <w:lang w:val="sr-Latn-CS"/>
        </w:rPr>
      </w:pPr>
      <w:r w:rsidRPr="005C187F">
        <w:rPr>
          <w:i/>
          <w:iCs/>
          <w:color w:val="auto"/>
          <w:sz w:val="22"/>
          <w:szCs w:val="22"/>
          <w:lang w:val="sr-Latn-CS"/>
        </w:rPr>
        <w:t>Perforacija cr</w:t>
      </w:r>
      <w:r w:rsidR="006241B3" w:rsidRPr="005C187F">
        <w:rPr>
          <w:i/>
          <w:iCs/>
          <w:color w:val="auto"/>
          <w:sz w:val="22"/>
          <w:szCs w:val="22"/>
          <w:lang w:val="sr-Latn-CS"/>
        </w:rPr>
        <w:t>ij</w:t>
      </w:r>
      <w:r w:rsidRPr="005C187F">
        <w:rPr>
          <w:i/>
          <w:iCs/>
          <w:color w:val="auto"/>
          <w:sz w:val="22"/>
          <w:szCs w:val="22"/>
          <w:lang w:val="sr-Latn-CS"/>
        </w:rPr>
        <w:t xml:space="preserve">eva </w:t>
      </w:r>
    </w:p>
    <w:p w14:paraId="0D28E164" w14:textId="70458C23" w:rsidR="00180A2E" w:rsidRPr="005C187F" w:rsidRDefault="00180A2E" w:rsidP="00EA0376">
      <w:pPr>
        <w:pStyle w:val="Default"/>
        <w:jc w:val="both"/>
        <w:rPr>
          <w:color w:val="auto"/>
          <w:sz w:val="22"/>
          <w:szCs w:val="22"/>
          <w:lang w:val="sr-Latn-CS"/>
        </w:rPr>
      </w:pPr>
      <w:r w:rsidRPr="005C187F">
        <w:rPr>
          <w:color w:val="auto"/>
          <w:sz w:val="22"/>
          <w:szCs w:val="22"/>
          <w:lang w:val="sr-Latn-CS"/>
        </w:rPr>
        <w:t>Zbog rizika od perforacije cr</w:t>
      </w:r>
      <w:r w:rsidR="006241B3" w:rsidRPr="005C187F">
        <w:rPr>
          <w:color w:val="auto"/>
          <w:sz w:val="22"/>
          <w:szCs w:val="22"/>
          <w:lang w:val="sr-Latn-CS"/>
        </w:rPr>
        <w:t>ij</w:t>
      </w:r>
      <w:r w:rsidRPr="005C187F">
        <w:rPr>
          <w:color w:val="auto"/>
          <w:sz w:val="22"/>
          <w:szCs w:val="22"/>
          <w:lang w:val="sr-Latn-CS"/>
        </w:rPr>
        <w:t>eva, deksametazon se sm</w:t>
      </w:r>
      <w:r w:rsidR="006241B3" w:rsidRPr="005C187F">
        <w:rPr>
          <w:color w:val="auto"/>
          <w:sz w:val="22"/>
          <w:szCs w:val="22"/>
          <w:lang w:val="sr-Latn-CS"/>
        </w:rPr>
        <w:t>ij</w:t>
      </w:r>
      <w:r w:rsidRPr="005C187F">
        <w:rPr>
          <w:color w:val="auto"/>
          <w:sz w:val="22"/>
          <w:szCs w:val="22"/>
          <w:lang w:val="sr-Latn-CS"/>
        </w:rPr>
        <w:t>e prim</w:t>
      </w:r>
      <w:r w:rsidR="006241B3" w:rsidRPr="005C187F">
        <w:rPr>
          <w:color w:val="auto"/>
          <w:sz w:val="22"/>
          <w:szCs w:val="22"/>
          <w:lang w:val="sr-Latn-CS"/>
        </w:rPr>
        <w:t>j</w:t>
      </w:r>
      <w:r w:rsidRPr="005C187F">
        <w:rPr>
          <w:color w:val="auto"/>
          <w:sz w:val="22"/>
          <w:szCs w:val="22"/>
          <w:lang w:val="sr-Latn-CS"/>
        </w:rPr>
        <w:t xml:space="preserve">enjivati samo u slučaju hitne indikacije i pod odgovarajućim nadzorom za: </w:t>
      </w:r>
    </w:p>
    <w:p w14:paraId="745B7917" w14:textId="77777777" w:rsidR="00180A2E" w:rsidRPr="005C187F" w:rsidRDefault="00180A2E" w:rsidP="00EA0376">
      <w:pPr>
        <w:pStyle w:val="Default"/>
        <w:numPr>
          <w:ilvl w:val="0"/>
          <w:numId w:val="12"/>
        </w:numPr>
        <w:jc w:val="both"/>
        <w:rPr>
          <w:color w:val="auto"/>
          <w:sz w:val="22"/>
          <w:szCs w:val="22"/>
          <w:lang w:val="sr-Latn-CS"/>
        </w:rPr>
      </w:pPr>
      <w:r w:rsidRPr="005C187F">
        <w:rPr>
          <w:color w:val="auto"/>
          <w:sz w:val="22"/>
          <w:szCs w:val="22"/>
          <w:lang w:val="sr-Latn-CS"/>
        </w:rPr>
        <w:t>teški ulcerozni kolitis s rizikom od perforacije,</w:t>
      </w:r>
    </w:p>
    <w:p w14:paraId="7441574C" w14:textId="77777777" w:rsidR="00180A2E" w:rsidRPr="005C187F" w:rsidRDefault="00180A2E" w:rsidP="00EA0376">
      <w:pPr>
        <w:pStyle w:val="Default"/>
        <w:numPr>
          <w:ilvl w:val="0"/>
          <w:numId w:val="12"/>
        </w:numPr>
        <w:jc w:val="both"/>
        <w:rPr>
          <w:color w:val="auto"/>
          <w:sz w:val="22"/>
          <w:szCs w:val="22"/>
          <w:lang w:val="sr-Latn-CS"/>
        </w:rPr>
      </w:pPr>
      <w:r w:rsidRPr="005C187F">
        <w:rPr>
          <w:color w:val="auto"/>
          <w:sz w:val="22"/>
          <w:szCs w:val="22"/>
          <w:lang w:val="sr-Latn-CS"/>
        </w:rPr>
        <w:t>divertikulitis,</w:t>
      </w:r>
    </w:p>
    <w:p w14:paraId="09BEE6D7" w14:textId="77777777" w:rsidR="00180A2E" w:rsidRPr="005C187F" w:rsidRDefault="00180A2E" w:rsidP="00EA0376">
      <w:pPr>
        <w:pStyle w:val="Default"/>
        <w:numPr>
          <w:ilvl w:val="0"/>
          <w:numId w:val="12"/>
        </w:numPr>
        <w:jc w:val="both"/>
        <w:rPr>
          <w:color w:val="auto"/>
          <w:sz w:val="22"/>
          <w:szCs w:val="22"/>
          <w:lang w:val="sr-Latn-CS"/>
        </w:rPr>
      </w:pPr>
      <w:r w:rsidRPr="005C187F">
        <w:rPr>
          <w:color w:val="auto"/>
          <w:sz w:val="22"/>
          <w:szCs w:val="22"/>
          <w:lang w:val="sr-Latn-CS"/>
        </w:rPr>
        <w:t>enteroanastomozu (odmah nakon operacije).</w:t>
      </w:r>
    </w:p>
    <w:p w14:paraId="3C504B57" w14:textId="77777777" w:rsidR="00180A2E" w:rsidRPr="005C187F" w:rsidRDefault="00180A2E" w:rsidP="00EA0376">
      <w:pPr>
        <w:pStyle w:val="Default"/>
        <w:jc w:val="both"/>
        <w:rPr>
          <w:color w:val="auto"/>
          <w:sz w:val="22"/>
          <w:szCs w:val="22"/>
          <w:lang w:val="sr-Latn-CS"/>
        </w:rPr>
      </w:pPr>
    </w:p>
    <w:p w14:paraId="0A38E157" w14:textId="616DF929" w:rsidR="00180A2E" w:rsidRPr="005C187F" w:rsidRDefault="00180A2E" w:rsidP="00EA0376">
      <w:pPr>
        <w:pStyle w:val="Default"/>
        <w:jc w:val="both"/>
        <w:rPr>
          <w:color w:val="auto"/>
          <w:sz w:val="22"/>
          <w:szCs w:val="22"/>
          <w:lang w:val="sr-Latn-CS"/>
        </w:rPr>
      </w:pPr>
      <w:r w:rsidRPr="005C187F">
        <w:rPr>
          <w:color w:val="auto"/>
          <w:sz w:val="22"/>
          <w:szCs w:val="22"/>
          <w:lang w:val="sr-Latn-CS"/>
        </w:rPr>
        <w:t xml:space="preserve">Znakovi peritonealne iritacije nakon gastrointestinalne perforacije mogu izostati kod pacijenata koji primaju velike doze glukokortikoida. </w:t>
      </w:r>
    </w:p>
    <w:p w14:paraId="7BAA6CB1" w14:textId="77777777" w:rsidR="00180A2E" w:rsidRPr="005C187F" w:rsidRDefault="00180A2E" w:rsidP="00EA0376">
      <w:pPr>
        <w:pStyle w:val="Default"/>
        <w:jc w:val="both"/>
        <w:rPr>
          <w:color w:val="auto"/>
          <w:sz w:val="22"/>
          <w:szCs w:val="22"/>
          <w:lang w:val="sr-Latn-CS"/>
        </w:rPr>
      </w:pPr>
    </w:p>
    <w:p w14:paraId="06143441" w14:textId="77777777" w:rsidR="00180A2E" w:rsidRPr="005C187F" w:rsidRDefault="00180A2E" w:rsidP="00EA0376">
      <w:pPr>
        <w:pStyle w:val="Default"/>
        <w:jc w:val="both"/>
        <w:rPr>
          <w:color w:val="auto"/>
          <w:sz w:val="22"/>
          <w:szCs w:val="22"/>
          <w:lang w:val="sr-Latn-CS"/>
        </w:rPr>
      </w:pPr>
      <w:r w:rsidRPr="005C187F">
        <w:rPr>
          <w:i/>
          <w:iCs/>
          <w:color w:val="auto"/>
          <w:sz w:val="22"/>
          <w:szCs w:val="22"/>
          <w:lang w:val="sr-Latn-CS"/>
        </w:rPr>
        <w:t xml:space="preserve">Dijabetes </w:t>
      </w:r>
    </w:p>
    <w:p w14:paraId="5025656C" w14:textId="371E1586" w:rsidR="00180A2E" w:rsidRPr="005C187F" w:rsidRDefault="00180A2E" w:rsidP="00EA0376">
      <w:pPr>
        <w:pStyle w:val="Default"/>
        <w:jc w:val="both"/>
        <w:rPr>
          <w:color w:val="auto"/>
          <w:sz w:val="22"/>
          <w:szCs w:val="22"/>
          <w:lang w:val="sr-Latn-CS"/>
        </w:rPr>
      </w:pPr>
      <w:r w:rsidRPr="005C187F">
        <w:rPr>
          <w:color w:val="auto"/>
          <w:sz w:val="22"/>
          <w:szCs w:val="22"/>
          <w:lang w:val="sr-Latn-CS"/>
        </w:rPr>
        <w:t>Kada se deksametazon prim</w:t>
      </w:r>
      <w:r w:rsidR="006241B3" w:rsidRPr="005C187F">
        <w:rPr>
          <w:color w:val="auto"/>
          <w:sz w:val="22"/>
          <w:szCs w:val="22"/>
          <w:lang w:val="sr-Latn-CS"/>
        </w:rPr>
        <w:t>j</w:t>
      </w:r>
      <w:r w:rsidRPr="005C187F">
        <w:rPr>
          <w:color w:val="auto"/>
          <w:sz w:val="22"/>
          <w:szCs w:val="22"/>
          <w:lang w:val="sr-Latn-CS"/>
        </w:rPr>
        <w:t xml:space="preserve">enjuje kod dijabetičara, mora se uzeti u obzir veća potreba za insulinom ili oralnim antidijabeticima. </w:t>
      </w:r>
    </w:p>
    <w:p w14:paraId="51543929" w14:textId="5C1DEF2F" w:rsidR="00B479C4" w:rsidRPr="005C187F" w:rsidRDefault="00B479C4" w:rsidP="00EA0376">
      <w:pPr>
        <w:pStyle w:val="Default"/>
        <w:jc w:val="both"/>
        <w:rPr>
          <w:color w:val="auto"/>
          <w:sz w:val="22"/>
          <w:szCs w:val="22"/>
          <w:lang w:val="sr-Latn-CS"/>
        </w:rPr>
      </w:pPr>
    </w:p>
    <w:p w14:paraId="32453864" w14:textId="77777777" w:rsidR="00180A2E" w:rsidRPr="005C187F" w:rsidRDefault="00180A2E" w:rsidP="00EA0376">
      <w:pPr>
        <w:pStyle w:val="Default"/>
        <w:jc w:val="both"/>
        <w:rPr>
          <w:color w:val="auto"/>
          <w:sz w:val="22"/>
          <w:szCs w:val="22"/>
          <w:lang w:val="sr-Latn-CS"/>
        </w:rPr>
      </w:pPr>
      <w:r w:rsidRPr="005C187F">
        <w:rPr>
          <w:i/>
          <w:iCs/>
          <w:color w:val="auto"/>
          <w:sz w:val="22"/>
          <w:szCs w:val="22"/>
          <w:lang w:val="sr-Latn-CS"/>
        </w:rPr>
        <w:t xml:space="preserve">Kardiovaskularni poremećaji </w:t>
      </w:r>
    </w:p>
    <w:p w14:paraId="24912A0C" w14:textId="234C357C" w:rsidR="00180A2E" w:rsidRPr="005C187F" w:rsidRDefault="00180A2E" w:rsidP="00EA0376">
      <w:pPr>
        <w:pStyle w:val="Default"/>
        <w:jc w:val="both"/>
        <w:rPr>
          <w:color w:val="auto"/>
          <w:sz w:val="22"/>
          <w:szCs w:val="22"/>
          <w:lang w:val="sr-Latn-CS"/>
        </w:rPr>
      </w:pPr>
      <w:r w:rsidRPr="005C187F">
        <w:rPr>
          <w:color w:val="auto"/>
          <w:sz w:val="22"/>
          <w:szCs w:val="22"/>
          <w:lang w:val="sr-Latn-CS"/>
        </w:rPr>
        <w:t>Potrebno je redovno pratiti krvni pritisak tokom l</w:t>
      </w:r>
      <w:r w:rsidR="006241B3" w:rsidRPr="005C187F">
        <w:rPr>
          <w:color w:val="auto"/>
          <w:sz w:val="22"/>
          <w:szCs w:val="22"/>
          <w:lang w:val="sr-Latn-CS"/>
        </w:rPr>
        <w:t>ij</w:t>
      </w:r>
      <w:r w:rsidRPr="005C187F">
        <w:rPr>
          <w:color w:val="auto"/>
          <w:sz w:val="22"/>
          <w:szCs w:val="22"/>
          <w:lang w:val="sr-Latn-CS"/>
        </w:rPr>
        <w:t>ečenja deksametazonom, a posebno tokom prim</w:t>
      </w:r>
      <w:r w:rsidR="006241B3" w:rsidRPr="005C187F">
        <w:rPr>
          <w:color w:val="auto"/>
          <w:sz w:val="22"/>
          <w:szCs w:val="22"/>
          <w:lang w:val="sr-Latn-CS"/>
        </w:rPr>
        <w:t>j</w:t>
      </w:r>
      <w:r w:rsidRPr="005C187F">
        <w:rPr>
          <w:color w:val="auto"/>
          <w:sz w:val="22"/>
          <w:szCs w:val="22"/>
          <w:lang w:val="sr-Latn-CS"/>
        </w:rPr>
        <w:t xml:space="preserve">ene većih doza i kod pacijenata s visokim krvnim pritiskom koji je teško regulisati. Zbog rizika od pogoršanja treba redovno pratiti bolesnike s teškom insuficijencijom srca. </w:t>
      </w:r>
    </w:p>
    <w:p w14:paraId="7006E067" w14:textId="209A5A8B" w:rsidR="00180A2E" w:rsidRPr="005C187F" w:rsidRDefault="00180A2E" w:rsidP="00EA0376">
      <w:pPr>
        <w:pStyle w:val="Default"/>
        <w:jc w:val="both"/>
        <w:rPr>
          <w:color w:val="auto"/>
          <w:sz w:val="22"/>
          <w:szCs w:val="22"/>
          <w:lang w:val="sr-Latn-CS"/>
        </w:rPr>
      </w:pPr>
      <w:r w:rsidRPr="005C187F">
        <w:rPr>
          <w:color w:val="auto"/>
          <w:sz w:val="22"/>
          <w:szCs w:val="22"/>
          <w:lang w:val="sr-Latn-CS"/>
        </w:rPr>
        <w:t>Moguća je bradikardija kod bolesnika koji se l</w:t>
      </w:r>
      <w:r w:rsidR="006241B3" w:rsidRPr="005C187F">
        <w:rPr>
          <w:color w:val="auto"/>
          <w:sz w:val="22"/>
          <w:szCs w:val="22"/>
          <w:lang w:val="sr-Latn-CS"/>
        </w:rPr>
        <w:t>ij</w:t>
      </w:r>
      <w:r w:rsidRPr="005C187F">
        <w:rPr>
          <w:color w:val="auto"/>
          <w:sz w:val="22"/>
          <w:szCs w:val="22"/>
          <w:lang w:val="sr-Latn-CS"/>
        </w:rPr>
        <w:t xml:space="preserve">eče visokim dozama deksametazona. </w:t>
      </w:r>
    </w:p>
    <w:p w14:paraId="5E1115F1" w14:textId="57D08BDA" w:rsidR="00180A2E" w:rsidRPr="005C187F" w:rsidRDefault="00180A2E" w:rsidP="00EA0376">
      <w:pPr>
        <w:pStyle w:val="Default"/>
        <w:jc w:val="both"/>
        <w:rPr>
          <w:color w:val="auto"/>
          <w:sz w:val="22"/>
          <w:szCs w:val="22"/>
          <w:lang w:val="sr-Latn-CS"/>
        </w:rPr>
      </w:pPr>
    </w:p>
    <w:p w14:paraId="25F7E88A" w14:textId="77777777" w:rsidR="007661F0" w:rsidRPr="005C187F" w:rsidRDefault="007661F0" w:rsidP="00EA0376">
      <w:pPr>
        <w:pStyle w:val="Default"/>
        <w:jc w:val="both"/>
        <w:rPr>
          <w:color w:val="auto"/>
          <w:sz w:val="22"/>
          <w:szCs w:val="22"/>
          <w:lang w:val="sr-Latn-CS"/>
        </w:rPr>
      </w:pPr>
      <w:r w:rsidRPr="005C187F">
        <w:rPr>
          <w:i/>
          <w:iCs/>
          <w:color w:val="auto"/>
          <w:sz w:val="22"/>
          <w:szCs w:val="22"/>
          <w:lang w:val="sr-Latn-CS"/>
        </w:rPr>
        <w:t xml:space="preserve">Anafilaktička reakcija </w:t>
      </w:r>
    </w:p>
    <w:p w14:paraId="25F7E88B" w14:textId="77777777" w:rsidR="007661F0" w:rsidRPr="005C187F" w:rsidRDefault="007661F0" w:rsidP="00EA0376">
      <w:pPr>
        <w:pStyle w:val="Default"/>
        <w:jc w:val="both"/>
        <w:rPr>
          <w:color w:val="auto"/>
          <w:sz w:val="22"/>
          <w:szCs w:val="22"/>
          <w:lang w:val="sr-Latn-CS"/>
        </w:rPr>
      </w:pPr>
      <w:r w:rsidRPr="005C187F">
        <w:rPr>
          <w:color w:val="auto"/>
          <w:sz w:val="22"/>
          <w:szCs w:val="22"/>
          <w:lang w:val="sr-Latn-CS"/>
        </w:rPr>
        <w:t xml:space="preserve">Moguće su ozbiljne anafilaktičke reakcije. </w:t>
      </w:r>
    </w:p>
    <w:p w14:paraId="25F7E88C" w14:textId="77777777" w:rsidR="007661F0" w:rsidRPr="005C187F" w:rsidRDefault="007661F0" w:rsidP="00EA0376">
      <w:pPr>
        <w:pStyle w:val="Default"/>
        <w:jc w:val="both"/>
        <w:rPr>
          <w:i/>
          <w:iCs/>
          <w:color w:val="auto"/>
          <w:sz w:val="22"/>
          <w:szCs w:val="22"/>
          <w:lang w:val="sr-Latn-CS"/>
        </w:rPr>
      </w:pPr>
    </w:p>
    <w:p w14:paraId="25F7E88D" w14:textId="77777777" w:rsidR="007661F0" w:rsidRPr="005C187F" w:rsidRDefault="007661F0" w:rsidP="00EA0376">
      <w:pPr>
        <w:pStyle w:val="Default"/>
        <w:jc w:val="both"/>
        <w:rPr>
          <w:color w:val="auto"/>
          <w:sz w:val="22"/>
          <w:szCs w:val="22"/>
          <w:lang w:val="sr-Latn-CS"/>
        </w:rPr>
      </w:pPr>
      <w:r w:rsidRPr="005C187F">
        <w:rPr>
          <w:i/>
          <w:iCs/>
          <w:color w:val="auto"/>
          <w:sz w:val="22"/>
          <w:szCs w:val="22"/>
          <w:lang w:val="sr-Latn-CS"/>
        </w:rPr>
        <w:t xml:space="preserve">Tendinitis </w:t>
      </w:r>
    </w:p>
    <w:p w14:paraId="25F7E88E" w14:textId="5C903ADF" w:rsidR="007661F0" w:rsidRPr="005C187F" w:rsidRDefault="007661F0" w:rsidP="00EA0376">
      <w:pPr>
        <w:pStyle w:val="Default"/>
        <w:jc w:val="both"/>
        <w:rPr>
          <w:color w:val="auto"/>
          <w:sz w:val="22"/>
          <w:szCs w:val="22"/>
          <w:lang w:val="sr-Latn-CS"/>
        </w:rPr>
      </w:pPr>
      <w:r w:rsidRPr="005C187F">
        <w:rPr>
          <w:color w:val="auto"/>
          <w:sz w:val="22"/>
          <w:szCs w:val="22"/>
          <w:lang w:val="sr-Latn-CS"/>
        </w:rPr>
        <w:t xml:space="preserve">Rizik od tendinitisa i </w:t>
      </w:r>
      <w:r w:rsidR="00231BAA" w:rsidRPr="005C187F">
        <w:rPr>
          <w:color w:val="auto"/>
          <w:sz w:val="22"/>
          <w:szCs w:val="22"/>
          <w:lang w:val="sr-Latn-CS"/>
        </w:rPr>
        <w:t>rupture</w:t>
      </w:r>
      <w:r w:rsidRPr="005C187F">
        <w:rPr>
          <w:color w:val="auto"/>
          <w:sz w:val="22"/>
          <w:szCs w:val="22"/>
          <w:lang w:val="sr-Latn-CS"/>
        </w:rPr>
        <w:t xml:space="preserve"> tetive povećan je kod </w:t>
      </w:r>
      <w:r w:rsidR="00CD1C6D" w:rsidRPr="005C187F">
        <w:rPr>
          <w:color w:val="auto"/>
          <w:sz w:val="22"/>
          <w:szCs w:val="22"/>
          <w:lang w:val="sr-Latn-CS"/>
        </w:rPr>
        <w:t xml:space="preserve">pacijenata </w:t>
      </w:r>
      <w:r w:rsidRPr="005C187F">
        <w:rPr>
          <w:color w:val="auto"/>
          <w:sz w:val="22"/>
          <w:szCs w:val="22"/>
          <w:lang w:val="sr-Latn-CS"/>
        </w:rPr>
        <w:t xml:space="preserve">koji istovremeno </w:t>
      </w:r>
      <w:r w:rsidR="00CD1C6D" w:rsidRPr="005C187F">
        <w:rPr>
          <w:color w:val="auto"/>
          <w:sz w:val="22"/>
          <w:szCs w:val="22"/>
          <w:lang w:val="sr-Latn-CS"/>
        </w:rPr>
        <w:t>prim</w:t>
      </w:r>
      <w:r w:rsidR="006241B3" w:rsidRPr="005C187F">
        <w:rPr>
          <w:color w:val="auto"/>
          <w:sz w:val="22"/>
          <w:szCs w:val="22"/>
          <w:lang w:val="sr-Latn-CS"/>
        </w:rPr>
        <w:t>j</w:t>
      </w:r>
      <w:r w:rsidR="00CD1C6D" w:rsidRPr="005C187F">
        <w:rPr>
          <w:color w:val="auto"/>
          <w:sz w:val="22"/>
          <w:szCs w:val="22"/>
          <w:lang w:val="sr-Latn-CS"/>
        </w:rPr>
        <w:t xml:space="preserve">enjuju </w:t>
      </w:r>
      <w:r w:rsidRPr="005C187F">
        <w:rPr>
          <w:color w:val="auto"/>
          <w:sz w:val="22"/>
          <w:szCs w:val="22"/>
          <w:lang w:val="sr-Latn-CS"/>
        </w:rPr>
        <w:t>glukokortikoid</w:t>
      </w:r>
      <w:r w:rsidR="00CD1C6D" w:rsidRPr="005C187F">
        <w:rPr>
          <w:color w:val="auto"/>
          <w:sz w:val="22"/>
          <w:szCs w:val="22"/>
          <w:lang w:val="sr-Latn-CS"/>
        </w:rPr>
        <w:t>e</w:t>
      </w:r>
      <w:r w:rsidRPr="005C187F">
        <w:rPr>
          <w:color w:val="auto"/>
          <w:sz w:val="22"/>
          <w:szCs w:val="22"/>
          <w:lang w:val="sr-Latn-CS"/>
        </w:rPr>
        <w:t xml:space="preserve"> i fluorohinolon</w:t>
      </w:r>
      <w:r w:rsidR="00CD1C6D" w:rsidRPr="005C187F">
        <w:rPr>
          <w:color w:val="auto"/>
          <w:sz w:val="22"/>
          <w:szCs w:val="22"/>
          <w:lang w:val="sr-Latn-CS"/>
        </w:rPr>
        <w:t>e</w:t>
      </w:r>
      <w:r w:rsidRPr="005C187F">
        <w:rPr>
          <w:color w:val="auto"/>
          <w:sz w:val="22"/>
          <w:szCs w:val="22"/>
          <w:lang w:val="sr-Latn-CS"/>
        </w:rPr>
        <w:t xml:space="preserve">. </w:t>
      </w:r>
    </w:p>
    <w:p w14:paraId="25F7E88F" w14:textId="77777777" w:rsidR="007661F0" w:rsidRPr="005C187F" w:rsidRDefault="007661F0" w:rsidP="00EA0376">
      <w:pPr>
        <w:pStyle w:val="Default"/>
        <w:jc w:val="both"/>
        <w:rPr>
          <w:i/>
          <w:iCs/>
          <w:color w:val="auto"/>
          <w:sz w:val="22"/>
          <w:szCs w:val="22"/>
          <w:lang w:val="sr-Latn-CS"/>
        </w:rPr>
      </w:pPr>
    </w:p>
    <w:p w14:paraId="25F7E890" w14:textId="77777777" w:rsidR="007661F0" w:rsidRPr="005C187F" w:rsidRDefault="007661F0" w:rsidP="00EA0376">
      <w:pPr>
        <w:pStyle w:val="Default"/>
        <w:jc w:val="both"/>
        <w:rPr>
          <w:color w:val="auto"/>
          <w:sz w:val="22"/>
          <w:szCs w:val="22"/>
          <w:lang w:val="sr-Latn-CS"/>
        </w:rPr>
      </w:pPr>
      <w:r w:rsidRPr="005C187F">
        <w:rPr>
          <w:i/>
          <w:iCs/>
          <w:color w:val="auto"/>
          <w:sz w:val="22"/>
          <w:szCs w:val="22"/>
          <w:lang w:val="sr-Latn-CS"/>
        </w:rPr>
        <w:t xml:space="preserve">Miastenija gravis </w:t>
      </w:r>
    </w:p>
    <w:p w14:paraId="25F7E891" w14:textId="46F2DD11" w:rsidR="007661F0" w:rsidRPr="00CA46C7" w:rsidRDefault="007661F0" w:rsidP="00EA0376">
      <w:pPr>
        <w:rPr>
          <w:szCs w:val="22"/>
          <w:lang w:val="sr-Latn-CS"/>
        </w:rPr>
      </w:pPr>
      <w:r w:rsidRPr="00CA46C7">
        <w:rPr>
          <w:szCs w:val="22"/>
          <w:lang w:val="sr-Latn-CS"/>
        </w:rPr>
        <w:t>Na početku l</w:t>
      </w:r>
      <w:r w:rsidR="006241B3" w:rsidRPr="00CA46C7">
        <w:rPr>
          <w:szCs w:val="22"/>
          <w:lang w:val="sr-Latn-CS"/>
        </w:rPr>
        <w:t>ij</w:t>
      </w:r>
      <w:r w:rsidRPr="00CA46C7">
        <w:rPr>
          <w:szCs w:val="22"/>
          <w:lang w:val="sr-Latn-CS"/>
        </w:rPr>
        <w:t>ečenja deksametazonom</w:t>
      </w:r>
      <w:r w:rsidR="000456C4" w:rsidRPr="00CA46C7">
        <w:rPr>
          <w:szCs w:val="22"/>
          <w:lang w:val="sr-Latn-CS"/>
        </w:rPr>
        <w:t>,</w:t>
      </w:r>
      <w:r w:rsidRPr="00CA46C7">
        <w:rPr>
          <w:szCs w:val="22"/>
          <w:lang w:val="sr-Latn-CS"/>
        </w:rPr>
        <w:t xml:space="preserve"> moguće je inicijalno pogoršanje već postojeće miastenije gravis. </w:t>
      </w:r>
    </w:p>
    <w:p w14:paraId="50EDB8BE" w14:textId="28897B11" w:rsidR="000456C4" w:rsidRPr="00CA46C7" w:rsidRDefault="000456C4" w:rsidP="00EA0376">
      <w:pPr>
        <w:rPr>
          <w:szCs w:val="22"/>
          <w:lang w:val="sr-Latn-CS"/>
        </w:rPr>
      </w:pPr>
    </w:p>
    <w:p w14:paraId="18D85ACA" w14:textId="77777777" w:rsidR="000456C4" w:rsidRPr="005C187F" w:rsidRDefault="000456C4" w:rsidP="00EA0376">
      <w:pPr>
        <w:pStyle w:val="Default"/>
        <w:jc w:val="both"/>
        <w:rPr>
          <w:color w:val="auto"/>
          <w:sz w:val="22"/>
          <w:szCs w:val="22"/>
          <w:lang w:val="sr-Latn-CS"/>
        </w:rPr>
      </w:pPr>
      <w:r w:rsidRPr="005C187F">
        <w:rPr>
          <w:i/>
          <w:iCs/>
          <w:color w:val="auto"/>
          <w:sz w:val="22"/>
          <w:szCs w:val="22"/>
          <w:lang w:val="sr-Latn-CS"/>
        </w:rPr>
        <w:t xml:space="preserve">Vakcinacija </w:t>
      </w:r>
    </w:p>
    <w:p w14:paraId="3F1FBC04" w14:textId="5D3B1713" w:rsidR="000456C4" w:rsidRPr="005C187F" w:rsidRDefault="000456C4" w:rsidP="00EA0376">
      <w:pPr>
        <w:pStyle w:val="Default"/>
        <w:jc w:val="both"/>
        <w:rPr>
          <w:color w:val="auto"/>
          <w:sz w:val="22"/>
          <w:szCs w:val="22"/>
          <w:lang w:val="sr-Latn-CS"/>
        </w:rPr>
      </w:pPr>
      <w:r w:rsidRPr="005C187F">
        <w:rPr>
          <w:color w:val="auto"/>
          <w:sz w:val="22"/>
          <w:szCs w:val="22"/>
          <w:lang w:val="sr-Latn-CS"/>
        </w:rPr>
        <w:t>Prim</w:t>
      </w:r>
      <w:r w:rsidR="006241B3" w:rsidRPr="005C187F">
        <w:rPr>
          <w:color w:val="auto"/>
          <w:sz w:val="22"/>
          <w:szCs w:val="22"/>
          <w:lang w:val="sr-Latn-CS"/>
        </w:rPr>
        <w:t>j</w:t>
      </w:r>
      <w:r w:rsidRPr="005C187F">
        <w:rPr>
          <w:color w:val="auto"/>
          <w:sz w:val="22"/>
          <w:szCs w:val="22"/>
          <w:lang w:val="sr-Latn-CS"/>
        </w:rPr>
        <w:t>ena inaktivi</w:t>
      </w:r>
      <w:r w:rsidR="000B63DA" w:rsidRPr="005C187F">
        <w:rPr>
          <w:color w:val="auto"/>
          <w:sz w:val="22"/>
          <w:szCs w:val="22"/>
          <w:lang w:val="sr-Latn-CS"/>
        </w:rPr>
        <w:t>s</w:t>
      </w:r>
      <w:r w:rsidRPr="005C187F">
        <w:rPr>
          <w:color w:val="auto"/>
          <w:sz w:val="22"/>
          <w:szCs w:val="22"/>
          <w:lang w:val="sr-Latn-CS"/>
        </w:rPr>
        <w:t xml:space="preserve">anih vakcina je </w:t>
      </w:r>
      <w:r w:rsidR="004B249A" w:rsidRPr="005C187F">
        <w:rPr>
          <w:color w:val="auto"/>
          <w:sz w:val="22"/>
          <w:szCs w:val="22"/>
          <w:lang w:val="sr-Latn-CS"/>
        </w:rPr>
        <w:t>uglavnom</w:t>
      </w:r>
      <w:r w:rsidRPr="005C187F">
        <w:rPr>
          <w:color w:val="auto"/>
          <w:sz w:val="22"/>
          <w:szCs w:val="22"/>
          <w:lang w:val="sr-Latn-CS"/>
        </w:rPr>
        <w:t xml:space="preserve"> moguća. Međutim, treba imati u vidu da na imunološku reakciju, a samim tim i na usp</w:t>
      </w:r>
      <w:r w:rsidR="006241B3" w:rsidRPr="005C187F">
        <w:rPr>
          <w:color w:val="auto"/>
          <w:sz w:val="22"/>
          <w:szCs w:val="22"/>
          <w:lang w:val="sr-Latn-CS"/>
        </w:rPr>
        <w:t>j</w:t>
      </w:r>
      <w:r w:rsidRPr="005C187F">
        <w:rPr>
          <w:color w:val="auto"/>
          <w:sz w:val="22"/>
          <w:szCs w:val="22"/>
          <w:lang w:val="sr-Latn-CS"/>
        </w:rPr>
        <w:t xml:space="preserve">eh vakcinacije, mogu uticati veće doze kortikosteroida. </w:t>
      </w:r>
    </w:p>
    <w:p w14:paraId="3F7CCDFA" w14:textId="7DE4BC1C" w:rsidR="000456C4" w:rsidRPr="005C187F" w:rsidRDefault="000456C4" w:rsidP="00EA0376">
      <w:pPr>
        <w:pStyle w:val="Default"/>
        <w:jc w:val="both"/>
        <w:rPr>
          <w:color w:val="auto"/>
          <w:sz w:val="22"/>
          <w:szCs w:val="22"/>
          <w:lang w:val="sr-Latn-CS"/>
        </w:rPr>
      </w:pPr>
      <w:r w:rsidRPr="005C187F">
        <w:rPr>
          <w:color w:val="auto"/>
          <w:sz w:val="22"/>
          <w:szCs w:val="22"/>
          <w:lang w:val="sr-Latn-CS"/>
        </w:rPr>
        <w:t>Sav</w:t>
      </w:r>
      <w:r w:rsidR="006241B3" w:rsidRPr="005C187F">
        <w:rPr>
          <w:color w:val="auto"/>
          <w:sz w:val="22"/>
          <w:szCs w:val="22"/>
          <w:lang w:val="sr-Latn-CS"/>
        </w:rPr>
        <w:t>j</w:t>
      </w:r>
      <w:r w:rsidRPr="005C187F">
        <w:rPr>
          <w:color w:val="auto"/>
          <w:sz w:val="22"/>
          <w:szCs w:val="22"/>
          <w:lang w:val="sr-Latn-CS"/>
        </w:rPr>
        <w:t>etuju se redovni l</w:t>
      </w:r>
      <w:r w:rsidR="006241B3" w:rsidRPr="005C187F">
        <w:rPr>
          <w:color w:val="auto"/>
          <w:sz w:val="22"/>
          <w:szCs w:val="22"/>
          <w:lang w:val="sr-Latn-CS"/>
        </w:rPr>
        <w:t>j</w:t>
      </w:r>
      <w:r w:rsidRPr="005C187F">
        <w:rPr>
          <w:color w:val="auto"/>
          <w:sz w:val="22"/>
          <w:szCs w:val="22"/>
          <w:lang w:val="sr-Latn-CS"/>
        </w:rPr>
        <w:t>ekarski pregledi (uključujući pregled vida svaka tri m</w:t>
      </w:r>
      <w:r w:rsidR="006241B3" w:rsidRPr="005C187F">
        <w:rPr>
          <w:color w:val="auto"/>
          <w:sz w:val="22"/>
          <w:szCs w:val="22"/>
          <w:lang w:val="sr-Latn-CS"/>
        </w:rPr>
        <w:t>j</w:t>
      </w:r>
      <w:r w:rsidRPr="005C187F">
        <w:rPr>
          <w:color w:val="auto"/>
          <w:sz w:val="22"/>
          <w:szCs w:val="22"/>
          <w:lang w:val="sr-Latn-CS"/>
        </w:rPr>
        <w:t>eseca) tokom dugotrajnog l</w:t>
      </w:r>
      <w:r w:rsidR="006241B3" w:rsidRPr="005C187F">
        <w:rPr>
          <w:color w:val="auto"/>
          <w:sz w:val="22"/>
          <w:szCs w:val="22"/>
          <w:lang w:val="sr-Latn-CS"/>
        </w:rPr>
        <w:t>ij</w:t>
      </w:r>
      <w:r w:rsidRPr="005C187F">
        <w:rPr>
          <w:color w:val="auto"/>
          <w:sz w:val="22"/>
          <w:szCs w:val="22"/>
          <w:lang w:val="sr-Latn-CS"/>
        </w:rPr>
        <w:t xml:space="preserve">ečenja deksametazonom. </w:t>
      </w:r>
    </w:p>
    <w:p w14:paraId="15013C2B" w14:textId="575F8FAC" w:rsidR="004B249A" w:rsidRPr="005C187F" w:rsidRDefault="004B249A" w:rsidP="00EA0376">
      <w:pPr>
        <w:pStyle w:val="Default"/>
        <w:jc w:val="both"/>
        <w:rPr>
          <w:color w:val="auto"/>
          <w:sz w:val="22"/>
          <w:szCs w:val="22"/>
          <w:lang w:val="sr-Latn-CS"/>
        </w:rPr>
      </w:pPr>
    </w:p>
    <w:p w14:paraId="6B5BF615" w14:textId="77777777" w:rsidR="004B249A" w:rsidRPr="005C187F" w:rsidRDefault="004B249A" w:rsidP="00EA0376">
      <w:pPr>
        <w:pStyle w:val="Default"/>
        <w:jc w:val="both"/>
        <w:rPr>
          <w:color w:val="auto"/>
          <w:sz w:val="22"/>
          <w:szCs w:val="22"/>
          <w:lang w:val="sr-Latn-CS"/>
        </w:rPr>
      </w:pPr>
      <w:r w:rsidRPr="005C187F">
        <w:rPr>
          <w:i/>
          <w:iCs/>
          <w:color w:val="auto"/>
          <w:sz w:val="22"/>
          <w:szCs w:val="22"/>
          <w:lang w:val="sr-Latn-CS"/>
        </w:rPr>
        <w:t xml:space="preserve">Poremećaji metabolizma </w:t>
      </w:r>
    </w:p>
    <w:p w14:paraId="41FC6603" w14:textId="1AF99D19" w:rsidR="004B249A" w:rsidRPr="005C187F" w:rsidRDefault="004B249A" w:rsidP="00EA0376">
      <w:pPr>
        <w:pStyle w:val="Default"/>
        <w:jc w:val="both"/>
        <w:rPr>
          <w:color w:val="auto"/>
          <w:sz w:val="22"/>
          <w:szCs w:val="22"/>
          <w:lang w:val="sr-Latn-CS"/>
        </w:rPr>
      </w:pPr>
      <w:r w:rsidRPr="005C187F">
        <w:rPr>
          <w:color w:val="auto"/>
          <w:sz w:val="22"/>
          <w:szCs w:val="22"/>
          <w:lang w:val="sr-Latn-CS"/>
        </w:rPr>
        <w:t>Kod prim</w:t>
      </w:r>
      <w:r w:rsidR="006241B3" w:rsidRPr="005C187F">
        <w:rPr>
          <w:color w:val="auto"/>
          <w:sz w:val="22"/>
          <w:szCs w:val="22"/>
          <w:lang w:val="sr-Latn-CS"/>
        </w:rPr>
        <w:t>j</w:t>
      </w:r>
      <w:r w:rsidRPr="005C187F">
        <w:rPr>
          <w:color w:val="auto"/>
          <w:sz w:val="22"/>
          <w:szCs w:val="22"/>
          <w:lang w:val="sr-Latn-CS"/>
        </w:rPr>
        <w:t xml:space="preserve">ene visokih doza treba osigurati adekvatan unos kalcijuma i ograničen unos natrijuma i pratiti </w:t>
      </w:r>
      <w:r w:rsidR="00231BAA" w:rsidRPr="005C187F">
        <w:rPr>
          <w:color w:val="auto"/>
          <w:sz w:val="22"/>
          <w:szCs w:val="22"/>
          <w:lang w:val="sr-Latn-CS"/>
        </w:rPr>
        <w:t>koncentraciju</w:t>
      </w:r>
      <w:r w:rsidRPr="005C187F">
        <w:rPr>
          <w:color w:val="auto"/>
          <w:sz w:val="22"/>
          <w:szCs w:val="22"/>
          <w:lang w:val="sr-Latn-CS"/>
        </w:rPr>
        <w:t xml:space="preserve"> kalijuma u serumu. U zavisnosti od doze i dužine terapije, može se očekivati negativan uticaj na metabolizam kalcijuma, pa se preporučuje profilaksa za osteoporozu. Ovo se pr</w:t>
      </w:r>
      <w:r w:rsidR="006241B3" w:rsidRPr="005C187F">
        <w:rPr>
          <w:color w:val="auto"/>
          <w:sz w:val="22"/>
          <w:szCs w:val="22"/>
          <w:lang w:val="sr-Latn-CS"/>
        </w:rPr>
        <w:t>ij</w:t>
      </w:r>
      <w:r w:rsidRPr="005C187F">
        <w:rPr>
          <w:color w:val="auto"/>
          <w:sz w:val="22"/>
          <w:szCs w:val="22"/>
          <w:lang w:val="sr-Latn-CS"/>
        </w:rPr>
        <w:t>e svega odnosi na koegzistirajuće faktore rizika, kao što su porodična sklonost, starija životna dob, period posl</w:t>
      </w:r>
      <w:r w:rsidR="006241B3" w:rsidRPr="005C187F">
        <w:rPr>
          <w:color w:val="auto"/>
          <w:sz w:val="22"/>
          <w:szCs w:val="22"/>
          <w:lang w:val="sr-Latn-CS"/>
        </w:rPr>
        <w:t>ij</w:t>
      </w:r>
      <w:r w:rsidRPr="005C187F">
        <w:rPr>
          <w:color w:val="auto"/>
          <w:sz w:val="22"/>
          <w:szCs w:val="22"/>
          <w:lang w:val="sr-Latn-CS"/>
        </w:rPr>
        <w:t>e menopauze, nedovoljan unos proteina i kalcijuma, intenzivno pušenje, prekom</w:t>
      </w:r>
      <w:r w:rsidR="006241B3" w:rsidRPr="005C187F">
        <w:rPr>
          <w:color w:val="auto"/>
          <w:sz w:val="22"/>
          <w:szCs w:val="22"/>
          <w:lang w:val="sr-Latn-CS"/>
        </w:rPr>
        <w:t>j</w:t>
      </w:r>
      <w:r w:rsidRPr="005C187F">
        <w:rPr>
          <w:color w:val="auto"/>
          <w:sz w:val="22"/>
          <w:szCs w:val="22"/>
          <w:lang w:val="sr-Latn-CS"/>
        </w:rPr>
        <w:t>eran unos alkohola, kao i nedovoljna fizička aktivnost. Prevencija se sastoji od dovoljnog unosa kalcijuma i vitamina D, kao i fizičke aktivnosti. Treba razmotriti dodatno l</w:t>
      </w:r>
      <w:r w:rsidR="006241B3" w:rsidRPr="005C187F">
        <w:rPr>
          <w:color w:val="auto"/>
          <w:sz w:val="22"/>
          <w:szCs w:val="22"/>
          <w:lang w:val="sr-Latn-CS"/>
        </w:rPr>
        <w:t>ij</w:t>
      </w:r>
      <w:r w:rsidRPr="005C187F">
        <w:rPr>
          <w:color w:val="auto"/>
          <w:sz w:val="22"/>
          <w:szCs w:val="22"/>
          <w:lang w:val="sr-Latn-CS"/>
        </w:rPr>
        <w:t xml:space="preserve">ečenje u slučaju već prisutne osteoporoze. </w:t>
      </w:r>
    </w:p>
    <w:p w14:paraId="4A4C8CFC" w14:textId="1ABD4BE5" w:rsidR="00A474ED" w:rsidRPr="005C187F" w:rsidRDefault="00A474ED" w:rsidP="00EA0376">
      <w:pPr>
        <w:pStyle w:val="Default"/>
        <w:jc w:val="both"/>
        <w:rPr>
          <w:color w:val="auto"/>
          <w:sz w:val="22"/>
          <w:szCs w:val="22"/>
          <w:lang w:val="sr-Latn-CS"/>
        </w:rPr>
      </w:pPr>
    </w:p>
    <w:p w14:paraId="13502743" w14:textId="284B604A" w:rsidR="00A474ED" w:rsidRPr="005C187F" w:rsidRDefault="00A474ED" w:rsidP="00EA0376">
      <w:pPr>
        <w:pStyle w:val="Default"/>
        <w:jc w:val="both"/>
        <w:rPr>
          <w:i/>
          <w:iCs/>
          <w:color w:val="auto"/>
          <w:sz w:val="22"/>
          <w:szCs w:val="22"/>
          <w:lang w:val="sr-Latn-CS"/>
        </w:rPr>
      </w:pPr>
      <w:r w:rsidRPr="005C187F">
        <w:rPr>
          <w:i/>
          <w:iCs/>
          <w:color w:val="auto"/>
          <w:sz w:val="22"/>
          <w:szCs w:val="22"/>
          <w:lang w:val="sr-Latn-CS"/>
        </w:rPr>
        <w:t>Obustava terapije</w:t>
      </w:r>
    </w:p>
    <w:p w14:paraId="6B15458A" w14:textId="750C8811" w:rsidR="00A474ED" w:rsidRPr="005C187F" w:rsidRDefault="00A474ED" w:rsidP="00EA0376">
      <w:pPr>
        <w:pStyle w:val="Default"/>
        <w:jc w:val="both"/>
        <w:rPr>
          <w:color w:val="auto"/>
          <w:sz w:val="22"/>
          <w:szCs w:val="22"/>
          <w:lang w:val="sr-Latn-CS"/>
        </w:rPr>
      </w:pPr>
      <w:r w:rsidRPr="005C187F">
        <w:rPr>
          <w:color w:val="auto"/>
          <w:sz w:val="22"/>
          <w:szCs w:val="22"/>
          <w:lang w:val="sr-Latn-CS"/>
        </w:rPr>
        <w:t>Nakon obustave dugotrajne terapije glukokortikoidima, treba uzeti u obzir sl</w:t>
      </w:r>
      <w:r w:rsidR="006241B3" w:rsidRPr="005C187F">
        <w:rPr>
          <w:color w:val="auto"/>
          <w:sz w:val="22"/>
          <w:szCs w:val="22"/>
          <w:lang w:val="sr-Latn-CS"/>
        </w:rPr>
        <w:t>j</w:t>
      </w:r>
      <w:r w:rsidRPr="005C187F">
        <w:rPr>
          <w:color w:val="auto"/>
          <w:sz w:val="22"/>
          <w:szCs w:val="22"/>
          <w:lang w:val="sr-Latn-CS"/>
        </w:rPr>
        <w:t xml:space="preserve">edeće rizike: egzacerbacija ili relaps postojeće bolesti, akutna adrenalna insuficijencija, sindrom obustave kortizola. </w:t>
      </w:r>
    </w:p>
    <w:p w14:paraId="18146F68" w14:textId="3706C0B0" w:rsidR="003D6549" w:rsidRPr="005C187F" w:rsidRDefault="003D6549" w:rsidP="00EA0376">
      <w:pPr>
        <w:pStyle w:val="Default"/>
        <w:jc w:val="both"/>
        <w:rPr>
          <w:color w:val="auto"/>
          <w:sz w:val="22"/>
          <w:szCs w:val="22"/>
          <w:lang w:val="sr-Latn-CS"/>
        </w:rPr>
      </w:pPr>
    </w:p>
    <w:p w14:paraId="191AF74E" w14:textId="640C1B27" w:rsidR="003D6549" w:rsidRPr="005C187F" w:rsidRDefault="003D6549" w:rsidP="00EA0376">
      <w:pPr>
        <w:pStyle w:val="Default"/>
        <w:jc w:val="both"/>
        <w:rPr>
          <w:i/>
          <w:iCs/>
          <w:color w:val="auto"/>
          <w:sz w:val="22"/>
          <w:szCs w:val="22"/>
          <w:lang w:val="sr-Latn-CS"/>
        </w:rPr>
      </w:pPr>
      <w:r w:rsidRPr="005C187F">
        <w:rPr>
          <w:i/>
          <w:iCs/>
          <w:color w:val="auto"/>
          <w:sz w:val="22"/>
          <w:szCs w:val="22"/>
          <w:lang w:val="sr-Latn-CS"/>
        </w:rPr>
        <w:t>Virusne infekcije</w:t>
      </w:r>
    </w:p>
    <w:p w14:paraId="3F7A9CE1" w14:textId="5E7A36F7" w:rsidR="00FA106A" w:rsidRPr="005C187F" w:rsidRDefault="00FA106A" w:rsidP="00EA0376">
      <w:pPr>
        <w:pStyle w:val="Default"/>
        <w:jc w:val="both"/>
        <w:rPr>
          <w:color w:val="auto"/>
          <w:sz w:val="22"/>
          <w:szCs w:val="22"/>
          <w:lang w:val="sr-Latn-CS"/>
        </w:rPr>
      </w:pPr>
      <w:r w:rsidRPr="005C187F">
        <w:rPr>
          <w:color w:val="auto"/>
          <w:sz w:val="22"/>
          <w:szCs w:val="22"/>
          <w:lang w:val="sr-Latn-CS"/>
        </w:rPr>
        <w:t>Određene virusne bolesti (varičela, rubeola) mogu imati veoma tešku kliničku sliku kod pacijenata l</w:t>
      </w:r>
      <w:r w:rsidR="006241B3" w:rsidRPr="005C187F">
        <w:rPr>
          <w:color w:val="auto"/>
          <w:sz w:val="22"/>
          <w:szCs w:val="22"/>
          <w:lang w:val="sr-Latn-CS"/>
        </w:rPr>
        <w:t>ij</w:t>
      </w:r>
      <w:r w:rsidRPr="005C187F">
        <w:rPr>
          <w:color w:val="auto"/>
          <w:sz w:val="22"/>
          <w:szCs w:val="22"/>
          <w:lang w:val="sr-Latn-CS"/>
        </w:rPr>
        <w:t xml:space="preserve">ečenih glukokortikoidima. </w:t>
      </w:r>
      <w:r w:rsidR="004B572C" w:rsidRPr="005C187F">
        <w:rPr>
          <w:color w:val="auto"/>
          <w:sz w:val="22"/>
          <w:szCs w:val="22"/>
          <w:lang w:val="sr-Latn-CS"/>
        </w:rPr>
        <w:t>Rizik je naročito povećan kod imunokompromitovanih pacijenata bez preležane varičele i rubeole. Ukoliko su ovi pacijenti tokom terapije deksametazonom bili u kontaktu sa osobama zaraženim varičelom ili rubeolom, treba uvesti profilaktičku terapiju, po potrebi.</w:t>
      </w:r>
    </w:p>
    <w:p w14:paraId="7C7917D6" w14:textId="075ADD43" w:rsidR="004B572C" w:rsidRPr="005C187F" w:rsidRDefault="004B572C" w:rsidP="00EA0376">
      <w:pPr>
        <w:pStyle w:val="Default"/>
        <w:jc w:val="both"/>
        <w:rPr>
          <w:color w:val="auto"/>
          <w:sz w:val="22"/>
          <w:szCs w:val="22"/>
          <w:lang w:val="sr-Latn-CS"/>
        </w:rPr>
      </w:pPr>
    </w:p>
    <w:p w14:paraId="487E6266" w14:textId="77777777" w:rsidR="004B572C" w:rsidRPr="005C187F" w:rsidRDefault="004B572C" w:rsidP="00EA0376">
      <w:pPr>
        <w:pStyle w:val="Default"/>
        <w:jc w:val="both"/>
        <w:rPr>
          <w:i/>
          <w:iCs/>
          <w:color w:val="auto"/>
          <w:sz w:val="22"/>
          <w:szCs w:val="22"/>
          <w:lang w:val="sr-Latn-CS"/>
        </w:rPr>
      </w:pPr>
      <w:r w:rsidRPr="005C187F">
        <w:rPr>
          <w:i/>
          <w:iCs/>
          <w:color w:val="auto"/>
          <w:sz w:val="22"/>
          <w:szCs w:val="22"/>
          <w:lang w:val="sr-Latn-CS"/>
        </w:rPr>
        <w:t>Sindrom lize tumora</w:t>
      </w:r>
    </w:p>
    <w:p w14:paraId="3391B421" w14:textId="00F10CA9" w:rsidR="004B572C" w:rsidRPr="005C187F" w:rsidRDefault="004B572C" w:rsidP="00EA0376">
      <w:pPr>
        <w:pStyle w:val="Default"/>
        <w:jc w:val="both"/>
        <w:rPr>
          <w:color w:val="auto"/>
          <w:sz w:val="22"/>
          <w:szCs w:val="22"/>
          <w:lang w:val="sr-Latn-CS"/>
        </w:rPr>
      </w:pPr>
      <w:r w:rsidRPr="005C187F">
        <w:rPr>
          <w:noProof/>
          <w:color w:val="auto"/>
          <w:sz w:val="22"/>
          <w:szCs w:val="22"/>
          <w:lang w:val="bs-Latn-BA"/>
        </w:rPr>
        <w:t>U postmarketinškom praćenju je kod pacijenata sa hematološkim malignim oboljenjima, nakon prim</w:t>
      </w:r>
      <w:r w:rsidR="006241B3" w:rsidRPr="005C187F">
        <w:rPr>
          <w:noProof/>
          <w:color w:val="auto"/>
          <w:sz w:val="22"/>
          <w:szCs w:val="22"/>
          <w:lang w:val="bs-Latn-BA"/>
        </w:rPr>
        <w:t>j</w:t>
      </w:r>
      <w:r w:rsidRPr="005C187F">
        <w:rPr>
          <w:noProof/>
          <w:color w:val="auto"/>
          <w:sz w:val="22"/>
          <w:szCs w:val="22"/>
          <w:lang w:val="bs-Latn-BA"/>
        </w:rPr>
        <w:t>ene deksametazona kao monoterapije ili u kombinaciji sa hemoterapeutskim agensima, prim</w:t>
      </w:r>
      <w:r w:rsidR="006241B3" w:rsidRPr="005C187F">
        <w:rPr>
          <w:noProof/>
          <w:color w:val="auto"/>
          <w:sz w:val="22"/>
          <w:szCs w:val="22"/>
          <w:lang w:val="bs-Latn-BA"/>
        </w:rPr>
        <w:t>ij</w:t>
      </w:r>
      <w:r w:rsidRPr="005C187F">
        <w:rPr>
          <w:noProof/>
          <w:color w:val="auto"/>
          <w:sz w:val="22"/>
          <w:szCs w:val="22"/>
          <w:lang w:val="bs-Latn-BA"/>
        </w:rPr>
        <w:t>ećen sindrom lize tumora (TLS). Pacijente sa visokim rizikom od TLS, kao što su pacijenti sa visokim stepenom proliferacije, visokim tumorskim opterećenjem i velikom os</w:t>
      </w:r>
      <w:r w:rsidR="006241B3" w:rsidRPr="005C187F">
        <w:rPr>
          <w:noProof/>
          <w:color w:val="auto"/>
          <w:sz w:val="22"/>
          <w:szCs w:val="22"/>
          <w:lang w:val="bs-Latn-BA"/>
        </w:rPr>
        <w:t>j</w:t>
      </w:r>
      <w:r w:rsidRPr="005C187F">
        <w:rPr>
          <w:noProof/>
          <w:color w:val="auto"/>
          <w:sz w:val="22"/>
          <w:szCs w:val="22"/>
          <w:lang w:val="bs-Latn-BA"/>
        </w:rPr>
        <w:t>etljivošću na citotoksične l</w:t>
      </w:r>
      <w:r w:rsidR="006241B3" w:rsidRPr="005C187F">
        <w:rPr>
          <w:noProof/>
          <w:color w:val="auto"/>
          <w:sz w:val="22"/>
          <w:szCs w:val="22"/>
          <w:lang w:val="bs-Latn-BA"/>
        </w:rPr>
        <w:t>j</w:t>
      </w:r>
      <w:r w:rsidRPr="005C187F">
        <w:rPr>
          <w:noProof/>
          <w:color w:val="auto"/>
          <w:sz w:val="22"/>
          <w:szCs w:val="22"/>
          <w:lang w:val="bs-Latn-BA"/>
        </w:rPr>
        <w:t>ekove, treba pažljivo pratiti i preduzeti odgovarajuće m</w:t>
      </w:r>
      <w:r w:rsidR="006241B3" w:rsidRPr="005C187F">
        <w:rPr>
          <w:noProof/>
          <w:color w:val="auto"/>
          <w:sz w:val="22"/>
          <w:szCs w:val="22"/>
          <w:lang w:val="bs-Latn-BA"/>
        </w:rPr>
        <w:t>j</w:t>
      </w:r>
      <w:r w:rsidRPr="005C187F">
        <w:rPr>
          <w:noProof/>
          <w:color w:val="auto"/>
          <w:sz w:val="22"/>
          <w:szCs w:val="22"/>
          <w:lang w:val="bs-Latn-BA"/>
        </w:rPr>
        <w:t>ere predostrožnosti.</w:t>
      </w:r>
    </w:p>
    <w:p w14:paraId="25F7E892" w14:textId="77777777" w:rsidR="007661F0" w:rsidRPr="005C187F" w:rsidRDefault="007661F0" w:rsidP="00EA0376">
      <w:pPr>
        <w:pStyle w:val="Default"/>
        <w:jc w:val="both"/>
        <w:rPr>
          <w:i/>
          <w:iCs/>
          <w:color w:val="auto"/>
          <w:sz w:val="22"/>
          <w:szCs w:val="22"/>
          <w:lang w:val="sr-Latn-CS"/>
        </w:rPr>
      </w:pPr>
    </w:p>
    <w:p w14:paraId="25F7E893" w14:textId="782BE78E" w:rsidR="007661F0" w:rsidRPr="005C187F" w:rsidRDefault="007661F0" w:rsidP="00EA0376">
      <w:pPr>
        <w:pStyle w:val="Default"/>
        <w:jc w:val="both"/>
        <w:rPr>
          <w:color w:val="auto"/>
          <w:sz w:val="22"/>
          <w:szCs w:val="22"/>
          <w:lang w:val="sr-Latn-CS"/>
        </w:rPr>
      </w:pPr>
      <w:r w:rsidRPr="005C187F">
        <w:rPr>
          <w:i/>
          <w:iCs/>
          <w:color w:val="auto"/>
          <w:sz w:val="22"/>
          <w:szCs w:val="22"/>
          <w:lang w:val="sr-Latn-CS"/>
        </w:rPr>
        <w:t xml:space="preserve">Poremećaji </w:t>
      </w:r>
      <w:r w:rsidR="00AF4092" w:rsidRPr="005C187F">
        <w:rPr>
          <w:i/>
          <w:iCs/>
          <w:color w:val="auto"/>
          <w:sz w:val="22"/>
          <w:szCs w:val="22"/>
          <w:lang w:val="sr-Latn-CS"/>
        </w:rPr>
        <w:t xml:space="preserve">vida </w:t>
      </w:r>
    </w:p>
    <w:p w14:paraId="709607E6" w14:textId="0E7E8130" w:rsidR="004B572C" w:rsidRPr="005C187F" w:rsidRDefault="004B572C" w:rsidP="00EA0376">
      <w:pPr>
        <w:pStyle w:val="Default"/>
        <w:jc w:val="both"/>
        <w:rPr>
          <w:color w:val="auto"/>
          <w:sz w:val="22"/>
          <w:szCs w:val="22"/>
          <w:lang w:val="sr-Latn-CS"/>
        </w:rPr>
      </w:pPr>
      <w:r w:rsidRPr="005C187F">
        <w:rPr>
          <w:color w:val="auto"/>
          <w:sz w:val="22"/>
          <w:szCs w:val="22"/>
          <w:lang w:val="sr-Latn-CS"/>
        </w:rPr>
        <w:t>Prilikom sistemske i lokalne prim</w:t>
      </w:r>
      <w:r w:rsidR="006241B3" w:rsidRPr="005C187F">
        <w:rPr>
          <w:color w:val="auto"/>
          <w:sz w:val="22"/>
          <w:szCs w:val="22"/>
          <w:lang w:val="sr-Latn-CS"/>
        </w:rPr>
        <w:t>j</w:t>
      </w:r>
      <w:r w:rsidRPr="005C187F">
        <w:rPr>
          <w:color w:val="auto"/>
          <w:sz w:val="22"/>
          <w:szCs w:val="22"/>
          <w:lang w:val="sr-Latn-CS"/>
        </w:rPr>
        <w:t>ene kortikosteroida su zab</w:t>
      </w:r>
      <w:r w:rsidR="006241B3" w:rsidRPr="005C187F">
        <w:rPr>
          <w:color w:val="auto"/>
          <w:sz w:val="22"/>
          <w:szCs w:val="22"/>
          <w:lang w:val="sr-Latn-CS"/>
        </w:rPr>
        <w:t>i</w:t>
      </w:r>
      <w:r w:rsidRPr="005C187F">
        <w:rPr>
          <w:color w:val="auto"/>
          <w:sz w:val="22"/>
          <w:szCs w:val="22"/>
          <w:lang w:val="sr-Latn-CS"/>
        </w:rPr>
        <w:t>l</w:t>
      </w:r>
      <w:r w:rsidR="006241B3" w:rsidRPr="005C187F">
        <w:rPr>
          <w:color w:val="auto"/>
          <w:sz w:val="22"/>
          <w:szCs w:val="22"/>
          <w:lang w:val="sr-Latn-CS"/>
        </w:rPr>
        <w:t>j</w:t>
      </w:r>
      <w:r w:rsidRPr="005C187F">
        <w:rPr>
          <w:color w:val="auto"/>
          <w:sz w:val="22"/>
          <w:szCs w:val="22"/>
          <w:lang w:val="sr-Latn-CS"/>
        </w:rPr>
        <w:t xml:space="preserve">eženi poremećaji vida. Pacijente kod kojih se </w:t>
      </w:r>
      <w:r w:rsidR="00DD58B8" w:rsidRPr="005C187F">
        <w:rPr>
          <w:color w:val="auto"/>
          <w:sz w:val="22"/>
          <w:szCs w:val="22"/>
          <w:lang w:val="sr-Latn-CS"/>
        </w:rPr>
        <w:t xml:space="preserve">jave </w:t>
      </w:r>
      <w:r w:rsidRPr="005C187F">
        <w:rPr>
          <w:color w:val="auto"/>
          <w:sz w:val="22"/>
          <w:szCs w:val="22"/>
          <w:lang w:val="sr-Latn-CS"/>
        </w:rPr>
        <w:t>zamućen vid ili drugi poremećaj</w:t>
      </w:r>
      <w:r w:rsidR="00BC4D31" w:rsidRPr="005C187F">
        <w:rPr>
          <w:color w:val="auto"/>
          <w:sz w:val="22"/>
          <w:szCs w:val="22"/>
          <w:lang w:val="sr-Latn-CS"/>
        </w:rPr>
        <w:t>i</w:t>
      </w:r>
      <w:r w:rsidRPr="005C187F">
        <w:rPr>
          <w:color w:val="auto"/>
          <w:sz w:val="22"/>
          <w:szCs w:val="22"/>
          <w:lang w:val="sr-Latn-CS"/>
        </w:rPr>
        <w:t xml:space="preserve"> vida, treba uputiti oftalmologu radi utvrđivanja uzroka koji su doveli do ispoljavanja simptoma, a koji uključuju kataraktu, glaukom ili r</w:t>
      </w:r>
      <w:r w:rsidR="006241B3" w:rsidRPr="005C187F">
        <w:rPr>
          <w:color w:val="auto"/>
          <w:sz w:val="22"/>
          <w:szCs w:val="22"/>
          <w:lang w:val="sr-Latn-CS"/>
        </w:rPr>
        <w:t>ij</w:t>
      </w:r>
      <w:r w:rsidRPr="005C187F">
        <w:rPr>
          <w:color w:val="auto"/>
          <w:sz w:val="22"/>
          <w:szCs w:val="22"/>
          <w:lang w:val="sr-Latn-CS"/>
        </w:rPr>
        <w:t xml:space="preserve">etke bolesti poput centralne serozne horioretinopatije (engl. </w:t>
      </w:r>
      <w:r w:rsidRPr="005C187F">
        <w:rPr>
          <w:i/>
          <w:iCs/>
          <w:color w:val="auto"/>
          <w:sz w:val="22"/>
          <w:szCs w:val="22"/>
          <w:lang w:val="sr-Latn-CS"/>
        </w:rPr>
        <w:t>central serous chorioretinopathy</w:t>
      </w:r>
      <w:r w:rsidRPr="005C187F">
        <w:rPr>
          <w:color w:val="auto"/>
          <w:sz w:val="22"/>
          <w:szCs w:val="22"/>
          <w:lang w:val="sr-Latn-CS"/>
        </w:rPr>
        <w:t>), koja je zab</w:t>
      </w:r>
      <w:r w:rsidR="006241B3" w:rsidRPr="005C187F">
        <w:rPr>
          <w:color w:val="auto"/>
          <w:sz w:val="22"/>
          <w:szCs w:val="22"/>
          <w:lang w:val="sr-Latn-CS"/>
        </w:rPr>
        <w:t>i</w:t>
      </w:r>
      <w:r w:rsidRPr="005C187F">
        <w:rPr>
          <w:color w:val="auto"/>
          <w:sz w:val="22"/>
          <w:szCs w:val="22"/>
          <w:lang w:val="sr-Latn-CS"/>
        </w:rPr>
        <w:t>l</w:t>
      </w:r>
      <w:r w:rsidR="006241B3" w:rsidRPr="005C187F">
        <w:rPr>
          <w:color w:val="auto"/>
          <w:sz w:val="22"/>
          <w:szCs w:val="22"/>
          <w:lang w:val="sr-Latn-CS"/>
        </w:rPr>
        <w:t>j</w:t>
      </w:r>
      <w:r w:rsidRPr="005C187F">
        <w:rPr>
          <w:color w:val="auto"/>
          <w:sz w:val="22"/>
          <w:szCs w:val="22"/>
          <w:lang w:val="sr-Latn-CS"/>
        </w:rPr>
        <w:t>ežena nakon sistemske i topiklane prim</w:t>
      </w:r>
      <w:r w:rsidR="006241B3" w:rsidRPr="005C187F">
        <w:rPr>
          <w:color w:val="auto"/>
          <w:sz w:val="22"/>
          <w:szCs w:val="22"/>
          <w:lang w:val="sr-Latn-CS"/>
        </w:rPr>
        <w:t>j</w:t>
      </w:r>
      <w:r w:rsidRPr="005C187F">
        <w:rPr>
          <w:color w:val="auto"/>
          <w:sz w:val="22"/>
          <w:szCs w:val="22"/>
          <w:lang w:val="sr-Latn-CS"/>
        </w:rPr>
        <w:t xml:space="preserve">ene kortikosteroida. </w:t>
      </w:r>
    </w:p>
    <w:p w14:paraId="25F7E8BA" w14:textId="77777777" w:rsidR="007661F0" w:rsidRPr="005C187F" w:rsidRDefault="007661F0" w:rsidP="00EA0376">
      <w:pPr>
        <w:pStyle w:val="Default"/>
        <w:jc w:val="both"/>
        <w:rPr>
          <w:iCs/>
          <w:color w:val="auto"/>
          <w:sz w:val="22"/>
          <w:szCs w:val="22"/>
          <w:lang w:val="sr-Latn-CS"/>
        </w:rPr>
      </w:pPr>
    </w:p>
    <w:p w14:paraId="25F7E8C2" w14:textId="7EA1F59F" w:rsidR="007661F0" w:rsidRPr="005C187F" w:rsidRDefault="00AF4092" w:rsidP="00EA0376">
      <w:pPr>
        <w:pStyle w:val="Default"/>
        <w:jc w:val="both"/>
        <w:rPr>
          <w:color w:val="auto"/>
          <w:sz w:val="22"/>
          <w:szCs w:val="22"/>
          <w:lang w:val="sr-Latn-CS"/>
        </w:rPr>
      </w:pPr>
      <w:r w:rsidRPr="005C187F">
        <w:rPr>
          <w:i/>
          <w:iCs/>
          <w:color w:val="auto"/>
          <w:sz w:val="22"/>
          <w:szCs w:val="22"/>
          <w:lang w:val="sr-Latn-CS"/>
        </w:rPr>
        <w:t>Feohromocitomska kriza</w:t>
      </w:r>
    </w:p>
    <w:p w14:paraId="25F7E8C3" w14:textId="57D09305" w:rsidR="007661F0" w:rsidRPr="005C187F" w:rsidRDefault="007661F0" w:rsidP="00EA0376">
      <w:pPr>
        <w:pStyle w:val="Default"/>
        <w:jc w:val="both"/>
        <w:rPr>
          <w:color w:val="auto"/>
          <w:sz w:val="22"/>
          <w:szCs w:val="22"/>
          <w:lang w:val="sr-Latn-CS"/>
        </w:rPr>
      </w:pPr>
      <w:r w:rsidRPr="005C187F">
        <w:rPr>
          <w:color w:val="auto"/>
          <w:sz w:val="22"/>
          <w:szCs w:val="22"/>
          <w:lang w:val="sr-Latn-CS"/>
        </w:rPr>
        <w:t>Feohromocitomska kriza, koja može biti smrtonosna, zab</w:t>
      </w:r>
      <w:r w:rsidR="006241B3" w:rsidRPr="005C187F">
        <w:rPr>
          <w:color w:val="auto"/>
          <w:sz w:val="22"/>
          <w:szCs w:val="22"/>
          <w:lang w:val="sr-Latn-CS"/>
        </w:rPr>
        <w:t>i</w:t>
      </w:r>
      <w:r w:rsidRPr="005C187F">
        <w:rPr>
          <w:color w:val="auto"/>
          <w:sz w:val="22"/>
          <w:szCs w:val="22"/>
          <w:lang w:val="sr-Latn-CS"/>
        </w:rPr>
        <w:t>l</w:t>
      </w:r>
      <w:r w:rsidR="006241B3" w:rsidRPr="005C187F">
        <w:rPr>
          <w:color w:val="auto"/>
          <w:sz w:val="22"/>
          <w:szCs w:val="22"/>
          <w:lang w:val="sr-Latn-CS"/>
        </w:rPr>
        <w:t>j</w:t>
      </w:r>
      <w:r w:rsidRPr="005C187F">
        <w:rPr>
          <w:color w:val="auto"/>
          <w:sz w:val="22"/>
          <w:szCs w:val="22"/>
          <w:lang w:val="sr-Latn-CS"/>
        </w:rPr>
        <w:t>ežena je nakon prim</w:t>
      </w:r>
      <w:r w:rsidR="006241B3" w:rsidRPr="005C187F">
        <w:rPr>
          <w:color w:val="auto"/>
          <w:sz w:val="22"/>
          <w:szCs w:val="22"/>
          <w:lang w:val="sr-Latn-CS"/>
        </w:rPr>
        <w:t>j</w:t>
      </w:r>
      <w:r w:rsidRPr="005C187F">
        <w:rPr>
          <w:color w:val="auto"/>
          <w:sz w:val="22"/>
          <w:szCs w:val="22"/>
          <w:lang w:val="sr-Latn-CS"/>
        </w:rPr>
        <w:t xml:space="preserve">ene sistemskih kortikosteroida. Kod </w:t>
      </w:r>
      <w:r w:rsidR="00AF4092" w:rsidRPr="005C187F">
        <w:rPr>
          <w:color w:val="auto"/>
          <w:sz w:val="22"/>
          <w:szCs w:val="22"/>
          <w:lang w:val="sr-Latn-CS"/>
        </w:rPr>
        <w:t xml:space="preserve">pacijenata </w:t>
      </w:r>
      <w:r w:rsidRPr="005C187F">
        <w:rPr>
          <w:color w:val="auto"/>
          <w:sz w:val="22"/>
          <w:szCs w:val="22"/>
          <w:lang w:val="sr-Latn-CS"/>
        </w:rPr>
        <w:t>kod kojih postoji sumnja na feohromocitom ili potvrđeni feohromocitom, kortikosteroide treba prim</w:t>
      </w:r>
      <w:r w:rsidR="006241B3" w:rsidRPr="005C187F">
        <w:rPr>
          <w:color w:val="auto"/>
          <w:sz w:val="22"/>
          <w:szCs w:val="22"/>
          <w:lang w:val="sr-Latn-CS"/>
        </w:rPr>
        <w:t>j</w:t>
      </w:r>
      <w:r w:rsidRPr="005C187F">
        <w:rPr>
          <w:color w:val="auto"/>
          <w:sz w:val="22"/>
          <w:szCs w:val="22"/>
          <w:lang w:val="sr-Latn-CS"/>
        </w:rPr>
        <w:t>enjivati samo nakon adekvatne proc</w:t>
      </w:r>
      <w:r w:rsidR="006241B3" w:rsidRPr="005C187F">
        <w:rPr>
          <w:color w:val="auto"/>
          <w:sz w:val="22"/>
          <w:szCs w:val="22"/>
          <w:lang w:val="sr-Latn-CS"/>
        </w:rPr>
        <w:t>j</w:t>
      </w:r>
      <w:r w:rsidRPr="005C187F">
        <w:rPr>
          <w:color w:val="auto"/>
          <w:sz w:val="22"/>
          <w:szCs w:val="22"/>
          <w:lang w:val="sr-Latn-CS"/>
        </w:rPr>
        <w:t xml:space="preserve">ene odnosa rizika i koristi. </w:t>
      </w:r>
    </w:p>
    <w:p w14:paraId="25F7E8C8" w14:textId="77777777" w:rsidR="007661F0" w:rsidRPr="005C187F" w:rsidRDefault="007661F0" w:rsidP="00EA0376">
      <w:pPr>
        <w:pStyle w:val="Default"/>
        <w:jc w:val="both"/>
        <w:rPr>
          <w:color w:val="auto"/>
          <w:sz w:val="22"/>
          <w:szCs w:val="22"/>
          <w:lang w:val="sr-Latn-CS"/>
        </w:rPr>
      </w:pPr>
    </w:p>
    <w:p w14:paraId="25F7E8C9" w14:textId="77777777" w:rsidR="007661F0" w:rsidRPr="005C187F" w:rsidRDefault="007661F0" w:rsidP="00EA0376">
      <w:pPr>
        <w:pStyle w:val="Default"/>
        <w:jc w:val="both"/>
        <w:rPr>
          <w:color w:val="auto"/>
          <w:sz w:val="22"/>
          <w:szCs w:val="22"/>
          <w:u w:val="single"/>
          <w:lang w:val="sr-Latn-CS"/>
        </w:rPr>
      </w:pPr>
      <w:r w:rsidRPr="005C187F">
        <w:rPr>
          <w:color w:val="auto"/>
          <w:sz w:val="22"/>
          <w:szCs w:val="22"/>
          <w:u w:val="single"/>
          <w:lang w:val="sr-Latn-CS"/>
        </w:rPr>
        <w:t xml:space="preserve">Pedijatrijska populacija </w:t>
      </w:r>
    </w:p>
    <w:p w14:paraId="28E45996" w14:textId="77A515B5" w:rsidR="00A460B5" w:rsidRPr="005C187F" w:rsidRDefault="00A460B5" w:rsidP="00EA0376">
      <w:pPr>
        <w:pStyle w:val="Default"/>
        <w:jc w:val="both"/>
        <w:rPr>
          <w:color w:val="auto"/>
          <w:sz w:val="22"/>
          <w:szCs w:val="22"/>
          <w:lang w:val="sr-Latn-CS"/>
        </w:rPr>
      </w:pPr>
      <w:r w:rsidRPr="005C187F">
        <w:rPr>
          <w:color w:val="auto"/>
          <w:sz w:val="22"/>
          <w:szCs w:val="22"/>
          <w:lang w:val="sr-Latn-CS"/>
        </w:rPr>
        <w:t>Kod d</w:t>
      </w:r>
      <w:r w:rsidR="006241B3" w:rsidRPr="005C187F">
        <w:rPr>
          <w:color w:val="auto"/>
          <w:sz w:val="22"/>
          <w:szCs w:val="22"/>
          <w:lang w:val="sr-Latn-CS"/>
        </w:rPr>
        <w:t>j</w:t>
      </w:r>
      <w:r w:rsidRPr="005C187F">
        <w:rPr>
          <w:color w:val="auto"/>
          <w:sz w:val="22"/>
          <w:szCs w:val="22"/>
          <w:lang w:val="sr-Latn-CS"/>
        </w:rPr>
        <w:t>ece u fazi rasta treba pažljivo razmotriti odnos koristi i rizika terapije deksametazonom. Trajanje terapije treba da bude ograničeno, a u slučaju dugotrajne terapije periodično.</w:t>
      </w:r>
    </w:p>
    <w:p w14:paraId="2BE6635A" w14:textId="7E48257B" w:rsidR="00A460B5" w:rsidRPr="005C187F" w:rsidRDefault="00FF6AC4" w:rsidP="00EA0376">
      <w:pPr>
        <w:pStyle w:val="Default"/>
        <w:jc w:val="both"/>
        <w:rPr>
          <w:color w:val="auto"/>
          <w:sz w:val="22"/>
          <w:szCs w:val="22"/>
          <w:lang w:val="sr-Latn-CS"/>
        </w:rPr>
      </w:pPr>
      <w:r w:rsidRPr="005C187F">
        <w:rPr>
          <w:i/>
          <w:iCs/>
          <w:color w:val="auto"/>
          <w:sz w:val="22"/>
          <w:szCs w:val="22"/>
          <w:lang w:val="sr-Latn-CS"/>
        </w:rPr>
        <w:lastRenderedPageBreak/>
        <w:t>Pr</w:t>
      </w:r>
      <w:r w:rsidR="006241B3" w:rsidRPr="005C187F">
        <w:rPr>
          <w:i/>
          <w:iCs/>
          <w:color w:val="auto"/>
          <w:sz w:val="22"/>
          <w:szCs w:val="22"/>
          <w:lang w:val="sr-Latn-CS"/>
        </w:rPr>
        <w:t>ij</w:t>
      </w:r>
      <w:r w:rsidRPr="005C187F">
        <w:rPr>
          <w:i/>
          <w:iCs/>
          <w:color w:val="auto"/>
          <w:sz w:val="22"/>
          <w:szCs w:val="22"/>
          <w:lang w:val="sr-Latn-CS"/>
        </w:rPr>
        <w:t>evremeno rođene bebe</w:t>
      </w:r>
      <w:r w:rsidR="00A460B5" w:rsidRPr="005C187F">
        <w:rPr>
          <w:i/>
          <w:iCs/>
          <w:color w:val="auto"/>
          <w:sz w:val="22"/>
          <w:szCs w:val="22"/>
          <w:lang w:val="sr-Latn-CS"/>
        </w:rPr>
        <w:t xml:space="preserve">: </w:t>
      </w:r>
      <w:r w:rsidR="00A460B5" w:rsidRPr="005C187F">
        <w:rPr>
          <w:color w:val="auto"/>
          <w:sz w:val="22"/>
          <w:szCs w:val="22"/>
          <w:lang w:val="sr-Latn-CS"/>
        </w:rPr>
        <w:t>dostupni podaci ukazuju na mogućnost dugotrajnih neželjenih reakcija na razvoj nervnog sistema u slučaju rane prim</w:t>
      </w:r>
      <w:r w:rsidR="006241B3" w:rsidRPr="005C187F">
        <w:rPr>
          <w:color w:val="auto"/>
          <w:sz w:val="22"/>
          <w:szCs w:val="22"/>
          <w:lang w:val="sr-Latn-CS"/>
        </w:rPr>
        <w:t>j</w:t>
      </w:r>
      <w:r w:rsidR="00A460B5" w:rsidRPr="005C187F">
        <w:rPr>
          <w:color w:val="auto"/>
          <w:sz w:val="22"/>
          <w:szCs w:val="22"/>
          <w:lang w:val="sr-Latn-CS"/>
        </w:rPr>
        <w:t>ene l</w:t>
      </w:r>
      <w:r w:rsidR="006241B3" w:rsidRPr="005C187F">
        <w:rPr>
          <w:color w:val="auto"/>
          <w:sz w:val="22"/>
          <w:szCs w:val="22"/>
          <w:lang w:val="sr-Latn-CS"/>
        </w:rPr>
        <w:t>ij</w:t>
      </w:r>
      <w:r w:rsidR="00A460B5" w:rsidRPr="005C187F">
        <w:rPr>
          <w:color w:val="auto"/>
          <w:sz w:val="22"/>
          <w:szCs w:val="22"/>
          <w:lang w:val="sr-Latn-CS"/>
        </w:rPr>
        <w:t xml:space="preserve">eka (&lt; 96 sati nakon rođenja) kod </w:t>
      </w:r>
      <w:r w:rsidRPr="005C187F">
        <w:rPr>
          <w:iCs/>
          <w:color w:val="auto"/>
          <w:sz w:val="22"/>
          <w:szCs w:val="22"/>
          <w:lang w:val="sr-Latn-CS"/>
        </w:rPr>
        <w:t>pr</w:t>
      </w:r>
      <w:r w:rsidR="006241B3" w:rsidRPr="005C187F">
        <w:rPr>
          <w:iCs/>
          <w:color w:val="auto"/>
          <w:sz w:val="22"/>
          <w:szCs w:val="22"/>
          <w:lang w:val="sr-Latn-CS"/>
        </w:rPr>
        <w:t>ij</w:t>
      </w:r>
      <w:r w:rsidRPr="005C187F">
        <w:rPr>
          <w:iCs/>
          <w:color w:val="auto"/>
          <w:sz w:val="22"/>
          <w:szCs w:val="22"/>
          <w:lang w:val="sr-Latn-CS"/>
        </w:rPr>
        <w:t>evremeno rođene bebe</w:t>
      </w:r>
      <w:r w:rsidR="00A460B5" w:rsidRPr="005C187F">
        <w:rPr>
          <w:color w:val="auto"/>
          <w:sz w:val="22"/>
          <w:szCs w:val="22"/>
          <w:lang w:val="sr-Latn-CS"/>
        </w:rPr>
        <w:t xml:space="preserve"> s hroničnom plućnom bolešću, pri početnoj dozi od 0,25 mg/kg dva puta dnevno. </w:t>
      </w:r>
    </w:p>
    <w:p w14:paraId="7EDB4E73" w14:textId="407E388E" w:rsidR="00A460B5" w:rsidRPr="005C187F" w:rsidRDefault="00A460B5" w:rsidP="00EA0376">
      <w:pPr>
        <w:pStyle w:val="Default"/>
        <w:jc w:val="both"/>
        <w:rPr>
          <w:i/>
          <w:iCs/>
          <w:color w:val="auto"/>
          <w:sz w:val="22"/>
          <w:szCs w:val="22"/>
          <w:lang w:val="sr-Latn-CS"/>
        </w:rPr>
      </w:pPr>
    </w:p>
    <w:p w14:paraId="25F7E8CD" w14:textId="11D3B214" w:rsidR="007661F0" w:rsidRPr="005C187F" w:rsidRDefault="007661F0" w:rsidP="00EA0376">
      <w:pPr>
        <w:pStyle w:val="Default"/>
        <w:jc w:val="both"/>
        <w:rPr>
          <w:color w:val="auto"/>
          <w:sz w:val="22"/>
          <w:szCs w:val="22"/>
          <w:u w:val="single"/>
          <w:lang w:val="sr-Latn-CS"/>
        </w:rPr>
      </w:pPr>
      <w:r w:rsidRPr="005C187F">
        <w:rPr>
          <w:color w:val="auto"/>
          <w:sz w:val="22"/>
          <w:szCs w:val="22"/>
          <w:u w:val="single"/>
          <w:lang w:val="sr-Latn-CS"/>
        </w:rPr>
        <w:t xml:space="preserve">Starije osobe </w:t>
      </w:r>
    </w:p>
    <w:p w14:paraId="25F7E8CE" w14:textId="269E854C" w:rsidR="007661F0" w:rsidRPr="005C187F" w:rsidRDefault="00A460B5" w:rsidP="00EA0376">
      <w:pPr>
        <w:pStyle w:val="Default"/>
        <w:jc w:val="both"/>
        <w:rPr>
          <w:color w:val="auto"/>
          <w:sz w:val="22"/>
          <w:szCs w:val="22"/>
          <w:lang w:val="sr-Latn-CS"/>
        </w:rPr>
      </w:pPr>
      <w:r w:rsidRPr="005C187F">
        <w:rPr>
          <w:color w:val="auto"/>
          <w:sz w:val="22"/>
          <w:szCs w:val="22"/>
          <w:lang w:val="sr-Latn-CS"/>
        </w:rPr>
        <w:t>Pošto starije osobe imaju povećan rizik od razvoja osteoporoze, odnos koristi i rizika terapije dekasametazonom treba pažljivo proc</w:t>
      </w:r>
      <w:r w:rsidR="006241B3" w:rsidRPr="005C187F">
        <w:rPr>
          <w:color w:val="auto"/>
          <w:sz w:val="22"/>
          <w:szCs w:val="22"/>
          <w:lang w:val="sr-Latn-CS"/>
        </w:rPr>
        <w:t>ij</w:t>
      </w:r>
      <w:r w:rsidRPr="005C187F">
        <w:rPr>
          <w:color w:val="auto"/>
          <w:sz w:val="22"/>
          <w:szCs w:val="22"/>
          <w:lang w:val="sr-Latn-CS"/>
        </w:rPr>
        <w:t>eniti.</w:t>
      </w:r>
    </w:p>
    <w:p w14:paraId="25F7E8CF" w14:textId="77777777" w:rsidR="007661F0" w:rsidRPr="005C187F" w:rsidRDefault="007661F0" w:rsidP="00EA0376">
      <w:pPr>
        <w:pStyle w:val="Default"/>
        <w:jc w:val="both"/>
        <w:rPr>
          <w:color w:val="auto"/>
          <w:sz w:val="22"/>
          <w:szCs w:val="22"/>
          <w:lang w:val="sr-Latn-CS"/>
        </w:rPr>
      </w:pPr>
    </w:p>
    <w:p w14:paraId="25F7E8D3" w14:textId="77777777" w:rsidR="007661F0" w:rsidRPr="005C187F" w:rsidRDefault="007661F0" w:rsidP="00EA0376">
      <w:pPr>
        <w:pStyle w:val="Default"/>
        <w:jc w:val="both"/>
        <w:rPr>
          <w:color w:val="auto"/>
          <w:sz w:val="22"/>
          <w:szCs w:val="22"/>
          <w:u w:val="single"/>
          <w:lang w:val="sr-Latn-CS"/>
        </w:rPr>
      </w:pPr>
      <w:r w:rsidRPr="005C187F">
        <w:rPr>
          <w:color w:val="auto"/>
          <w:sz w:val="22"/>
          <w:szCs w:val="22"/>
          <w:u w:val="single"/>
          <w:lang w:val="sr-Latn-CS"/>
        </w:rPr>
        <w:t xml:space="preserve">Napomena o dopingu </w:t>
      </w:r>
    </w:p>
    <w:p w14:paraId="25F7E8D4" w14:textId="2A6C8024" w:rsidR="007661F0" w:rsidRPr="005C187F" w:rsidRDefault="007661F0" w:rsidP="00EA0376">
      <w:pPr>
        <w:pStyle w:val="Default"/>
        <w:jc w:val="both"/>
        <w:rPr>
          <w:color w:val="auto"/>
          <w:sz w:val="22"/>
          <w:szCs w:val="22"/>
          <w:lang w:val="sr-Latn-CS"/>
        </w:rPr>
      </w:pPr>
      <w:r w:rsidRPr="005C187F">
        <w:rPr>
          <w:color w:val="auto"/>
          <w:sz w:val="22"/>
          <w:szCs w:val="22"/>
          <w:lang w:val="sr-Latn-CS"/>
        </w:rPr>
        <w:t>Tokom prim</w:t>
      </w:r>
      <w:r w:rsidR="006241B3" w:rsidRPr="005C187F">
        <w:rPr>
          <w:color w:val="auto"/>
          <w:sz w:val="22"/>
          <w:szCs w:val="22"/>
          <w:lang w:val="sr-Latn-CS"/>
        </w:rPr>
        <w:t>j</w:t>
      </w:r>
      <w:r w:rsidRPr="005C187F">
        <w:rPr>
          <w:color w:val="auto"/>
          <w:sz w:val="22"/>
          <w:szCs w:val="22"/>
          <w:lang w:val="sr-Latn-CS"/>
        </w:rPr>
        <w:t xml:space="preserve">ene deksametazona, doping testovi mogu dati lažno pozitivne rezultate. </w:t>
      </w:r>
    </w:p>
    <w:p w14:paraId="2938DC20" w14:textId="0DEADF89" w:rsidR="00CB01F2" w:rsidRPr="005C187F" w:rsidRDefault="00CB01F2" w:rsidP="00EA0376">
      <w:pPr>
        <w:pStyle w:val="Default"/>
        <w:jc w:val="both"/>
        <w:rPr>
          <w:color w:val="auto"/>
          <w:sz w:val="22"/>
          <w:szCs w:val="22"/>
          <w:lang w:val="sr-Latn-CS"/>
        </w:rPr>
      </w:pPr>
    </w:p>
    <w:p w14:paraId="7AF1A81F" w14:textId="77777777" w:rsidR="00CB01F2" w:rsidRPr="005C187F" w:rsidRDefault="00CB01F2" w:rsidP="00EA0376">
      <w:pPr>
        <w:pStyle w:val="Default"/>
        <w:rPr>
          <w:color w:val="auto"/>
          <w:sz w:val="22"/>
          <w:szCs w:val="22"/>
          <w:u w:val="single"/>
          <w:lang w:val="sr-Latn-CS"/>
        </w:rPr>
      </w:pPr>
      <w:r w:rsidRPr="005C187F">
        <w:rPr>
          <w:color w:val="auto"/>
          <w:sz w:val="22"/>
          <w:szCs w:val="22"/>
          <w:u w:val="single"/>
          <w:lang w:val="sr-Latn-CS"/>
        </w:rPr>
        <w:t>Pacijenti sa Covid-19</w:t>
      </w:r>
    </w:p>
    <w:p w14:paraId="23CBB901" w14:textId="506F051E" w:rsidR="00CB01F2" w:rsidRPr="005C187F" w:rsidRDefault="00CB01F2" w:rsidP="00EA0376">
      <w:pPr>
        <w:pStyle w:val="Default"/>
        <w:jc w:val="both"/>
        <w:rPr>
          <w:color w:val="auto"/>
          <w:sz w:val="22"/>
          <w:szCs w:val="22"/>
          <w:lang w:val="sr-Latn-CS"/>
        </w:rPr>
      </w:pPr>
      <w:r w:rsidRPr="005C187F">
        <w:rPr>
          <w:color w:val="auto"/>
          <w:sz w:val="22"/>
          <w:szCs w:val="22"/>
          <w:lang w:val="sr-Latn-CS"/>
        </w:rPr>
        <w:t>Kod pacijenata koji već primaju sistemske (oralne) kortikosteroide iz drugih razloga (npr. pacijenti sa hroničnom opstruktivnom bolesti pluća), ali ne zaht</w:t>
      </w:r>
      <w:r w:rsidR="006241B3" w:rsidRPr="005C187F">
        <w:rPr>
          <w:color w:val="auto"/>
          <w:sz w:val="22"/>
          <w:szCs w:val="22"/>
          <w:lang w:val="sr-Latn-CS"/>
        </w:rPr>
        <w:t>ij</w:t>
      </w:r>
      <w:r w:rsidRPr="005C187F">
        <w:rPr>
          <w:color w:val="auto"/>
          <w:sz w:val="22"/>
          <w:szCs w:val="22"/>
          <w:lang w:val="sr-Latn-CS"/>
        </w:rPr>
        <w:t>evaju oksigenoterapiju, nije potrebno prekidati prim</w:t>
      </w:r>
      <w:r w:rsidR="006241B3" w:rsidRPr="005C187F">
        <w:rPr>
          <w:color w:val="auto"/>
          <w:sz w:val="22"/>
          <w:szCs w:val="22"/>
          <w:lang w:val="sr-Latn-CS"/>
        </w:rPr>
        <w:t>j</w:t>
      </w:r>
      <w:r w:rsidRPr="005C187F">
        <w:rPr>
          <w:color w:val="auto"/>
          <w:sz w:val="22"/>
          <w:szCs w:val="22"/>
          <w:lang w:val="sr-Latn-CS"/>
        </w:rPr>
        <w:t>enu kortikosteroida.</w:t>
      </w:r>
    </w:p>
    <w:p w14:paraId="6059F1B4" w14:textId="77777777" w:rsidR="00AA3057" w:rsidRPr="005C187F" w:rsidRDefault="00AA3057" w:rsidP="00EA0376">
      <w:pPr>
        <w:pStyle w:val="Default"/>
        <w:jc w:val="both"/>
        <w:rPr>
          <w:color w:val="auto"/>
          <w:sz w:val="22"/>
          <w:szCs w:val="22"/>
          <w:lang w:val="sr-Latn-CS"/>
        </w:rPr>
      </w:pPr>
    </w:p>
    <w:p w14:paraId="210660A6" w14:textId="5D565E56" w:rsidR="0058691E" w:rsidRPr="005C187F" w:rsidRDefault="0058691E" w:rsidP="00EA0376">
      <w:pPr>
        <w:pStyle w:val="Default"/>
        <w:jc w:val="both"/>
        <w:rPr>
          <w:color w:val="auto"/>
          <w:sz w:val="22"/>
          <w:szCs w:val="22"/>
          <w:lang w:val="sr-Latn-CS"/>
        </w:rPr>
      </w:pPr>
      <w:r w:rsidRPr="005C187F">
        <w:rPr>
          <w:color w:val="auto"/>
          <w:sz w:val="22"/>
          <w:szCs w:val="22"/>
          <w:lang w:val="sr-Latn-CS"/>
        </w:rPr>
        <w:t>Ovaj l</w:t>
      </w:r>
      <w:r w:rsidR="006241B3" w:rsidRPr="005C187F">
        <w:rPr>
          <w:color w:val="auto"/>
          <w:sz w:val="22"/>
          <w:szCs w:val="22"/>
          <w:lang w:val="sr-Latn-CS"/>
        </w:rPr>
        <w:t>ij</w:t>
      </w:r>
      <w:r w:rsidRPr="005C187F">
        <w:rPr>
          <w:color w:val="auto"/>
          <w:sz w:val="22"/>
          <w:szCs w:val="22"/>
          <w:lang w:val="sr-Latn-CS"/>
        </w:rPr>
        <w:t>ek sadrži laktozu i glukozu</w:t>
      </w:r>
    </w:p>
    <w:p w14:paraId="396E31F1" w14:textId="67B522A5" w:rsidR="00F951F9" w:rsidRPr="005C187F" w:rsidRDefault="0058691E" w:rsidP="00EA0376">
      <w:pPr>
        <w:pStyle w:val="Default"/>
        <w:jc w:val="both"/>
        <w:rPr>
          <w:color w:val="auto"/>
          <w:sz w:val="22"/>
          <w:szCs w:val="22"/>
          <w:u w:val="single"/>
          <w:lang w:val="sr-Latn-CS"/>
        </w:rPr>
      </w:pPr>
      <w:r w:rsidRPr="005C187F">
        <w:rPr>
          <w:color w:val="auto"/>
          <w:sz w:val="22"/>
          <w:szCs w:val="22"/>
          <w:u w:val="single"/>
          <w:lang w:val="sr-Latn-CS"/>
        </w:rPr>
        <w:t xml:space="preserve">Pacijenti </w:t>
      </w:r>
      <w:r w:rsidR="00F951F9" w:rsidRPr="005C187F">
        <w:rPr>
          <w:color w:val="auto"/>
          <w:sz w:val="22"/>
          <w:szCs w:val="22"/>
          <w:u w:val="single"/>
          <w:lang w:val="sr-Latn-CS"/>
        </w:rPr>
        <w:t>sa r</w:t>
      </w:r>
      <w:r w:rsidR="006241B3" w:rsidRPr="005C187F">
        <w:rPr>
          <w:color w:val="auto"/>
          <w:sz w:val="22"/>
          <w:szCs w:val="22"/>
          <w:u w:val="single"/>
          <w:lang w:val="sr-Latn-CS"/>
        </w:rPr>
        <w:t>ij</w:t>
      </w:r>
      <w:r w:rsidR="00F951F9" w:rsidRPr="005C187F">
        <w:rPr>
          <w:color w:val="auto"/>
          <w:sz w:val="22"/>
          <w:szCs w:val="22"/>
          <w:u w:val="single"/>
          <w:lang w:val="sr-Latn-CS"/>
        </w:rPr>
        <w:t>etkim nasl</w:t>
      </w:r>
      <w:r w:rsidR="006241B3" w:rsidRPr="005C187F">
        <w:rPr>
          <w:color w:val="auto"/>
          <w:sz w:val="22"/>
          <w:szCs w:val="22"/>
          <w:u w:val="single"/>
          <w:lang w:val="sr-Latn-CS"/>
        </w:rPr>
        <w:t>j</w:t>
      </w:r>
      <w:r w:rsidR="00F951F9" w:rsidRPr="005C187F">
        <w:rPr>
          <w:color w:val="auto"/>
          <w:sz w:val="22"/>
          <w:szCs w:val="22"/>
          <w:u w:val="single"/>
          <w:lang w:val="sr-Latn-CS"/>
        </w:rPr>
        <w:t xml:space="preserve">ednim </w:t>
      </w:r>
      <w:r w:rsidRPr="005C187F">
        <w:rPr>
          <w:color w:val="auto"/>
          <w:sz w:val="22"/>
          <w:szCs w:val="22"/>
          <w:u w:val="single"/>
          <w:lang w:val="sr-Latn-CS"/>
        </w:rPr>
        <w:t>oboljenjem intolerancije na galaktozu, nedostatkom laktaze ili glukozno-galaktoznom malapsorpcijom, ne sm</w:t>
      </w:r>
      <w:r w:rsidR="006241B3" w:rsidRPr="005C187F">
        <w:rPr>
          <w:color w:val="auto"/>
          <w:sz w:val="22"/>
          <w:szCs w:val="22"/>
          <w:u w:val="single"/>
          <w:lang w:val="sr-Latn-CS"/>
        </w:rPr>
        <w:t>i</w:t>
      </w:r>
      <w:r w:rsidRPr="005C187F">
        <w:rPr>
          <w:color w:val="auto"/>
          <w:sz w:val="22"/>
          <w:szCs w:val="22"/>
          <w:u w:val="single"/>
          <w:lang w:val="sr-Latn-CS"/>
        </w:rPr>
        <w:t>ju</w:t>
      </w:r>
      <w:r w:rsidR="006241B3" w:rsidRPr="005C187F">
        <w:rPr>
          <w:color w:val="auto"/>
          <w:sz w:val="22"/>
          <w:szCs w:val="22"/>
          <w:u w:val="single"/>
          <w:lang w:val="sr-Latn-CS"/>
        </w:rPr>
        <w:t xml:space="preserve"> </w:t>
      </w:r>
      <w:r w:rsidRPr="005C187F">
        <w:rPr>
          <w:color w:val="auto"/>
          <w:sz w:val="22"/>
          <w:szCs w:val="22"/>
          <w:u w:val="single"/>
          <w:lang w:val="sr-Latn-CS"/>
        </w:rPr>
        <w:t>koristiti ovaj l</w:t>
      </w:r>
      <w:r w:rsidR="006241B3" w:rsidRPr="005C187F">
        <w:rPr>
          <w:color w:val="auto"/>
          <w:sz w:val="22"/>
          <w:szCs w:val="22"/>
          <w:u w:val="single"/>
          <w:lang w:val="sr-Latn-CS"/>
        </w:rPr>
        <w:t>ij</w:t>
      </w:r>
      <w:r w:rsidRPr="005C187F">
        <w:rPr>
          <w:color w:val="auto"/>
          <w:sz w:val="22"/>
          <w:szCs w:val="22"/>
          <w:u w:val="single"/>
          <w:lang w:val="sr-Latn-CS"/>
        </w:rPr>
        <w:t>ek.</w:t>
      </w:r>
    </w:p>
    <w:p w14:paraId="25F7E8D5" w14:textId="77777777" w:rsidR="007661F0" w:rsidRPr="00CA46C7" w:rsidRDefault="007661F0" w:rsidP="00EA0376">
      <w:pPr>
        <w:rPr>
          <w:szCs w:val="22"/>
          <w:lang w:val="sr-Latn-CS"/>
        </w:rPr>
      </w:pPr>
    </w:p>
    <w:p w14:paraId="25F7E8D6" w14:textId="2AFF151F" w:rsidR="007661F0" w:rsidRPr="00CA46C7" w:rsidRDefault="007661F0" w:rsidP="00EA0376">
      <w:pPr>
        <w:rPr>
          <w:b/>
          <w:bCs/>
          <w:szCs w:val="22"/>
          <w:lang w:val="sr-Latn-CS"/>
        </w:rPr>
      </w:pPr>
      <w:r w:rsidRPr="00CA46C7">
        <w:rPr>
          <w:b/>
          <w:bCs/>
          <w:szCs w:val="22"/>
          <w:lang w:val="sr-Latn-CS"/>
        </w:rPr>
        <w:t>4.5. Interakcije sa drugim l</w:t>
      </w:r>
      <w:r w:rsidR="006241B3" w:rsidRPr="00CA46C7">
        <w:rPr>
          <w:b/>
          <w:bCs/>
          <w:szCs w:val="22"/>
          <w:lang w:val="sr-Latn-CS"/>
        </w:rPr>
        <w:t>j</w:t>
      </w:r>
      <w:r w:rsidRPr="00CA46C7">
        <w:rPr>
          <w:b/>
          <w:bCs/>
          <w:szCs w:val="22"/>
          <w:lang w:val="sr-Latn-CS"/>
        </w:rPr>
        <w:t>ekovima i druge vrste interakcija</w:t>
      </w:r>
    </w:p>
    <w:p w14:paraId="48B61964" w14:textId="77777777" w:rsidR="0058691E" w:rsidRPr="00CA46C7" w:rsidRDefault="0058691E" w:rsidP="00EA0376">
      <w:pPr>
        <w:rPr>
          <w:i/>
          <w:iCs/>
          <w:szCs w:val="22"/>
          <w:lang w:val="sr-Latn-CS"/>
        </w:rPr>
      </w:pPr>
    </w:p>
    <w:p w14:paraId="7697A28E" w14:textId="3A55EA75" w:rsidR="002B606B" w:rsidRPr="00CA46C7" w:rsidRDefault="00A460B5" w:rsidP="00EA0376">
      <w:pPr>
        <w:rPr>
          <w:szCs w:val="22"/>
          <w:lang w:val="sr-Latn-CS"/>
        </w:rPr>
      </w:pPr>
      <w:r w:rsidRPr="00CA46C7">
        <w:rPr>
          <w:i/>
          <w:iCs/>
          <w:szCs w:val="22"/>
          <w:lang w:val="sr-Latn-CS"/>
        </w:rPr>
        <w:t>Estrogeni (npr. oralni kontraceptivi):</w:t>
      </w:r>
      <w:r w:rsidR="002B606B" w:rsidRPr="00CA46C7">
        <w:rPr>
          <w:i/>
          <w:iCs/>
          <w:szCs w:val="22"/>
          <w:lang w:val="sr-Latn-CS"/>
        </w:rPr>
        <w:t xml:space="preserve"> </w:t>
      </w:r>
      <w:r w:rsidR="002B606B" w:rsidRPr="00CA46C7">
        <w:rPr>
          <w:szCs w:val="22"/>
          <w:lang w:val="sr-Latn-CS"/>
        </w:rPr>
        <w:t xml:space="preserve">može doći do </w:t>
      </w:r>
      <w:r w:rsidR="005838BB" w:rsidRPr="00CA46C7">
        <w:rPr>
          <w:szCs w:val="22"/>
          <w:lang w:val="sr-Latn-CS"/>
        </w:rPr>
        <w:t>produženja</w:t>
      </w:r>
      <w:r w:rsidR="002B606B" w:rsidRPr="00CA46C7">
        <w:rPr>
          <w:szCs w:val="22"/>
          <w:lang w:val="sr-Latn-CS"/>
        </w:rPr>
        <w:t xml:space="preserve"> poluvremena eliminacije glukokortikoida i pojačanog efekta.</w:t>
      </w:r>
    </w:p>
    <w:p w14:paraId="2A5DB836" w14:textId="77777777" w:rsidR="002B606B" w:rsidRPr="00CA46C7" w:rsidRDefault="002B606B" w:rsidP="00EA0376">
      <w:pPr>
        <w:rPr>
          <w:szCs w:val="22"/>
          <w:lang w:val="sr-Latn-CS"/>
        </w:rPr>
      </w:pPr>
    </w:p>
    <w:p w14:paraId="25F7E8D7" w14:textId="5E59E43B" w:rsidR="007661F0" w:rsidRPr="00CA46C7" w:rsidRDefault="002B606B" w:rsidP="00EA0376">
      <w:pPr>
        <w:rPr>
          <w:szCs w:val="22"/>
          <w:lang w:val="sr-Latn-CS"/>
        </w:rPr>
      </w:pPr>
      <w:r w:rsidRPr="00CA46C7">
        <w:rPr>
          <w:i/>
          <w:iCs/>
          <w:szCs w:val="22"/>
          <w:lang w:val="sr-Latn-CS"/>
        </w:rPr>
        <w:t xml:space="preserve">Antacidi: </w:t>
      </w:r>
      <w:r w:rsidR="00BD06BC" w:rsidRPr="00CA46C7">
        <w:rPr>
          <w:szCs w:val="22"/>
          <w:lang w:val="sr-Latn-CS"/>
        </w:rPr>
        <w:t>istovremena prim</w:t>
      </w:r>
      <w:r w:rsidR="006241B3" w:rsidRPr="00CA46C7">
        <w:rPr>
          <w:szCs w:val="22"/>
          <w:lang w:val="sr-Latn-CS"/>
        </w:rPr>
        <w:t>j</w:t>
      </w:r>
      <w:r w:rsidR="00BD06BC" w:rsidRPr="00CA46C7">
        <w:rPr>
          <w:szCs w:val="22"/>
          <w:lang w:val="sr-Latn-CS"/>
        </w:rPr>
        <w:t>ena aluminijum hidroksida ili magnezijum hidroksida</w:t>
      </w:r>
      <w:r w:rsidR="00A460B5" w:rsidRPr="00CA46C7">
        <w:rPr>
          <w:szCs w:val="22"/>
          <w:lang w:val="sr-Latn-CS"/>
        </w:rPr>
        <w:t xml:space="preserve"> </w:t>
      </w:r>
      <w:r w:rsidR="009E60DC" w:rsidRPr="00CA46C7">
        <w:rPr>
          <w:szCs w:val="22"/>
          <w:lang w:val="sr-Latn-CS"/>
        </w:rPr>
        <w:t>može smanjiti resorpciju glukokortikoida i time smanjiti i efikasnost. Prim</w:t>
      </w:r>
      <w:r w:rsidR="006241B3" w:rsidRPr="00CA46C7">
        <w:rPr>
          <w:szCs w:val="22"/>
          <w:lang w:val="sr-Latn-CS"/>
        </w:rPr>
        <w:t>j</w:t>
      </w:r>
      <w:r w:rsidR="009E60DC" w:rsidRPr="00CA46C7">
        <w:rPr>
          <w:szCs w:val="22"/>
          <w:lang w:val="sr-Latn-CS"/>
        </w:rPr>
        <w:t>enu ovih l</w:t>
      </w:r>
      <w:r w:rsidR="006241B3" w:rsidRPr="00CA46C7">
        <w:rPr>
          <w:szCs w:val="22"/>
          <w:lang w:val="sr-Latn-CS"/>
        </w:rPr>
        <w:t>j</w:t>
      </w:r>
      <w:r w:rsidR="009E60DC" w:rsidRPr="00CA46C7">
        <w:rPr>
          <w:szCs w:val="22"/>
          <w:lang w:val="sr-Latn-CS"/>
        </w:rPr>
        <w:t xml:space="preserve">ekova treba razdvojiti najmanje 2 sata. </w:t>
      </w:r>
    </w:p>
    <w:p w14:paraId="5A96ACFF" w14:textId="2FCBCE54" w:rsidR="004D0573" w:rsidRPr="00CA46C7" w:rsidRDefault="004D0573" w:rsidP="00EA0376">
      <w:pPr>
        <w:rPr>
          <w:szCs w:val="22"/>
          <w:lang w:val="sr-Latn-CS"/>
        </w:rPr>
      </w:pPr>
    </w:p>
    <w:p w14:paraId="38B74801" w14:textId="2696BCBB" w:rsidR="004D0573" w:rsidRPr="00CA46C7" w:rsidRDefault="004D0573" w:rsidP="00EA0376">
      <w:pPr>
        <w:rPr>
          <w:szCs w:val="22"/>
          <w:lang w:val="sr-Latn-CS"/>
        </w:rPr>
      </w:pPr>
      <w:r w:rsidRPr="00CA46C7">
        <w:rPr>
          <w:i/>
          <w:iCs/>
          <w:szCs w:val="22"/>
          <w:lang w:val="sr-Latn-CS"/>
        </w:rPr>
        <w:t xml:space="preserve">Induktori CYP3A4 (rifampicin, fenotoin, karbamazepin, barbiturati, primidon): </w:t>
      </w:r>
      <w:r w:rsidRPr="00CA46C7">
        <w:rPr>
          <w:szCs w:val="22"/>
          <w:lang w:val="sr-Latn-CS"/>
        </w:rPr>
        <w:t>efekat kortikoida može biti smanjen.</w:t>
      </w:r>
    </w:p>
    <w:p w14:paraId="7FD32B2B" w14:textId="7CA8F196" w:rsidR="004D0573" w:rsidRPr="00CA46C7" w:rsidRDefault="004D0573" w:rsidP="00EA0376">
      <w:pPr>
        <w:rPr>
          <w:szCs w:val="22"/>
          <w:lang w:val="sr-Latn-CS"/>
        </w:rPr>
      </w:pPr>
    </w:p>
    <w:p w14:paraId="21E0293C" w14:textId="63D27099" w:rsidR="003B5DED" w:rsidRPr="00CA46C7" w:rsidRDefault="004D0573" w:rsidP="00EA0376">
      <w:pPr>
        <w:rPr>
          <w:szCs w:val="22"/>
          <w:lang w:val="sr-Latn-CS"/>
        </w:rPr>
      </w:pPr>
      <w:r w:rsidRPr="00CA46C7">
        <w:rPr>
          <w:i/>
          <w:iCs/>
          <w:szCs w:val="22"/>
          <w:lang w:val="sr-Latn-CS"/>
        </w:rPr>
        <w:t xml:space="preserve">Inhibitori CYP3A4: </w:t>
      </w:r>
      <w:r w:rsidRPr="00CA46C7">
        <w:rPr>
          <w:szCs w:val="22"/>
          <w:lang w:val="sr-Latn-CS"/>
        </w:rPr>
        <w:t>očekuje se da istovremena prim</w:t>
      </w:r>
      <w:r w:rsidR="006838A6" w:rsidRPr="00CA46C7">
        <w:rPr>
          <w:szCs w:val="22"/>
          <w:lang w:val="sr-Latn-CS"/>
        </w:rPr>
        <w:t>j</w:t>
      </w:r>
      <w:r w:rsidRPr="00CA46C7">
        <w:rPr>
          <w:szCs w:val="22"/>
          <w:lang w:val="sr-Latn-CS"/>
        </w:rPr>
        <w:t>ena CYP3A inhibitora, uključujući l</w:t>
      </w:r>
      <w:r w:rsidR="006838A6" w:rsidRPr="00CA46C7">
        <w:rPr>
          <w:szCs w:val="22"/>
          <w:lang w:val="sr-Latn-CS"/>
        </w:rPr>
        <w:t>j</w:t>
      </w:r>
      <w:r w:rsidRPr="00CA46C7">
        <w:rPr>
          <w:szCs w:val="22"/>
          <w:lang w:val="sr-Latn-CS"/>
        </w:rPr>
        <w:t>ekove koji sadrže kobicistat, poveća rizik od sistemskih neželjenih dejstava. Kombinovanu terapiju treba izb</w:t>
      </w:r>
      <w:r w:rsidR="006838A6" w:rsidRPr="00CA46C7">
        <w:rPr>
          <w:szCs w:val="22"/>
          <w:lang w:val="sr-Latn-CS"/>
        </w:rPr>
        <w:t>j</w:t>
      </w:r>
      <w:r w:rsidRPr="00CA46C7">
        <w:rPr>
          <w:szCs w:val="22"/>
          <w:lang w:val="sr-Latn-CS"/>
        </w:rPr>
        <w:t xml:space="preserve">egavati, osim kada korist prevazilazi rizik od sistemskih neželjenih dejstava kortikosteroida. U tom slučaju treba pratiti pojavu sistemskih neželjenih efekata kortikosteroida kod pacijenata. </w:t>
      </w:r>
    </w:p>
    <w:p w14:paraId="38F98887" w14:textId="77777777" w:rsidR="003B5DED" w:rsidRPr="00CA46C7" w:rsidRDefault="003B5DED" w:rsidP="00EA0376">
      <w:pPr>
        <w:rPr>
          <w:szCs w:val="22"/>
          <w:lang w:val="sr-Latn-CS"/>
        </w:rPr>
      </w:pPr>
      <w:r w:rsidRPr="00CA46C7">
        <w:rPr>
          <w:szCs w:val="22"/>
          <w:lang w:val="sr-Latn-CS"/>
        </w:rPr>
        <w:t>Inhibitori CYP3A4, poput ketokonazola i itrakonazola: efekat kortikosteroida može biti pojačan.</w:t>
      </w:r>
    </w:p>
    <w:p w14:paraId="07073966" w14:textId="77777777" w:rsidR="003B5DED" w:rsidRPr="00CA46C7" w:rsidRDefault="003B5DED" w:rsidP="00EA0376">
      <w:pPr>
        <w:rPr>
          <w:szCs w:val="22"/>
          <w:lang w:val="sr-Latn-CS"/>
        </w:rPr>
      </w:pPr>
    </w:p>
    <w:p w14:paraId="7849116F" w14:textId="1B3686EF" w:rsidR="004D0573" w:rsidRPr="00CA46C7" w:rsidRDefault="003B5DED" w:rsidP="00EA0376">
      <w:pPr>
        <w:rPr>
          <w:szCs w:val="22"/>
          <w:lang w:val="sr-Latn-CS"/>
        </w:rPr>
      </w:pPr>
      <w:r w:rsidRPr="00CA46C7">
        <w:rPr>
          <w:i/>
          <w:iCs/>
          <w:szCs w:val="22"/>
          <w:lang w:val="sr-Latn-CS"/>
        </w:rPr>
        <w:t xml:space="preserve">Efedrin: </w:t>
      </w:r>
      <w:r w:rsidR="005D7DC3" w:rsidRPr="00CA46C7">
        <w:rPr>
          <w:szCs w:val="22"/>
          <w:lang w:val="sr-Latn-CS"/>
        </w:rPr>
        <w:t>metabolizam glukokortikoida može biti ubrzan</w:t>
      </w:r>
      <w:r w:rsidR="005838BB" w:rsidRPr="00CA46C7">
        <w:rPr>
          <w:szCs w:val="22"/>
          <w:lang w:val="sr-Latn-CS"/>
        </w:rPr>
        <w:t>,</w:t>
      </w:r>
      <w:r w:rsidR="005D7DC3" w:rsidRPr="00CA46C7">
        <w:rPr>
          <w:szCs w:val="22"/>
          <w:lang w:val="sr-Latn-CS"/>
        </w:rPr>
        <w:t xml:space="preserve"> i </w:t>
      </w:r>
      <w:r w:rsidR="005838BB" w:rsidRPr="00CA46C7">
        <w:rPr>
          <w:szCs w:val="22"/>
          <w:lang w:val="sr-Latn-CS"/>
        </w:rPr>
        <w:t xml:space="preserve">efikasnost </w:t>
      </w:r>
      <w:r w:rsidR="005D7DC3" w:rsidRPr="00CA46C7">
        <w:rPr>
          <w:szCs w:val="22"/>
          <w:lang w:val="sr-Latn-CS"/>
        </w:rPr>
        <w:t>posl</w:t>
      </w:r>
      <w:r w:rsidR="006838A6" w:rsidRPr="00CA46C7">
        <w:rPr>
          <w:szCs w:val="22"/>
          <w:lang w:val="sr-Latn-CS"/>
        </w:rPr>
        <w:t>j</w:t>
      </w:r>
      <w:r w:rsidR="005D7DC3" w:rsidRPr="00CA46C7">
        <w:rPr>
          <w:szCs w:val="22"/>
          <w:lang w:val="sr-Latn-CS"/>
        </w:rPr>
        <w:t>edično smanjen</w:t>
      </w:r>
      <w:r w:rsidR="005838BB" w:rsidRPr="00CA46C7">
        <w:rPr>
          <w:szCs w:val="22"/>
          <w:lang w:val="sr-Latn-CS"/>
        </w:rPr>
        <w:t>a</w:t>
      </w:r>
      <w:r w:rsidR="005D7DC3" w:rsidRPr="00CA46C7">
        <w:rPr>
          <w:szCs w:val="22"/>
          <w:lang w:val="sr-Latn-CS"/>
        </w:rPr>
        <w:t>.</w:t>
      </w:r>
      <w:r w:rsidR="004D0573" w:rsidRPr="00CA46C7">
        <w:rPr>
          <w:szCs w:val="22"/>
          <w:lang w:val="sr-Latn-CS"/>
        </w:rPr>
        <w:t xml:space="preserve">   </w:t>
      </w:r>
    </w:p>
    <w:p w14:paraId="1B324DA1" w14:textId="602FCDEF" w:rsidR="005838BB" w:rsidRPr="00CA46C7" w:rsidRDefault="005838BB" w:rsidP="00EA0376">
      <w:pPr>
        <w:rPr>
          <w:szCs w:val="22"/>
          <w:lang w:val="sr-Latn-CS"/>
        </w:rPr>
      </w:pPr>
    </w:p>
    <w:p w14:paraId="24FC2C22" w14:textId="045C0D0C" w:rsidR="005838BB" w:rsidRPr="00CA46C7" w:rsidRDefault="005838BB" w:rsidP="00EA0376">
      <w:pPr>
        <w:rPr>
          <w:i/>
          <w:iCs/>
          <w:szCs w:val="22"/>
          <w:lang w:val="sr-Latn-CS"/>
        </w:rPr>
      </w:pPr>
      <w:r w:rsidRPr="00CA46C7">
        <w:rPr>
          <w:i/>
          <w:iCs/>
          <w:szCs w:val="22"/>
          <w:lang w:val="sr-Latn-CS"/>
        </w:rPr>
        <w:t xml:space="preserve">ACE inhibitori: </w:t>
      </w:r>
      <w:r w:rsidR="00AF28F9" w:rsidRPr="00CA46C7">
        <w:rPr>
          <w:szCs w:val="22"/>
          <w:lang w:val="sr-Latn-CS"/>
        </w:rPr>
        <w:t>povećan rizik od poremećaja krvne slike</w:t>
      </w:r>
      <w:r w:rsidR="00AF28F9" w:rsidRPr="00CA46C7">
        <w:rPr>
          <w:i/>
          <w:iCs/>
          <w:szCs w:val="22"/>
          <w:lang w:val="sr-Latn-CS"/>
        </w:rPr>
        <w:t>.</w:t>
      </w:r>
    </w:p>
    <w:p w14:paraId="5A6D3D7B" w14:textId="3EB5C4E3" w:rsidR="00AF28F9" w:rsidRPr="00CA46C7" w:rsidRDefault="00AF28F9" w:rsidP="00EA0376">
      <w:pPr>
        <w:rPr>
          <w:i/>
          <w:iCs/>
          <w:szCs w:val="22"/>
          <w:lang w:val="sr-Latn-CS"/>
        </w:rPr>
      </w:pPr>
    </w:p>
    <w:p w14:paraId="5E4F0C75" w14:textId="454D2827" w:rsidR="00AF28F9" w:rsidRPr="00CA46C7" w:rsidRDefault="00AF28F9" w:rsidP="00EA0376">
      <w:pPr>
        <w:rPr>
          <w:szCs w:val="22"/>
          <w:lang w:val="sr-Latn-CS"/>
        </w:rPr>
      </w:pPr>
      <w:r w:rsidRPr="00CA46C7">
        <w:rPr>
          <w:i/>
          <w:iCs/>
          <w:szCs w:val="22"/>
          <w:lang w:val="sr-Latn-CS"/>
        </w:rPr>
        <w:t xml:space="preserve">Srčani glikozidi: </w:t>
      </w:r>
      <w:r w:rsidRPr="00CA46C7">
        <w:rPr>
          <w:szCs w:val="22"/>
          <w:lang w:val="sr-Latn-CS"/>
        </w:rPr>
        <w:t>deficijencija kalijuma može pojačati efekte glukokortikoida.</w:t>
      </w:r>
    </w:p>
    <w:p w14:paraId="3C0A3031" w14:textId="1DD4CCA8" w:rsidR="00AF28F9" w:rsidRPr="00CA46C7" w:rsidRDefault="00AF28F9" w:rsidP="00EA0376">
      <w:pPr>
        <w:rPr>
          <w:szCs w:val="22"/>
          <w:lang w:val="sr-Latn-CS"/>
        </w:rPr>
      </w:pPr>
    </w:p>
    <w:p w14:paraId="07BC1277" w14:textId="5DA86E99" w:rsidR="00AF28F9" w:rsidRPr="00CA46C7" w:rsidRDefault="00AF28F9" w:rsidP="00EA0376">
      <w:pPr>
        <w:rPr>
          <w:szCs w:val="22"/>
          <w:lang w:val="sr-Latn-CS"/>
        </w:rPr>
      </w:pPr>
      <w:r w:rsidRPr="00CA46C7">
        <w:rPr>
          <w:i/>
          <w:iCs/>
          <w:szCs w:val="22"/>
          <w:lang w:val="sr-Latn-CS"/>
        </w:rPr>
        <w:t>Diuretici/laksativi</w:t>
      </w:r>
      <w:r w:rsidRPr="00CA46C7">
        <w:rPr>
          <w:szCs w:val="22"/>
          <w:lang w:val="sr-Latn-CS"/>
        </w:rPr>
        <w:t>: ekskrecija kalijuma može biti pojačana.</w:t>
      </w:r>
    </w:p>
    <w:p w14:paraId="21A7B8C7" w14:textId="37F61349" w:rsidR="00AF28F9" w:rsidRPr="00CA46C7" w:rsidRDefault="00AF28F9" w:rsidP="00EA0376">
      <w:pPr>
        <w:rPr>
          <w:szCs w:val="22"/>
          <w:lang w:val="sr-Latn-CS"/>
        </w:rPr>
      </w:pPr>
    </w:p>
    <w:p w14:paraId="764EA392" w14:textId="6755839B" w:rsidR="00AF28F9" w:rsidRPr="00CA46C7" w:rsidRDefault="00AF28F9" w:rsidP="00EA0376">
      <w:pPr>
        <w:rPr>
          <w:szCs w:val="22"/>
          <w:lang w:val="sr-Latn-CS"/>
        </w:rPr>
      </w:pPr>
      <w:r w:rsidRPr="00CA46C7">
        <w:rPr>
          <w:i/>
          <w:iCs/>
          <w:szCs w:val="22"/>
          <w:lang w:val="sr-Latn-CS"/>
        </w:rPr>
        <w:t>Antidijabetici</w:t>
      </w:r>
      <w:r w:rsidRPr="00CA46C7">
        <w:rPr>
          <w:szCs w:val="22"/>
          <w:lang w:val="sr-Latn-CS"/>
        </w:rPr>
        <w:t>: hipoglikemijski efekat može biti smanjen.</w:t>
      </w:r>
    </w:p>
    <w:p w14:paraId="56A6D0B0" w14:textId="0D45780E" w:rsidR="001F5B76" w:rsidRPr="00CA46C7" w:rsidRDefault="001F5B76" w:rsidP="00EA0376">
      <w:pPr>
        <w:rPr>
          <w:szCs w:val="22"/>
          <w:lang w:val="sr-Latn-CS"/>
        </w:rPr>
      </w:pPr>
    </w:p>
    <w:p w14:paraId="3D1B68D5" w14:textId="15E34123" w:rsidR="001F5B76" w:rsidRPr="00CA46C7" w:rsidRDefault="001F5B76" w:rsidP="00EA0376">
      <w:pPr>
        <w:rPr>
          <w:szCs w:val="22"/>
          <w:lang w:val="sr-Latn-CS"/>
        </w:rPr>
      </w:pPr>
      <w:r w:rsidRPr="00CA46C7">
        <w:rPr>
          <w:i/>
          <w:iCs/>
          <w:szCs w:val="22"/>
          <w:lang w:val="sr-Latn-CS"/>
        </w:rPr>
        <w:t xml:space="preserve">Derivati kumarina: </w:t>
      </w:r>
      <w:r w:rsidRPr="00CA46C7">
        <w:rPr>
          <w:szCs w:val="22"/>
          <w:lang w:val="sr-Latn-CS"/>
        </w:rPr>
        <w:t>antikoagulantni efekat može biti smanjen ili povećan. Prilikom istovremene prim</w:t>
      </w:r>
      <w:r w:rsidR="006838A6" w:rsidRPr="00CA46C7">
        <w:rPr>
          <w:szCs w:val="22"/>
          <w:lang w:val="sr-Latn-CS"/>
        </w:rPr>
        <w:t>j</w:t>
      </w:r>
      <w:r w:rsidRPr="00CA46C7">
        <w:rPr>
          <w:szCs w:val="22"/>
          <w:lang w:val="sr-Latn-CS"/>
        </w:rPr>
        <w:t>ene može biti potrebno prilagođavanje doze antikoagulanta.</w:t>
      </w:r>
    </w:p>
    <w:p w14:paraId="0774C993" w14:textId="3E7647B4" w:rsidR="001F5B76" w:rsidRPr="00CA46C7" w:rsidRDefault="001F5B76" w:rsidP="00EA0376">
      <w:pPr>
        <w:rPr>
          <w:szCs w:val="22"/>
          <w:lang w:val="sr-Latn-CS"/>
        </w:rPr>
      </w:pPr>
    </w:p>
    <w:p w14:paraId="018B517D" w14:textId="3EF12A84" w:rsidR="001F5B76" w:rsidRPr="00CA46C7" w:rsidRDefault="001F5B76" w:rsidP="00EA0376">
      <w:pPr>
        <w:rPr>
          <w:szCs w:val="22"/>
          <w:lang w:val="sr-Latn-CS"/>
        </w:rPr>
      </w:pPr>
      <w:r w:rsidRPr="00CA46C7">
        <w:rPr>
          <w:i/>
          <w:iCs/>
          <w:szCs w:val="22"/>
          <w:lang w:val="sr-Latn-CS"/>
        </w:rPr>
        <w:t xml:space="preserve">Nesteroidni antiinflamatorni lekovi (NSAIL), salicilati i indometacin: </w:t>
      </w:r>
      <w:r w:rsidRPr="00CA46C7">
        <w:rPr>
          <w:szCs w:val="22"/>
          <w:lang w:val="sr-Latn-CS"/>
        </w:rPr>
        <w:t>povećan je rizik od gastrointestinalnih ulceracija i krvarenja.</w:t>
      </w:r>
    </w:p>
    <w:p w14:paraId="3E85940E" w14:textId="31EE8080" w:rsidR="001F5B76" w:rsidRPr="00CA46C7" w:rsidRDefault="001F5B76" w:rsidP="00EA0376">
      <w:pPr>
        <w:rPr>
          <w:szCs w:val="22"/>
          <w:lang w:val="sr-Latn-CS"/>
        </w:rPr>
      </w:pPr>
      <w:r w:rsidRPr="00CA46C7">
        <w:rPr>
          <w:i/>
          <w:iCs/>
          <w:szCs w:val="22"/>
          <w:lang w:val="sr-Latn-CS"/>
        </w:rPr>
        <w:t>Nedepolarišući miorelaksansi</w:t>
      </w:r>
      <w:r w:rsidRPr="00CA46C7">
        <w:rPr>
          <w:szCs w:val="22"/>
          <w:lang w:val="sr-Latn-CS"/>
        </w:rPr>
        <w:t>: miorelaksantni efekat može biti produžen.</w:t>
      </w:r>
    </w:p>
    <w:p w14:paraId="25C47B4E" w14:textId="336EBA84" w:rsidR="001F5B76" w:rsidRPr="00CA46C7" w:rsidRDefault="001F5B76" w:rsidP="00EA0376">
      <w:pPr>
        <w:rPr>
          <w:szCs w:val="22"/>
          <w:lang w:val="sr-Latn-CS"/>
        </w:rPr>
      </w:pPr>
    </w:p>
    <w:p w14:paraId="39F61A51" w14:textId="4A46AC0A" w:rsidR="001F5B76" w:rsidRPr="00CA46C7" w:rsidRDefault="001F5B76" w:rsidP="00EA0376">
      <w:pPr>
        <w:rPr>
          <w:szCs w:val="22"/>
          <w:lang w:val="sr-Latn-CS"/>
        </w:rPr>
      </w:pPr>
      <w:r w:rsidRPr="00CA46C7">
        <w:rPr>
          <w:i/>
          <w:iCs/>
          <w:szCs w:val="22"/>
          <w:lang w:val="sr-Latn-CS"/>
        </w:rPr>
        <w:lastRenderedPageBreak/>
        <w:t>Atropin, drugi antiholinergici</w:t>
      </w:r>
      <w:r w:rsidRPr="00CA46C7">
        <w:rPr>
          <w:szCs w:val="22"/>
          <w:lang w:val="sr-Latn-CS"/>
        </w:rPr>
        <w:t>: dodatno povećanje intraokularnog pritiska se može javiti tokom istovremene prim</w:t>
      </w:r>
      <w:r w:rsidR="006838A6" w:rsidRPr="00CA46C7">
        <w:rPr>
          <w:szCs w:val="22"/>
          <w:lang w:val="sr-Latn-CS"/>
        </w:rPr>
        <w:t>j</w:t>
      </w:r>
      <w:r w:rsidRPr="00CA46C7">
        <w:rPr>
          <w:szCs w:val="22"/>
          <w:lang w:val="sr-Latn-CS"/>
        </w:rPr>
        <w:t>ene.</w:t>
      </w:r>
    </w:p>
    <w:p w14:paraId="5581FAC4" w14:textId="1ACFBD6F" w:rsidR="001F5B76" w:rsidRPr="00CA46C7" w:rsidRDefault="001F5B76" w:rsidP="00EA0376">
      <w:pPr>
        <w:rPr>
          <w:szCs w:val="22"/>
          <w:lang w:val="sr-Latn-CS"/>
        </w:rPr>
      </w:pPr>
    </w:p>
    <w:p w14:paraId="2EA304F2" w14:textId="57F9C3D1" w:rsidR="001F5B76" w:rsidRPr="00CA46C7" w:rsidRDefault="001F5B76" w:rsidP="00EA0376">
      <w:pPr>
        <w:rPr>
          <w:szCs w:val="22"/>
          <w:lang w:val="sr-Latn-CS"/>
        </w:rPr>
      </w:pPr>
      <w:r w:rsidRPr="00CA46C7">
        <w:rPr>
          <w:i/>
          <w:iCs/>
          <w:szCs w:val="22"/>
          <w:lang w:val="sr-Latn-CS"/>
        </w:rPr>
        <w:t>Prazikvantel</w:t>
      </w:r>
      <w:r w:rsidRPr="00CA46C7">
        <w:rPr>
          <w:szCs w:val="22"/>
          <w:lang w:val="sr-Latn-CS"/>
        </w:rPr>
        <w:t>: kortikosteroidi mogu smanjiti koncentracije prazikvantela u krvi.</w:t>
      </w:r>
    </w:p>
    <w:p w14:paraId="23DA0398" w14:textId="6A45CF2F" w:rsidR="001F5B76" w:rsidRPr="00CA46C7" w:rsidRDefault="001F5B76" w:rsidP="00EA0376">
      <w:pPr>
        <w:rPr>
          <w:szCs w:val="22"/>
          <w:lang w:val="sr-Latn-CS"/>
        </w:rPr>
      </w:pPr>
    </w:p>
    <w:p w14:paraId="132A360A" w14:textId="4CE6A500" w:rsidR="001F5B76" w:rsidRPr="00CA46C7" w:rsidRDefault="001F5B76" w:rsidP="00EA0376">
      <w:pPr>
        <w:rPr>
          <w:szCs w:val="22"/>
          <w:lang w:val="sr-Latn-CS"/>
        </w:rPr>
      </w:pPr>
      <w:r w:rsidRPr="00CA46C7">
        <w:rPr>
          <w:i/>
          <w:iCs/>
          <w:szCs w:val="22"/>
          <w:lang w:val="sr-Latn-CS"/>
        </w:rPr>
        <w:t>Hlorohin, hidroksihlorohin, meflohin</w:t>
      </w:r>
      <w:r w:rsidRPr="00CA46C7">
        <w:rPr>
          <w:szCs w:val="22"/>
          <w:lang w:val="sr-Latn-CS"/>
        </w:rPr>
        <w:t>: povećan je rizik od miopatija, kardiomiopatija.</w:t>
      </w:r>
    </w:p>
    <w:p w14:paraId="4754D986" w14:textId="0C9329E3" w:rsidR="001F5B76" w:rsidRPr="00CA46C7" w:rsidRDefault="001F5B76" w:rsidP="00EA0376">
      <w:pPr>
        <w:rPr>
          <w:szCs w:val="22"/>
          <w:lang w:val="sr-Latn-CS"/>
        </w:rPr>
      </w:pPr>
    </w:p>
    <w:p w14:paraId="04BA965F" w14:textId="299F19AC" w:rsidR="001F5B76" w:rsidRPr="00CA46C7" w:rsidRDefault="001F5B76" w:rsidP="00EA0376">
      <w:pPr>
        <w:rPr>
          <w:szCs w:val="22"/>
          <w:lang w:val="sr-Latn-CS"/>
        </w:rPr>
      </w:pPr>
      <w:r w:rsidRPr="00CA46C7">
        <w:rPr>
          <w:i/>
          <w:iCs/>
          <w:szCs w:val="22"/>
          <w:lang w:val="sr-Latn-CS"/>
        </w:rPr>
        <w:t>Somatotropin</w:t>
      </w:r>
      <w:r w:rsidRPr="00CA46C7">
        <w:rPr>
          <w:szCs w:val="22"/>
          <w:lang w:val="sr-Latn-CS"/>
        </w:rPr>
        <w:t xml:space="preserve">: </w:t>
      </w:r>
      <w:r w:rsidR="00207665" w:rsidRPr="00CA46C7">
        <w:rPr>
          <w:szCs w:val="22"/>
          <w:lang w:val="sr-Latn-CS"/>
        </w:rPr>
        <w:t>tokom dugotrajne terapije efekat somatotropina može biti smanjen.</w:t>
      </w:r>
    </w:p>
    <w:p w14:paraId="57A89C5F" w14:textId="33FF0783" w:rsidR="00207665" w:rsidRPr="00CA46C7" w:rsidRDefault="00207665" w:rsidP="00EA0376">
      <w:pPr>
        <w:rPr>
          <w:szCs w:val="22"/>
          <w:lang w:val="sr-Latn-CS"/>
        </w:rPr>
      </w:pPr>
    </w:p>
    <w:p w14:paraId="59CFF006" w14:textId="1442CAAF" w:rsidR="00207665" w:rsidRPr="00CA46C7" w:rsidRDefault="00207665" w:rsidP="00EA0376">
      <w:pPr>
        <w:rPr>
          <w:szCs w:val="22"/>
          <w:lang w:val="sr-Latn-CS"/>
        </w:rPr>
      </w:pPr>
      <w:r w:rsidRPr="00CA46C7">
        <w:rPr>
          <w:i/>
          <w:iCs/>
          <w:szCs w:val="22"/>
          <w:lang w:val="sr-Latn-CS"/>
        </w:rPr>
        <w:t>Protirelin</w:t>
      </w:r>
      <w:r w:rsidRPr="00CA46C7">
        <w:rPr>
          <w:szCs w:val="22"/>
          <w:lang w:val="sr-Latn-CS"/>
        </w:rPr>
        <w:t>: može doći do smanjenog povećanja TSH tokom prim</w:t>
      </w:r>
      <w:r w:rsidR="006838A6" w:rsidRPr="00CA46C7">
        <w:rPr>
          <w:szCs w:val="22"/>
          <w:lang w:val="sr-Latn-CS"/>
        </w:rPr>
        <w:t>j</w:t>
      </w:r>
      <w:r w:rsidRPr="00CA46C7">
        <w:rPr>
          <w:szCs w:val="22"/>
          <w:lang w:val="sr-Latn-CS"/>
        </w:rPr>
        <w:t>ene protirelina.</w:t>
      </w:r>
    </w:p>
    <w:p w14:paraId="3137096B" w14:textId="370A67C7" w:rsidR="00207665" w:rsidRPr="00CA46C7" w:rsidRDefault="00207665" w:rsidP="00EA0376">
      <w:pPr>
        <w:rPr>
          <w:szCs w:val="22"/>
          <w:lang w:val="sr-Latn-CS"/>
        </w:rPr>
      </w:pPr>
    </w:p>
    <w:p w14:paraId="253C0A3F" w14:textId="28412C1F" w:rsidR="00207665" w:rsidRPr="00CA46C7" w:rsidRDefault="00207665" w:rsidP="00EA0376">
      <w:pPr>
        <w:rPr>
          <w:szCs w:val="22"/>
          <w:lang w:val="sr-Latn-CS"/>
        </w:rPr>
      </w:pPr>
      <w:r w:rsidRPr="00CA46C7">
        <w:rPr>
          <w:i/>
          <w:iCs/>
          <w:szCs w:val="22"/>
          <w:lang w:val="sr-Latn-CS"/>
        </w:rPr>
        <w:t>Imunosupresivi</w:t>
      </w:r>
      <w:r w:rsidRPr="00CA46C7">
        <w:rPr>
          <w:szCs w:val="22"/>
          <w:lang w:val="sr-Latn-CS"/>
        </w:rPr>
        <w:t xml:space="preserve">: </w:t>
      </w:r>
      <w:r w:rsidR="001363E5" w:rsidRPr="00CA46C7">
        <w:rPr>
          <w:szCs w:val="22"/>
          <w:lang w:val="sr-Latn-CS"/>
        </w:rPr>
        <w:t xml:space="preserve">povećana sklonost infekcijama i pogoršanje ili manifestacija latentnih infekcija. Dodatno, za </w:t>
      </w:r>
      <w:r w:rsidR="001363E5" w:rsidRPr="00CA46C7">
        <w:rPr>
          <w:i/>
          <w:iCs/>
          <w:szCs w:val="22"/>
          <w:lang w:val="sr-Latn-CS"/>
        </w:rPr>
        <w:t>ciklosporin</w:t>
      </w:r>
      <w:r w:rsidR="001363E5" w:rsidRPr="00CA46C7">
        <w:rPr>
          <w:szCs w:val="22"/>
          <w:lang w:val="sr-Latn-CS"/>
        </w:rPr>
        <w:t>: povećanje koncentracije ciklosporina u krvi; povećan rizik od konvulzija.</w:t>
      </w:r>
    </w:p>
    <w:p w14:paraId="67465AE1" w14:textId="259C40D8" w:rsidR="001363E5" w:rsidRPr="00CA46C7" w:rsidRDefault="001363E5" w:rsidP="00EA0376">
      <w:pPr>
        <w:rPr>
          <w:szCs w:val="22"/>
          <w:lang w:val="sr-Latn-CS"/>
        </w:rPr>
      </w:pPr>
    </w:p>
    <w:p w14:paraId="76706138" w14:textId="203AE664" w:rsidR="001363E5" w:rsidRPr="00CA46C7" w:rsidRDefault="001363E5" w:rsidP="00EA0376">
      <w:pPr>
        <w:rPr>
          <w:szCs w:val="22"/>
          <w:lang w:val="sr-Latn-CS"/>
        </w:rPr>
      </w:pPr>
      <w:r w:rsidRPr="00CA46C7">
        <w:rPr>
          <w:i/>
          <w:iCs/>
          <w:szCs w:val="22"/>
          <w:lang w:val="sr-Latn-CS"/>
        </w:rPr>
        <w:t>Fluorohinoloni</w:t>
      </w:r>
      <w:r w:rsidRPr="00CA46C7">
        <w:rPr>
          <w:szCs w:val="22"/>
          <w:lang w:val="sr-Latn-CS"/>
        </w:rPr>
        <w:t>: povećan rizik od poremećaja tetiva.</w:t>
      </w:r>
    </w:p>
    <w:p w14:paraId="0EA54C7E" w14:textId="6A5BE8F2" w:rsidR="001363E5" w:rsidRPr="00CA46C7" w:rsidRDefault="001363E5" w:rsidP="00EA0376">
      <w:pPr>
        <w:rPr>
          <w:szCs w:val="22"/>
          <w:lang w:val="sr-Latn-CS"/>
        </w:rPr>
      </w:pPr>
    </w:p>
    <w:p w14:paraId="63048106" w14:textId="2CA701C5" w:rsidR="001363E5" w:rsidRPr="00CA46C7" w:rsidRDefault="00022A19" w:rsidP="00EA0376">
      <w:pPr>
        <w:rPr>
          <w:szCs w:val="22"/>
          <w:lang w:val="sr-Latn-CS"/>
        </w:rPr>
      </w:pPr>
      <w:r w:rsidRPr="00CA46C7">
        <w:rPr>
          <w:i/>
          <w:iCs/>
          <w:szCs w:val="22"/>
          <w:lang w:val="sr-Latn-CS"/>
        </w:rPr>
        <w:t xml:space="preserve">Ispitivanja: </w:t>
      </w:r>
      <w:r w:rsidRPr="00CA46C7">
        <w:rPr>
          <w:szCs w:val="22"/>
          <w:lang w:val="sr-Latn-CS"/>
        </w:rPr>
        <w:t>kožne reakcije prilikom alergoloških testitranja mogu biti suprimirane.</w:t>
      </w:r>
    </w:p>
    <w:p w14:paraId="072E681D" w14:textId="77777777" w:rsidR="00B85A95" w:rsidRPr="00CA46C7" w:rsidRDefault="00B85A95" w:rsidP="00EA0376">
      <w:pPr>
        <w:rPr>
          <w:szCs w:val="22"/>
          <w:lang w:val="sr-Latn-CS"/>
        </w:rPr>
      </w:pPr>
    </w:p>
    <w:p w14:paraId="25F7E90E" w14:textId="77777777" w:rsidR="007661F0" w:rsidRPr="00CA46C7" w:rsidRDefault="007661F0" w:rsidP="00EA0376">
      <w:pPr>
        <w:rPr>
          <w:b/>
          <w:bCs/>
          <w:szCs w:val="22"/>
          <w:lang w:val="sr-Latn-CS"/>
        </w:rPr>
      </w:pPr>
      <w:r w:rsidRPr="00CA46C7">
        <w:rPr>
          <w:b/>
          <w:bCs/>
          <w:szCs w:val="22"/>
          <w:lang w:val="sr-Latn-CS"/>
        </w:rPr>
        <w:t>4.6. Plodnost, trudnoća i dojenje</w:t>
      </w:r>
    </w:p>
    <w:p w14:paraId="25F7E90F" w14:textId="77777777" w:rsidR="007661F0" w:rsidRPr="00CA46C7" w:rsidRDefault="007661F0" w:rsidP="00EA0376">
      <w:pPr>
        <w:rPr>
          <w:szCs w:val="22"/>
          <w:lang w:val="sr-Latn-CS"/>
        </w:rPr>
      </w:pPr>
    </w:p>
    <w:p w14:paraId="69CDF091" w14:textId="77777777" w:rsidR="00FB697D" w:rsidRPr="005C187F" w:rsidRDefault="00FB697D" w:rsidP="00EA0376">
      <w:pPr>
        <w:pStyle w:val="Default"/>
        <w:jc w:val="both"/>
        <w:rPr>
          <w:color w:val="auto"/>
          <w:sz w:val="22"/>
          <w:szCs w:val="22"/>
          <w:u w:val="single"/>
          <w:lang w:val="sr-Latn-CS"/>
        </w:rPr>
      </w:pPr>
      <w:r w:rsidRPr="005C187F">
        <w:rPr>
          <w:color w:val="auto"/>
          <w:sz w:val="22"/>
          <w:szCs w:val="22"/>
          <w:u w:val="single"/>
          <w:lang w:val="sr-Latn-CS"/>
        </w:rPr>
        <w:t xml:space="preserve">Plodnost </w:t>
      </w:r>
    </w:p>
    <w:p w14:paraId="7E5C1A6A" w14:textId="65ED006F" w:rsidR="00FB697D" w:rsidRPr="00CA46C7" w:rsidRDefault="00FB697D" w:rsidP="00EA0376">
      <w:pPr>
        <w:rPr>
          <w:szCs w:val="22"/>
          <w:lang w:val="sr-Latn-CS"/>
        </w:rPr>
      </w:pPr>
      <w:r w:rsidRPr="00CA46C7">
        <w:rPr>
          <w:szCs w:val="22"/>
          <w:lang w:val="sr-Latn-CS"/>
        </w:rPr>
        <w:t>Deksametazon smanjuje biosintezu testosterona i endogenu sekreciju adrenokortikotropnog hormona (ACTH), što djeluje na spermatogenezu i ovarijalni ciklus.</w:t>
      </w:r>
    </w:p>
    <w:p w14:paraId="5036811C" w14:textId="77777777" w:rsidR="005E359A" w:rsidRPr="00CA46C7" w:rsidRDefault="005E359A" w:rsidP="00EA0376">
      <w:pPr>
        <w:rPr>
          <w:szCs w:val="22"/>
          <w:lang w:val="sr-Latn-CS"/>
        </w:rPr>
      </w:pPr>
    </w:p>
    <w:p w14:paraId="25F7E910" w14:textId="2E6E42BB" w:rsidR="007661F0" w:rsidRPr="005C187F" w:rsidRDefault="007661F0" w:rsidP="00EA0376">
      <w:pPr>
        <w:pStyle w:val="Default"/>
        <w:jc w:val="both"/>
        <w:rPr>
          <w:color w:val="auto"/>
          <w:sz w:val="22"/>
          <w:szCs w:val="22"/>
          <w:u w:val="single"/>
          <w:lang w:val="sr-Latn-CS"/>
        </w:rPr>
      </w:pPr>
      <w:r w:rsidRPr="005C187F">
        <w:rPr>
          <w:color w:val="auto"/>
          <w:sz w:val="22"/>
          <w:szCs w:val="22"/>
          <w:u w:val="single"/>
          <w:lang w:val="sr-Latn-CS"/>
        </w:rPr>
        <w:t xml:space="preserve">Trudnoća </w:t>
      </w:r>
    </w:p>
    <w:p w14:paraId="40F96D59" w14:textId="44F8D209" w:rsidR="00F31CB3" w:rsidRPr="005C187F" w:rsidRDefault="007661F0" w:rsidP="00EA0376">
      <w:pPr>
        <w:pStyle w:val="Default"/>
        <w:jc w:val="both"/>
        <w:rPr>
          <w:color w:val="auto"/>
          <w:sz w:val="22"/>
          <w:szCs w:val="22"/>
          <w:lang w:val="sr-Latn-CS"/>
        </w:rPr>
      </w:pPr>
      <w:r w:rsidRPr="005C187F">
        <w:rPr>
          <w:color w:val="auto"/>
          <w:sz w:val="22"/>
          <w:szCs w:val="22"/>
          <w:lang w:val="sr-Latn-CS"/>
        </w:rPr>
        <w:t xml:space="preserve">Deksametazon prolazi kroz posteljicu. </w:t>
      </w:r>
      <w:r w:rsidR="00F31CB3" w:rsidRPr="005C187F">
        <w:rPr>
          <w:color w:val="auto"/>
          <w:sz w:val="22"/>
          <w:szCs w:val="22"/>
          <w:lang w:val="sr-Latn-CS"/>
        </w:rPr>
        <w:t>Tokom trudnoće, naročito u prvom trimestru, deksametazon se može prim</w:t>
      </w:r>
      <w:r w:rsidR="006838A6" w:rsidRPr="005C187F">
        <w:rPr>
          <w:color w:val="auto"/>
          <w:sz w:val="22"/>
          <w:szCs w:val="22"/>
          <w:lang w:val="sr-Latn-CS"/>
        </w:rPr>
        <w:t>j</w:t>
      </w:r>
      <w:r w:rsidR="00F31CB3" w:rsidRPr="005C187F">
        <w:rPr>
          <w:color w:val="auto"/>
          <w:sz w:val="22"/>
          <w:szCs w:val="22"/>
          <w:lang w:val="sr-Latn-CS"/>
        </w:rPr>
        <w:t>enjivati samo nakon pažljive proc</w:t>
      </w:r>
      <w:r w:rsidR="006838A6" w:rsidRPr="005C187F">
        <w:rPr>
          <w:color w:val="auto"/>
          <w:sz w:val="22"/>
          <w:szCs w:val="22"/>
          <w:lang w:val="sr-Latn-CS"/>
        </w:rPr>
        <w:t>j</w:t>
      </w:r>
      <w:r w:rsidR="00F31CB3" w:rsidRPr="005C187F">
        <w:rPr>
          <w:color w:val="auto"/>
          <w:sz w:val="22"/>
          <w:szCs w:val="22"/>
          <w:lang w:val="sr-Latn-CS"/>
        </w:rPr>
        <w:t xml:space="preserve">ene koristi i rizika. </w:t>
      </w:r>
    </w:p>
    <w:p w14:paraId="3F0D7ABC" w14:textId="19802CEA" w:rsidR="00F40BCB" w:rsidRPr="005C187F" w:rsidRDefault="000B2620" w:rsidP="00EA0376">
      <w:pPr>
        <w:pStyle w:val="Default"/>
        <w:jc w:val="both"/>
        <w:rPr>
          <w:color w:val="auto"/>
          <w:sz w:val="22"/>
          <w:szCs w:val="22"/>
          <w:lang w:val="sr-Latn-CS"/>
        </w:rPr>
      </w:pPr>
      <w:r w:rsidRPr="005C187F">
        <w:rPr>
          <w:color w:val="auto"/>
          <w:sz w:val="22"/>
          <w:szCs w:val="22"/>
          <w:lang w:val="sr-Latn-CS"/>
        </w:rPr>
        <w:t>Poremećaji rasta fetusa prilikom dugotrajne prim</w:t>
      </w:r>
      <w:r w:rsidR="006838A6" w:rsidRPr="005C187F">
        <w:rPr>
          <w:color w:val="auto"/>
          <w:sz w:val="22"/>
          <w:szCs w:val="22"/>
          <w:lang w:val="sr-Latn-CS"/>
        </w:rPr>
        <w:t>j</w:t>
      </w:r>
      <w:r w:rsidRPr="005C187F">
        <w:rPr>
          <w:color w:val="auto"/>
          <w:sz w:val="22"/>
          <w:szCs w:val="22"/>
          <w:lang w:val="sr-Latn-CS"/>
        </w:rPr>
        <w:t xml:space="preserve">ene glukokortikoida u trudnoći se ne mogu isključiti. </w:t>
      </w:r>
      <w:r w:rsidR="007661F0" w:rsidRPr="005C187F">
        <w:rPr>
          <w:color w:val="auto"/>
          <w:sz w:val="22"/>
          <w:szCs w:val="22"/>
          <w:lang w:val="sr-Latn-CS"/>
        </w:rPr>
        <w:t>Prim</w:t>
      </w:r>
      <w:r w:rsidR="006838A6" w:rsidRPr="005C187F">
        <w:rPr>
          <w:color w:val="auto"/>
          <w:sz w:val="22"/>
          <w:szCs w:val="22"/>
          <w:lang w:val="sr-Latn-CS"/>
        </w:rPr>
        <w:t>j</w:t>
      </w:r>
      <w:r w:rsidR="007661F0" w:rsidRPr="005C187F">
        <w:rPr>
          <w:color w:val="auto"/>
          <w:sz w:val="22"/>
          <w:szCs w:val="22"/>
          <w:lang w:val="sr-Latn-CS"/>
        </w:rPr>
        <w:t>ena kortikosteroida kod gravidnih životinja može uzrokovati abnormalnosti u fetalnom razvoju, uključujući rasc</w:t>
      </w:r>
      <w:r w:rsidR="006838A6" w:rsidRPr="005C187F">
        <w:rPr>
          <w:color w:val="auto"/>
          <w:sz w:val="22"/>
          <w:szCs w:val="22"/>
          <w:lang w:val="sr-Latn-CS"/>
        </w:rPr>
        <w:t>j</w:t>
      </w:r>
      <w:r w:rsidR="007661F0" w:rsidRPr="005C187F">
        <w:rPr>
          <w:color w:val="auto"/>
          <w:sz w:val="22"/>
          <w:szCs w:val="22"/>
          <w:lang w:val="sr-Latn-CS"/>
        </w:rPr>
        <w:t>ep n</w:t>
      </w:r>
      <w:r w:rsidR="006838A6" w:rsidRPr="005C187F">
        <w:rPr>
          <w:color w:val="auto"/>
          <w:sz w:val="22"/>
          <w:szCs w:val="22"/>
          <w:lang w:val="sr-Latn-CS"/>
        </w:rPr>
        <w:t>j</w:t>
      </w:r>
      <w:r w:rsidR="007661F0" w:rsidRPr="005C187F">
        <w:rPr>
          <w:color w:val="auto"/>
          <w:sz w:val="22"/>
          <w:szCs w:val="22"/>
          <w:lang w:val="sr-Latn-CS"/>
        </w:rPr>
        <w:t>epca, intrauterino zaostajanje u rastu i razvoj</w:t>
      </w:r>
      <w:r w:rsidR="0062701D" w:rsidRPr="005C187F">
        <w:rPr>
          <w:color w:val="auto"/>
          <w:sz w:val="22"/>
          <w:szCs w:val="22"/>
          <w:lang w:val="sr-Latn-CS"/>
        </w:rPr>
        <w:t>u</w:t>
      </w:r>
      <w:r w:rsidR="007661F0" w:rsidRPr="005C187F">
        <w:rPr>
          <w:color w:val="auto"/>
          <w:sz w:val="22"/>
          <w:szCs w:val="22"/>
          <w:lang w:val="sr-Latn-CS"/>
        </w:rPr>
        <w:t xml:space="preserve"> mozga. Ne postoji dokaz da kortikosteroidi dovode do povećane incidence kongenitalnih anomalija, poput rasc</w:t>
      </w:r>
      <w:r w:rsidR="006838A6" w:rsidRPr="005C187F">
        <w:rPr>
          <w:color w:val="auto"/>
          <w:sz w:val="22"/>
          <w:szCs w:val="22"/>
          <w:lang w:val="sr-Latn-CS"/>
        </w:rPr>
        <w:t>j</w:t>
      </w:r>
      <w:r w:rsidR="007661F0" w:rsidRPr="005C187F">
        <w:rPr>
          <w:color w:val="auto"/>
          <w:sz w:val="22"/>
          <w:szCs w:val="22"/>
          <w:lang w:val="sr-Latn-CS"/>
        </w:rPr>
        <w:t>epa n</w:t>
      </w:r>
      <w:r w:rsidR="006838A6" w:rsidRPr="005C187F">
        <w:rPr>
          <w:color w:val="auto"/>
          <w:sz w:val="22"/>
          <w:szCs w:val="22"/>
          <w:lang w:val="sr-Latn-CS"/>
        </w:rPr>
        <w:t>j</w:t>
      </w:r>
      <w:r w:rsidR="007661F0" w:rsidRPr="005C187F">
        <w:rPr>
          <w:color w:val="auto"/>
          <w:sz w:val="22"/>
          <w:szCs w:val="22"/>
          <w:lang w:val="sr-Latn-CS"/>
        </w:rPr>
        <w:t>epca/usne kod ljudi (vid</w:t>
      </w:r>
      <w:r w:rsidR="006838A6" w:rsidRPr="005C187F">
        <w:rPr>
          <w:color w:val="auto"/>
          <w:sz w:val="22"/>
          <w:szCs w:val="22"/>
          <w:lang w:val="sr-Latn-CS"/>
        </w:rPr>
        <w:t>j</w:t>
      </w:r>
      <w:r w:rsidR="007661F0" w:rsidRPr="005C187F">
        <w:rPr>
          <w:color w:val="auto"/>
          <w:sz w:val="22"/>
          <w:szCs w:val="22"/>
          <w:lang w:val="sr-Latn-CS"/>
        </w:rPr>
        <w:t xml:space="preserve">eti </w:t>
      </w:r>
      <w:r w:rsidR="006838A6" w:rsidRPr="005C187F">
        <w:rPr>
          <w:color w:val="auto"/>
          <w:sz w:val="22"/>
          <w:szCs w:val="22"/>
          <w:lang w:val="sr-Latn-CS"/>
        </w:rPr>
        <w:t>dio</w:t>
      </w:r>
      <w:r w:rsidR="007661F0" w:rsidRPr="005C187F">
        <w:rPr>
          <w:color w:val="auto"/>
          <w:sz w:val="22"/>
          <w:szCs w:val="22"/>
          <w:lang w:val="sr-Latn-CS"/>
        </w:rPr>
        <w:t xml:space="preserve"> 5.3). </w:t>
      </w:r>
      <w:r w:rsidR="0062701D" w:rsidRPr="005C187F">
        <w:rPr>
          <w:color w:val="auto"/>
          <w:sz w:val="22"/>
          <w:szCs w:val="22"/>
          <w:lang w:val="sr-Latn-CS"/>
        </w:rPr>
        <w:t xml:space="preserve">Ukoliko se </w:t>
      </w:r>
      <w:r w:rsidR="007661F0" w:rsidRPr="005C187F">
        <w:rPr>
          <w:color w:val="auto"/>
          <w:sz w:val="22"/>
          <w:szCs w:val="22"/>
          <w:lang w:val="sr-Latn-CS"/>
        </w:rPr>
        <w:t>kortikosteroidi</w:t>
      </w:r>
      <w:r w:rsidR="0062701D" w:rsidRPr="005C187F">
        <w:rPr>
          <w:color w:val="auto"/>
          <w:sz w:val="22"/>
          <w:szCs w:val="22"/>
          <w:lang w:val="sr-Latn-CS"/>
        </w:rPr>
        <w:t xml:space="preserve"> prim</w:t>
      </w:r>
      <w:r w:rsidR="006838A6" w:rsidRPr="005C187F">
        <w:rPr>
          <w:color w:val="auto"/>
          <w:sz w:val="22"/>
          <w:szCs w:val="22"/>
          <w:lang w:val="sr-Latn-CS"/>
        </w:rPr>
        <w:t>j</w:t>
      </w:r>
      <w:r w:rsidR="0062701D" w:rsidRPr="005C187F">
        <w:rPr>
          <w:color w:val="auto"/>
          <w:sz w:val="22"/>
          <w:szCs w:val="22"/>
          <w:lang w:val="sr-Latn-CS"/>
        </w:rPr>
        <w:t>enjuju u posl</w:t>
      </w:r>
      <w:r w:rsidR="006838A6" w:rsidRPr="005C187F">
        <w:rPr>
          <w:color w:val="auto"/>
          <w:sz w:val="22"/>
          <w:szCs w:val="22"/>
          <w:lang w:val="sr-Latn-CS"/>
        </w:rPr>
        <w:t>j</w:t>
      </w:r>
      <w:r w:rsidR="0062701D" w:rsidRPr="005C187F">
        <w:rPr>
          <w:color w:val="auto"/>
          <w:sz w:val="22"/>
          <w:szCs w:val="22"/>
          <w:lang w:val="sr-Latn-CS"/>
        </w:rPr>
        <w:t>ednjem trimestru trudnoće,</w:t>
      </w:r>
      <w:r w:rsidR="007661F0" w:rsidRPr="005C187F">
        <w:rPr>
          <w:color w:val="auto"/>
          <w:sz w:val="22"/>
          <w:szCs w:val="22"/>
          <w:lang w:val="sr-Latn-CS"/>
        </w:rPr>
        <w:t xml:space="preserve"> postoji povećan rizik od </w:t>
      </w:r>
      <w:r w:rsidR="0062701D" w:rsidRPr="005C187F">
        <w:rPr>
          <w:color w:val="auto"/>
          <w:sz w:val="22"/>
          <w:szCs w:val="22"/>
          <w:lang w:val="sr-Latn-CS"/>
        </w:rPr>
        <w:t>atrofije bubrežnog korteksa</w:t>
      </w:r>
      <w:r w:rsidR="007661F0" w:rsidRPr="005C187F">
        <w:rPr>
          <w:color w:val="auto"/>
          <w:sz w:val="22"/>
          <w:szCs w:val="22"/>
          <w:lang w:val="sr-Latn-CS"/>
        </w:rPr>
        <w:t xml:space="preserve">, </w:t>
      </w:r>
      <w:r w:rsidR="0062701D" w:rsidRPr="005C187F">
        <w:rPr>
          <w:color w:val="auto"/>
          <w:sz w:val="22"/>
          <w:szCs w:val="22"/>
          <w:lang w:val="sr-Latn-CS"/>
        </w:rPr>
        <w:t>koja može zaht</w:t>
      </w:r>
      <w:r w:rsidR="006838A6" w:rsidRPr="005C187F">
        <w:rPr>
          <w:color w:val="auto"/>
          <w:sz w:val="22"/>
          <w:szCs w:val="22"/>
          <w:lang w:val="sr-Latn-CS"/>
        </w:rPr>
        <w:t>ij</w:t>
      </w:r>
      <w:r w:rsidR="0062701D" w:rsidRPr="005C187F">
        <w:rPr>
          <w:color w:val="auto"/>
          <w:sz w:val="22"/>
          <w:szCs w:val="22"/>
          <w:lang w:val="sr-Latn-CS"/>
        </w:rPr>
        <w:t>evati uvođenje i</w:t>
      </w:r>
      <w:r w:rsidR="00A40858" w:rsidRPr="005C187F">
        <w:rPr>
          <w:color w:val="auto"/>
          <w:sz w:val="22"/>
          <w:szCs w:val="22"/>
          <w:lang w:val="sr-Latn-CS"/>
        </w:rPr>
        <w:t xml:space="preserve"> kasniju</w:t>
      </w:r>
      <w:r w:rsidR="0062701D" w:rsidRPr="005C187F">
        <w:rPr>
          <w:color w:val="auto"/>
          <w:sz w:val="22"/>
          <w:szCs w:val="22"/>
          <w:lang w:val="sr-Latn-CS"/>
        </w:rPr>
        <w:t xml:space="preserve"> postepenu obustavu supstitucione terapije kod novorođenčeta.</w:t>
      </w:r>
    </w:p>
    <w:p w14:paraId="6547BA90" w14:textId="77777777" w:rsidR="005E359A" w:rsidRPr="005C187F" w:rsidRDefault="005E359A" w:rsidP="00EA0376">
      <w:pPr>
        <w:pStyle w:val="Default"/>
        <w:jc w:val="both"/>
        <w:rPr>
          <w:color w:val="auto"/>
          <w:sz w:val="22"/>
          <w:szCs w:val="22"/>
          <w:lang w:val="sr-Latn-CS"/>
        </w:rPr>
      </w:pPr>
    </w:p>
    <w:p w14:paraId="25F7E913" w14:textId="77777777" w:rsidR="007661F0" w:rsidRPr="005C187F" w:rsidRDefault="007661F0" w:rsidP="00EA0376">
      <w:pPr>
        <w:pStyle w:val="Default"/>
        <w:jc w:val="both"/>
        <w:rPr>
          <w:color w:val="auto"/>
          <w:sz w:val="22"/>
          <w:szCs w:val="22"/>
          <w:u w:val="single"/>
          <w:lang w:val="sr-Latn-CS"/>
        </w:rPr>
      </w:pPr>
      <w:r w:rsidRPr="005C187F">
        <w:rPr>
          <w:color w:val="auto"/>
          <w:sz w:val="22"/>
          <w:szCs w:val="22"/>
          <w:u w:val="single"/>
          <w:lang w:val="sr-Latn-CS"/>
        </w:rPr>
        <w:t xml:space="preserve">Dojenje </w:t>
      </w:r>
    </w:p>
    <w:p w14:paraId="25F7E915" w14:textId="60C48679" w:rsidR="007661F0" w:rsidRPr="005C187F" w:rsidRDefault="007661F0" w:rsidP="00EA0376">
      <w:pPr>
        <w:pStyle w:val="Default"/>
        <w:jc w:val="both"/>
        <w:rPr>
          <w:color w:val="auto"/>
          <w:sz w:val="22"/>
          <w:szCs w:val="22"/>
          <w:lang w:val="sr-Latn-CS"/>
        </w:rPr>
      </w:pPr>
      <w:r w:rsidRPr="005C187F">
        <w:rPr>
          <w:color w:val="auto"/>
          <w:sz w:val="22"/>
          <w:szCs w:val="22"/>
          <w:lang w:val="sr-Latn-CS"/>
        </w:rPr>
        <w:t>Glukokortikoidi se izlučuju u majčino ml</w:t>
      </w:r>
      <w:r w:rsidR="006838A6" w:rsidRPr="005C187F">
        <w:rPr>
          <w:color w:val="auto"/>
          <w:sz w:val="22"/>
          <w:szCs w:val="22"/>
          <w:lang w:val="sr-Latn-CS"/>
        </w:rPr>
        <w:t>ij</w:t>
      </w:r>
      <w:r w:rsidRPr="005C187F">
        <w:rPr>
          <w:color w:val="auto"/>
          <w:sz w:val="22"/>
          <w:szCs w:val="22"/>
          <w:lang w:val="sr-Latn-CS"/>
        </w:rPr>
        <w:t xml:space="preserve">eko. </w:t>
      </w:r>
      <w:r w:rsidR="00A40858" w:rsidRPr="005C187F">
        <w:rPr>
          <w:color w:val="auto"/>
          <w:sz w:val="22"/>
          <w:szCs w:val="22"/>
          <w:lang w:val="sr-Latn-CS"/>
        </w:rPr>
        <w:t>Ni</w:t>
      </w:r>
      <w:r w:rsidR="005E359A" w:rsidRPr="005C187F">
        <w:rPr>
          <w:color w:val="auto"/>
          <w:sz w:val="22"/>
          <w:szCs w:val="22"/>
          <w:lang w:val="sr-Latn-CS"/>
        </w:rPr>
        <w:t>je</w:t>
      </w:r>
      <w:r w:rsidR="00A40858" w:rsidRPr="005C187F">
        <w:rPr>
          <w:color w:val="auto"/>
          <w:sz w:val="22"/>
          <w:szCs w:val="22"/>
          <w:lang w:val="sr-Latn-CS"/>
        </w:rPr>
        <w:t>su zab</w:t>
      </w:r>
      <w:r w:rsidR="006838A6" w:rsidRPr="005C187F">
        <w:rPr>
          <w:color w:val="auto"/>
          <w:sz w:val="22"/>
          <w:szCs w:val="22"/>
          <w:lang w:val="sr-Latn-CS"/>
        </w:rPr>
        <w:t>i</w:t>
      </w:r>
      <w:r w:rsidR="00A40858" w:rsidRPr="005C187F">
        <w:rPr>
          <w:color w:val="auto"/>
          <w:sz w:val="22"/>
          <w:szCs w:val="22"/>
          <w:lang w:val="sr-Latn-CS"/>
        </w:rPr>
        <w:t>l</w:t>
      </w:r>
      <w:r w:rsidR="006838A6" w:rsidRPr="005C187F">
        <w:rPr>
          <w:color w:val="auto"/>
          <w:sz w:val="22"/>
          <w:szCs w:val="22"/>
          <w:lang w:val="sr-Latn-CS"/>
        </w:rPr>
        <w:t>j</w:t>
      </w:r>
      <w:r w:rsidR="00A40858" w:rsidRPr="005C187F">
        <w:rPr>
          <w:color w:val="auto"/>
          <w:sz w:val="22"/>
          <w:szCs w:val="22"/>
          <w:lang w:val="sr-Latn-CS"/>
        </w:rPr>
        <w:t>eženi štetni efekti po novorođenče. Ipak, prim</w:t>
      </w:r>
      <w:r w:rsidR="006838A6" w:rsidRPr="005C187F">
        <w:rPr>
          <w:color w:val="auto"/>
          <w:sz w:val="22"/>
          <w:szCs w:val="22"/>
          <w:lang w:val="sr-Latn-CS"/>
        </w:rPr>
        <w:t>j</w:t>
      </w:r>
      <w:r w:rsidR="00A40858" w:rsidRPr="005C187F">
        <w:rPr>
          <w:color w:val="auto"/>
          <w:sz w:val="22"/>
          <w:szCs w:val="22"/>
          <w:lang w:val="sr-Latn-CS"/>
        </w:rPr>
        <w:t>ena l</w:t>
      </w:r>
      <w:r w:rsidR="006838A6" w:rsidRPr="005C187F">
        <w:rPr>
          <w:color w:val="auto"/>
          <w:sz w:val="22"/>
          <w:szCs w:val="22"/>
          <w:lang w:val="sr-Latn-CS"/>
        </w:rPr>
        <w:t>ij</w:t>
      </w:r>
      <w:r w:rsidR="00A40858" w:rsidRPr="005C187F">
        <w:rPr>
          <w:color w:val="auto"/>
          <w:sz w:val="22"/>
          <w:szCs w:val="22"/>
          <w:lang w:val="sr-Latn-CS"/>
        </w:rPr>
        <w:t>eka mora biti strogo indikovana u periodu laktacije. Ukoliko su potrebne veće doze, dojenje treba obustaviti.</w:t>
      </w:r>
    </w:p>
    <w:p w14:paraId="25F7E918" w14:textId="77777777" w:rsidR="007661F0" w:rsidRPr="00CA46C7" w:rsidRDefault="007661F0" w:rsidP="00EA0376">
      <w:pPr>
        <w:rPr>
          <w:szCs w:val="22"/>
          <w:lang w:val="sr-Latn-CS"/>
        </w:rPr>
      </w:pPr>
    </w:p>
    <w:p w14:paraId="25F7E919" w14:textId="08516629" w:rsidR="007661F0" w:rsidRDefault="007661F0" w:rsidP="00EA0376">
      <w:pPr>
        <w:rPr>
          <w:b/>
          <w:bCs/>
          <w:spacing w:val="-8"/>
          <w:szCs w:val="22"/>
          <w:lang w:val="sr-Latn-CS"/>
        </w:rPr>
      </w:pPr>
      <w:r w:rsidRPr="00CA46C7">
        <w:rPr>
          <w:b/>
          <w:bCs/>
          <w:spacing w:val="-8"/>
          <w:szCs w:val="22"/>
          <w:lang w:val="sr-Latn-CS"/>
        </w:rPr>
        <w:t>4.7. Uticaj l</w:t>
      </w:r>
      <w:r w:rsidR="006838A6" w:rsidRPr="00CA46C7">
        <w:rPr>
          <w:b/>
          <w:bCs/>
          <w:spacing w:val="-8"/>
          <w:szCs w:val="22"/>
          <w:lang w:val="sr-Latn-CS"/>
        </w:rPr>
        <w:t>ij</w:t>
      </w:r>
      <w:r w:rsidRPr="00CA46C7">
        <w:rPr>
          <w:b/>
          <w:bCs/>
          <w:spacing w:val="-8"/>
          <w:szCs w:val="22"/>
          <w:lang w:val="sr-Latn-CS"/>
        </w:rPr>
        <w:t>eka na sposobnost upravljanja vozilima i rukovanja mašinama</w:t>
      </w:r>
    </w:p>
    <w:p w14:paraId="35C8F80E" w14:textId="77777777" w:rsidR="00185C48" w:rsidRPr="00CA46C7" w:rsidRDefault="00185C48" w:rsidP="00EA0376">
      <w:pPr>
        <w:rPr>
          <w:b/>
          <w:bCs/>
          <w:spacing w:val="-8"/>
          <w:szCs w:val="22"/>
          <w:lang w:val="sr-Latn-CS"/>
        </w:rPr>
      </w:pPr>
    </w:p>
    <w:p w14:paraId="25F7E91A" w14:textId="63FE1904" w:rsidR="007661F0" w:rsidRPr="005C187F" w:rsidRDefault="007661F0" w:rsidP="00EA0376">
      <w:pPr>
        <w:pStyle w:val="Default"/>
        <w:jc w:val="both"/>
        <w:rPr>
          <w:color w:val="auto"/>
          <w:sz w:val="22"/>
          <w:szCs w:val="22"/>
          <w:lang w:val="sr-Latn-CS"/>
        </w:rPr>
      </w:pPr>
      <w:r w:rsidRPr="005C187F">
        <w:rPr>
          <w:color w:val="auto"/>
          <w:sz w:val="22"/>
          <w:szCs w:val="22"/>
          <w:lang w:val="sr-Latn-CS"/>
        </w:rPr>
        <w:t>Ni</w:t>
      </w:r>
      <w:r w:rsidR="005E359A" w:rsidRPr="005C187F">
        <w:rPr>
          <w:color w:val="auto"/>
          <w:sz w:val="22"/>
          <w:szCs w:val="22"/>
          <w:lang w:val="sr-Latn-CS"/>
        </w:rPr>
        <w:t>je</w:t>
      </w:r>
      <w:r w:rsidRPr="005C187F">
        <w:rPr>
          <w:color w:val="auto"/>
          <w:sz w:val="22"/>
          <w:szCs w:val="22"/>
          <w:lang w:val="sr-Latn-CS"/>
        </w:rPr>
        <w:t xml:space="preserve">su obavljena ispitivanja dejstva na sposobnost upravljanja vozilima i rada sa mašinama. </w:t>
      </w:r>
    </w:p>
    <w:p w14:paraId="4D332FCD" w14:textId="77777777" w:rsidR="006838A6" w:rsidRPr="00CA46C7" w:rsidRDefault="006838A6" w:rsidP="00EA0376">
      <w:pPr>
        <w:rPr>
          <w:b/>
          <w:bCs/>
          <w:szCs w:val="22"/>
          <w:lang w:val="sr-Latn-CS"/>
        </w:rPr>
      </w:pPr>
    </w:p>
    <w:p w14:paraId="0D34936E" w14:textId="1FB3E73A" w:rsidR="00D26285" w:rsidRDefault="007661F0" w:rsidP="00EA0376">
      <w:pPr>
        <w:rPr>
          <w:b/>
          <w:bCs/>
          <w:szCs w:val="22"/>
          <w:lang w:val="sr-Latn-CS"/>
        </w:rPr>
      </w:pPr>
      <w:r w:rsidRPr="00CA46C7">
        <w:rPr>
          <w:b/>
          <w:bCs/>
          <w:szCs w:val="22"/>
          <w:lang w:val="sr-Latn-CS"/>
        </w:rPr>
        <w:t>4.8. Neželjena dejstva</w:t>
      </w:r>
    </w:p>
    <w:p w14:paraId="53BA6C51" w14:textId="77777777" w:rsidR="00185C48" w:rsidRPr="00CA46C7" w:rsidRDefault="00185C48" w:rsidP="00EA0376">
      <w:pPr>
        <w:rPr>
          <w:b/>
          <w:bCs/>
          <w:szCs w:val="22"/>
          <w:lang w:val="sr-Latn-CS"/>
        </w:rPr>
      </w:pPr>
    </w:p>
    <w:p w14:paraId="2069868E" w14:textId="646699AF" w:rsidR="00D26285" w:rsidRPr="005C187F" w:rsidRDefault="00D26285" w:rsidP="00EA0376">
      <w:pPr>
        <w:pStyle w:val="Default"/>
        <w:numPr>
          <w:ilvl w:val="0"/>
          <w:numId w:val="14"/>
        </w:numPr>
        <w:jc w:val="both"/>
        <w:rPr>
          <w:color w:val="auto"/>
          <w:sz w:val="22"/>
          <w:szCs w:val="22"/>
          <w:lang w:val="sr-Latn-CS"/>
        </w:rPr>
      </w:pPr>
      <w:r w:rsidRPr="005C187F">
        <w:rPr>
          <w:color w:val="auto"/>
          <w:sz w:val="22"/>
          <w:szCs w:val="22"/>
          <w:lang w:val="sr-Latn-CS"/>
        </w:rPr>
        <w:t>Veoma česta (≥1/10)</w:t>
      </w:r>
    </w:p>
    <w:p w14:paraId="4F22C363" w14:textId="5873D452" w:rsidR="00D26285" w:rsidRPr="005C187F" w:rsidRDefault="00D26285" w:rsidP="00EA0376">
      <w:pPr>
        <w:pStyle w:val="Default"/>
        <w:numPr>
          <w:ilvl w:val="0"/>
          <w:numId w:val="14"/>
        </w:numPr>
        <w:jc w:val="both"/>
        <w:rPr>
          <w:color w:val="auto"/>
          <w:sz w:val="22"/>
          <w:szCs w:val="22"/>
          <w:lang w:val="sr-Latn-CS"/>
        </w:rPr>
      </w:pPr>
      <w:r w:rsidRPr="005C187F">
        <w:rPr>
          <w:color w:val="auto"/>
          <w:sz w:val="22"/>
          <w:szCs w:val="22"/>
          <w:lang w:val="sr-Latn-CS"/>
        </w:rPr>
        <w:t>Česta (≥1/100 do &lt;1/10)</w:t>
      </w:r>
    </w:p>
    <w:p w14:paraId="79B86EED" w14:textId="7AB42917" w:rsidR="00D26285" w:rsidRPr="005C187F" w:rsidRDefault="00D26285" w:rsidP="00EA0376">
      <w:pPr>
        <w:pStyle w:val="Default"/>
        <w:numPr>
          <w:ilvl w:val="0"/>
          <w:numId w:val="14"/>
        </w:numPr>
        <w:jc w:val="both"/>
        <w:rPr>
          <w:color w:val="auto"/>
          <w:sz w:val="22"/>
          <w:szCs w:val="22"/>
          <w:lang w:val="sr-Latn-CS"/>
        </w:rPr>
      </w:pPr>
      <w:r w:rsidRPr="005C187F">
        <w:rPr>
          <w:color w:val="auto"/>
          <w:sz w:val="22"/>
          <w:szCs w:val="22"/>
          <w:lang w:val="sr-Latn-CS"/>
        </w:rPr>
        <w:t>Povremena (≥1/1000 do &lt;1/100)</w:t>
      </w:r>
    </w:p>
    <w:p w14:paraId="381AA262" w14:textId="79089AC1" w:rsidR="00D26285" w:rsidRPr="005C187F" w:rsidRDefault="00D26285" w:rsidP="00EA0376">
      <w:pPr>
        <w:pStyle w:val="Default"/>
        <w:numPr>
          <w:ilvl w:val="0"/>
          <w:numId w:val="14"/>
        </w:numPr>
        <w:jc w:val="both"/>
        <w:rPr>
          <w:color w:val="auto"/>
          <w:sz w:val="22"/>
          <w:szCs w:val="22"/>
          <w:lang w:val="sr-Latn-CS"/>
        </w:rPr>
      </w:pPr>
      <w:r w:rsidRPr="005C187F">
        <w:rPr>
          <w:color w:val="auto"/>
          <w:sz w:val="22"/>
          <w:szCs w:val="22"/>
          <w:lang w:val="sr-Latn-CS"/>
        </w:rPr>
        <w:t>R</w:t>
      </w:r>
      <w:r w:rsidR="006838A6" w:rsidRPr="005C187F">
        <w:rPr>
          <w:color w:val="auto"/>
          <w:sz w:val="22"/>
          <w:szCs w:val="22"/>
          <w:lang w:val="sr-Latn-CS"/>
        </w:rPr>
        <w:t>ij</w:t>
      </w:r>
      <w:r w:rsidRPr="005C187F">
        <w:rPr>
          <w:color w:val="auto"/>
          <w:sz w:val="22"/>
          <w:szCs w:val="22"/>
          <w:lang w:val="sr-Latn-CS"/>
        </w:rPr>
        <w:t>etka (≥1/10000 do &lt;1/1000)</w:t>
      </w:r>
    </w:p>
    <w:p w14:paraId="6EA54213" w14:textId="7B4FC9D7" w:rsidR="00D26285" w:rsidRPr="005C187F" w:rsidRDefault="00D26285" w:rsidP="00EA0376">
      <w:pPr>
        <w:pStyle w:val="Default"/>
        <w:numPr>
          <w:ilvl w:val="0"/>
          <w:numId w:val="14"/>
        </w:numPr>
        <w:jc w:val="both"/>
        <w:rPr>
          <w:color w:val="auto"/>
          <w:sz w:val="22"/>
          <w:szCs w:val="22"/>
          <w:lang w:val="sr-Latn-CS"/>
        </w:rPr>
      </w:pPr>
      <w:r w:rsidRPr="005C187F">
        <w:rPr>
          <w:color w:val="auto"/>
          <w:sz w:val="22"/>
          <w:szCs w:val="22"/>
          <w:lang w:val="sr-Latn-CS"/>
        </w:rPr>
        <w:t>Veoma r</w:t>
      </w:r>
      <w:r w:rsidR="006838A6" w:rsidRPr="005C187F">
        <w:rPr>
          <w:color w:val="auto"/>
          <w:sz w:val="22"/>
          <w:szCs w:val="22"/>
          <w:lang w:val="sr-Latn-CS"/>
        </w:rPr>
        <w:t>ij</w:t>
      </w:r>
      <w:r w:rsidRPr="005C187F">
        <w:rPr>
          <w:color w:val="auto"/>
          <w:sz w:val="22"/>
          <w:szCs w:val="22"/>
          <w:lang w:val="sr-Latn-CS"/>
        </w:rPr>
        <w:t>etka (&lt;1/10000)</w:t>
      </w:r>
    </w:p>
    <w:p w14:paraId="393B5849" w14:textId="5F95403E" w:rsidR="00D26285" w:rsidRPr="005C187F" w:rsidRDefault="00D26285" w:rsidP="00EA0376">
      <w:pPr>
        <w:pStyle w:val="Default"/>
        <w:numPr>
          <w:ilvl w:val="0"/>
          <w:numId w:val="14"/>
        </w:numPr>
        <w:jc w:val="both"/>
        <w:rPr>
          <w:color w:val="auto"/>
          <w:sz w:val="22"/>
          <w:szCs w:val="22"/>
          <w:lang w:val="sr-Latn-CS"/>
        </w:rPr>
      </w:pPr>
      <w:r w:rsidRPr="005C187F">
        <w:rPr>
          <w:color w:val="auto"/>
          <w:sz w:val="22"/>
          <w:szCs w:val="22"/>
          <w:lang w:val="sr-Latn-CS"/>
        </w:rPr>
        <w:t>Nepoznata (učestalost se ne može proc</w:t>
      </w:r>
      <w:r w:rsidR="006838A6" w:rsidRPr="005C187F">
        <w:rPr>
          <w:color w:val="auto"/>
          <w:sz w:val="22"/>
          <w:szCs w:val="22"/>
          <w:lang w:val="sr-Latn-CS"/>
        </w:rPr>
        <w:t>ij</w:t>
      </w:r>
      <w:r w:rsidRPr="005C187F">
        <w:rPr>
          <w:color w:val="auto"/>
          <w:sz w:val="22"/>
          <w:szCs w:val="22"/>
          <w:lang w:val="sr-Latn-CS"/>
        </w:rPr>
        <w:t>eniti na osnovu dostupnih podataka).</w:t>
      </w:r>
    </w:p>
    <w:p w14:paraId="0F72FE35" w14:textId="4C14C5EF" w:rsidR="00D26285" w:rsidRPr="005C187F" w:rsidRDefault="00D26285" w:rsidP="00EA0376">
      <w:pPr>
        <w:pStyle w:val="Default"/>
        <w:jc w:val="both"/>
        <w:rPr>
          <w:color w:val="auto"/>
          <w:sz w:val="22"/>
          <w:szCs w:val="22"/>
          <w:lang w:val="sr-Latn-CS"/>
        </w:rPr>
      </w:pPr>
    </w:p>
    <w:p w14:paraId="53FA410F" w14:textId="7BCE7179" w:rsidR="00D26285" w:rsidRPr="005C187F" w:rsidRDefault="00D26285" w:rsidP="00EA0376">
      <w:pPr>
        <w:pStyle w:val="Default"/>
        <w:jc w:val="both"/>
        <w:rPr>
          <w:color w:val="auto"/>
          <w:sz w:val="22"/>
          <w:szCs w:val="22"/>
          <w:lang w:val="sr-Latn-CS"/>
        </w:rPr>
      </w:pPr>
      <w:r w:rsidRPr="005C187F">
        <w:rPr>
          <w:b/>
          <w:bCs/>
          <w:i/>
          <w:iCs/>
          <w:color w:val="auto"/>
          <w:sz w:val="22"/>
          <w:szCs w:val="22"/>
          <w:lang w:val="sr-Latn-CS"/>
        </w:rPr>
        <w:t>Hormonska supstituciona terapija</w:t>
      </w:r>
      <w:r w:rsidRPr="005C187F">
        <w:rPr>
          <w:i/>
          <w:iCs/>
          <w:color w:val="auto"/>
          <w:sz w:val="22"/>
          <w:szCs w:val="22"/>
          <w:lang w:val="sr-Latn-CS"/>
        </w:rPr>
        <w:t xml:space="preserve">: </w:t>
      </w:r>
      <w:r w:rsidRPr="005C187F">
        <w:rPr>
          <w:color w:val="auto"/>
          <w:sz w:val="22"/>
          <w:szCs w:val="22"/>
          <w:lang w:val="sr-Latn-CS"/>
        </w:rPr>
        <w:t>nizak rizik od neželjenih reakcija pri prim</w:t>
      </w:r>
      <w:r w:rsidR="006838A6" w:rsidRPr="005C187F">
        <w:rPr>
          <w:color w:val="auto"/>
          <w:sz w:val="22"/>
          <w:szCs w:val="22"/>
          <w:lang w:val="sr-Latn-CS"/>
        </w:rPr>
        <w:t>j</w:t>
      </w:r>
      <w:r w:rsidRPr="005C187F">
        <w:rPr>
          <w:color w:val="auto"/>
          <w:sz w:val="22"/>
          <w:szCs w:val="22"/>
          <w:lang w:val="sr-Latn-CS"/>
        </w:rPr>
        <w:t>eni preporučenih doza.</w:t>
      </w:r>
    </w:p>
    <w:p w14:paraId="1892916B" w14:textId="55728CC5" w:rsidR="00D26285" w:rsidRPr="005C187F" w:rsidRDefault="00D26285" w:rsidP="00EA0376">
      <w:pPr>
        <w:pStyle w:val="Default"/>
        <w:jc w:val="both"/>
        <w:rPr>
          <w:color w:val="auto"/>
          <w:sz w:val="22"/>
          <w:szCs w:val="22"/>
          <w:lang w:val="sr-Latn-CS"/>
        </w:rPr>
      </w:pPr>
      <w:r w:rsidRPr="005C187F">
        <w:rPr>
          <w:b/>
          <w:bCs/>
          <w:i/>
          <w:iCs/>
          <w:color w:val="auto"/>
          <w:sz w:val="22"/>
          <w:szCs w:val="22"/>
          <w:lang w:val="sr-Latn-CS"/>
        </w:rPr>
        <w:lastRenderedPageBreak/>
        <w:t xml:space="preserve">Farmakoterapija: </w:t>
      </w:r>
      <w:r w:rsidRPr="005C187F">
        <w:rPr>
          <w:color w:val="auto"/>
          <w:sz w:val="22"/>
          <w:szCs w:val="22"/>
          <w:lang w:val="sr-Latn-CS"/>
        </w:rPr>
        <w:t>mogu se javiti sl</w:t>
      </w:r>
      <w:r w:rsidR="006838A6" w:rsidRPr="005C187F">
        <w:rPr>
          <w:color w:val="auto"/>
          <w:sz w:val="22"/>
          <w:szCs w:val="22"/>
          <w:lang w:val="sr-Latn-CS"/>
        </w:rPr>
        <w:t>j</w:t>
      </w:r>
      <w:r w:rsidRPr="005C187F">
        <w:rPr>
          <w:color w:val="auto"/>
          <w:sz w:val="22"/>
          <w:szCs w:val="22"/>
          <w:lang w:val="sr-Latn-CS"/>
        </w:rPr>
        <w:t>edeća neželjena dejstva, koja zavise od prim</w:t>
      </w:r>
      <w:r w:rsidR="006838A6" w:rsidRPr="005C187F">
        <w:rPr>
          <w:color w:val="auto"/>
          <w:sz w:val="22"/>
          <w:szCs w:val="22"/>
          <w:lang w:val="sr-Latn-CS"/>
        </w:rPr>
        <w:t>ij</w:t>
      </w:r>
      <w:r w:rsidRPr="005C187F">
        <w:rPr>
          <w:color w:val="auto"/>
          <w:sz w:val="22"/>
          <w:szCs w:val="22"/>
          <w:lang w:val="sr-Latn-CS"/>
        </w:rPr>
        <w:t>enjene doze i dužine terapije, pa se njihova učestalost ne može definisati:</w:t>
      </w:r>
    </w:p>
    <w:p w14:paraId="25F7E923" w14:textId="77777777" w:rsidR="007661F0" w:rsidRPr="005C187F" w:rsidRDefault="007661F0" w:rsidP="00EA0376">
      <w:pPr>
        <w:pStyle w:val="Default"/>
        <w:jc w:val="both"/>
        <w:rPr>
          <w:color w:val="auto"/>
          <w:sz w:val="22"/>
          <w:szCs w:val="22"/>
          <w:lang w:val="sr-Latn-CS"/>
        </w:rPr>
      </w:pPr>
    </w:p>
    <w:tbl>
      <w:tblPr>
        <w:tblW w:w="0" w:type="auto"/>
        <w:tblLook w:val="0000" w:firstRow="0" w:lastRow="0" w:firstColumn="0" w:lastColumn="0" w:noHBand="0" w:noVBand="0"/>
      </w:tblPr>
      <w:tblGrid>
        <w:gridCol w:w="2315"/>
        <w:gridCol w:w="6972"/>
      </w:tblGrid>
      <w:tr w:rsidR="00CA46C7" w:rsidRPr="00CA46C7" w14:paraId="25F7E92B" w14:textId="77777777" w:rsidTr="00EA0376">
        <w:trPr>
          <w:trHeight w:val="479"/>
        </w:trPr>
        <w:tc>
          <w:tcPr>
            <w:tcW w:w="0" w:type="auto"/>
            <w:tcBorders>
              <w:top w:val="single" w:sz="4" w:space="0" w:color="auto"/>
              <w:left w:val="single" w:sz="4" w:space="0" w:color="auto"/>
              <w:bottom w:val="single" w:sz="4" w:space="0" w:color="auto"/>
              <w:right w:val="single" w:sz="4" w:space="0" w:color="auto"/>
            </w:tcBorders>
          </w:tcPr>
          <w:p w14:paraId="25F7E929" w14:textId="77777777" w:rsidR="007661F0" w:rsidRPr="005C187F" w:rsidRDefault="007661F0" w:rsidP="00EA0376">
            <w:pPr>
              <w:pStyle w:val="Default"/>
              <w:jc w:val="both"/>
              <w:rPr>
                <w:color w:val="auto"/>
                <w:sz w:val="22"/>
                <w:szCs w:val="22"/>
                <w:lang w:val="sr-Latn-CS"/>
              </w:rPr>
            </w:pPr>
            <w:r w:rsidRPr="005C187F">
              <w:rPr>
                <w:color w:val="auto"/>
                <w:sz w:val="22"/>
                <w:szCs w:val="22"/>
                <w:lang w:val="sr-Latn-CS"/>
              </w:rPr>
              <w:t xml:space="preserve">Infekcije i infestacije </w:t>
            </w:r>
          </w:p>
        </w:tc>
        <w:tc>
          <w:tcPr>
            <w:tcW w:w="0" w:type="auto"/>
            <w:tcBorders>
              <w:top w:val="single" w:sz="4" w:space="0" w:color="auto"/>
              <w:left w:val="single" w:sz="4" w:space="0" w:color="auto"/>
              <w:bottom w:val="single" w:sz="4" w:space="0" w:color="auto"/>
              <w:right w:val="single" w:sz="4" w:space="0" w:color="auto"/>
            </w:tcBorders>
          </w:tcPr>
          <w:p w14:paraId="25F7E92A" w14:textId="71E80C86" w:rsidR="007661F0" w:rsidRPr="005C187F" w:rsidRDefault="00D26285" w:rsidP="00EA0376">
            <w:pPr>
              <w:pStyle w:val="Default"/>
              <w:jc w:val="both"/>
              <w:rPr>
                <w:color w:val="auto"/>
                <w:sz w:val="22"/>
                <w:szCs w:val="22"/>
                <w:lang w:val="sr-Latn-CS"/>
              </w:rPr>
            </w:pPr>
            <w:r w:rsidRPr="005C187F">
              <w:rPr>
                <w:color w:val="auto"/>
                <w:sz w:val="22"/>
                <w:szCs w:val="22"/>
                <w:lang w:val="sr-Latn-CS"/>
              </w:rPr>
              <w:t>Maskiranje infekcija, manifestacija i egzacerbacija virusnih, gljivičnih, bakterijskih, parazitarnih i oportunističkih infekcija, aktivacija strongiloidijaze.</w:t>
            </w:r>
            <w:r w:rsidR="007661F0" w:rsidRPr="005C187F">
              <w:rPr>
                <w:color w:val="auto"/>
                <w:sz w:val="22"/>
                <w:szCs w:val="22"/>
                <w:lang w:val="sr-Latn-CS"/>
              </w:rPr>
              <w:t xml:space="preserve"> </w:t>
            </w:r>
          </w:p>
        </w:tc>
      </w:tr>
      <w:tr w:rsidR="00CA46C7" w:rsidRPr="00CA46C7" w14:paraId="25F7E92E" w14:textId="77777777" w:rsidTr="00EA0376">
        <w:trPr>
          <w:trHeight w:val="226"/>
        </w:trPr>
        <w:tc>
          <w:tcPr>
            <w:tcW w:w="0" w:type="auto"/>
            <w:tcBorders>
              <w:top w:val="single" w:sz="4" w:space="0" w:color="auto"/>
              <w:left w:val="single" w:sz="4" w:space="0" w:color="auto"/>
              <w:bottom w:val="single" w:sz="4" w:space="0" w:color="auto"/>
              <w:right w:val="single" w:sz="4" w:space="0" w:color="auto"/>
            </w:tcBorders>
          </w:tcPr>
          <w:p w14:paraId="25F7E92C" w14:textId="77777777" w:rsidR="007661F0" w:rsidRPr="005C187F" w:rsidRDefault="007661F0" w:rsidP="00EA0376">
            <w:pPr>
              <w:pStyle w:val="Default"/>
              <w:jc w:val="both"/>
              <w:rPr>
                <w:color w:val="auto"/>
                <w:sz w:val="22"/>
                <w:szCs w:val="22"/>
                <w:lang w:val="sr-Latn-CS"/>
              </w:rPr>
            </w:pPr>
            <w:r w:rsidRPr="005C187F">
              <w:rPr>
                <w:color w:val="auto"/>
                <w:sz w:val="22"/>
                <w:szCs w:val="22"/>
                <w:lang w:val="sr-Latn-CS"/>
              </w:rPr>
              <w:t>Poremećaji krvi i limfnog sistema</w:t>
            </w:r>
          </w:p>
        </w:tc>
        <w:tc>
          <w:tcPr>
            <w:tcW w:w="0" w:type="auto"/>
            <w:tcBorders>
              <w:top w:val="single" w:sz="4" w:space="0" w:color="auto"/>
              <w:left w:val="single" w:sz="4" w:space="0" w:color="auto"/>
              <w:bottom w:val="single" w:sz="4" w:space="0" w:color="auto"/>
              <w:right w:val="single" w:sz="4" w:space="0" w:color="auto"/>
            </w:tcBorders>
          </w:tcPr>
          <w:p w14:paraId="25F7E92D" w14:textId="20FB747C" w:rsidR="007661F0" w:rsidRPr="005C187F" w:rsidRDefault="00D26285" w:rsidP="00EA0376">
            <w:pPr>
              <w:pStyle w:val="Default"/>
              <w:jc w:val="both"/>
              <w:rPr>
                <w:color w:val="auto"/>
                <w:sz w:val="22"/>
                <w:szCs w:val="22"/>
                <w:lang w:val="sr-Latn-CS"/>
              </w:rPr>
            </w:pPr>
            <w:r w:rsidRPr="005C187F">
              <w:rPr>
                <w:color w:val="auto"/>
                <w:sz w:val="22"/>
                <w:szCs w:val="22"/>
                <w:lang w:val="sr-Latn-CS"/>
              </w:rPr>
              <w:t>Um</w:t>
            </w:r>
            <w:r w:rsidR="005E359A" w:rsidRPr="005C187F">
              <w:rPr>
                <w:color w:val="auto"/>
                <w:sz w:val="22"/>
                <w:szCs w:val="22"/>
                <w:lang w:val="sr-Latn-CS"/>
              </w:rPr>
              <w:t>j</w:t>
            </w:r>
            <w:r w:rsidRPr="005C187F">
              <w:rPr>
                <w:color w:val="auto"/>
                <w:sz w:val="22"/>
                <w:szCs w:val="22"/>
                <w:lang w:val="sr-Latn-CS"/>
              </w:rPr>
              <w:t>erena l</w:t>
            </w:r>
            <w:r w:rsidR="007661F0" w:rsidRPr="005C187F">
              <w:rPr>
                <w:color w:val="auto"/>
                <w:sz w:val="22"/>
                <w:szCs w:val="22"/>
                <w:lang w:val="sr-Latn-CS"/>
              </w:rPr>
              <w:t>eukocitoza, limfo</w:t>
            </w:r>
            <w:r w:rsidRPr="005C187F">
              <w:rPr>
                <w:color w:val="auto"/>
                <w:sz w:val="22"/>
                <w:szCs w:val="22"/>
                <w:lang w:val="sr-Latn-CS"/>
              </w:rPr>
              <w:t>cito</w:t>
            </w:r>
            <w:r w:rsidR="007661F0" w:rsidRPr="005C187F">
              <w:rPr>
                <w:color w:val="auto"/>
                <w:sz w:val="22"/>
                <w:szCs w:val="22"/>
                <w:lang w:val="sr-Latn-CS"/>
              </w:rPr>
              <w:t>penija, eozinopenija, policitemija</w:t>
            </w:r>
            <w:r w:rsidRPr="005C187F">
              <w:rPr>
                <w:color w:val="auto"/>
                <w:sz w:val="22"/>
                <w:szCs w:val="22"/>
                <w:lang w:val="sr-Latn-CS"/>
              </w:rPr>
              <w:t>.</w:t>
            </w:r>
          </w:p>
        </w:tc>
      </w:tr>
      <w:tr w:rsidR="00CA46C7" w:rsidRPr="00CA46C7" w14:paraId="25F7E931" w14:textId="77777777" w:rsidTr="00EA0376">
        <w:trPr>
          <w:trHeight w:val="353"/>
        </w:trPr>
        <w:tc>
          <w:tcPr>
            <w:tcW w:w="0" w:type="auto"/>
            <w:tcBorders>
              <w:top w:val="single" w:sz="4" w:space="0" w:color="auto"/>
              <w:left w:val="single" w:sz="4" w:space="0" w:color="auto"/>
              <w:bottom w:val="single" w:sz="4" w:space="0" w:color="auto"/>
              <w:right w:val="single" w:sz="4" w:space="0" w:color="auto"/>
            </w:tcBorders>
          </w:tcPr>
          <w:p w14:paraId="25F7E92F" w14:textId="628D37EE" w:rsidR="007661F0" w:rsidRPr="005C187F" w:rsidRDefault="007661F0" w:rsidP="00EA0376">
            <w:pPr>
              <w:pStyle w:val="Default"/>
              <w:jc w:val="both"/>
              <w:rPr>
                <w:color w:val="auto"/>
                <w:sz w:val="22"/>
                <w:szCs w:val="22"/>
                <w:lang w:val="sr-Latn-CS"/>
              </w:rPr>
            </w:pPr>
            <w:r w:rsidRPr="005C187F">
              <w:rPr>
                <w:color w:val="auto"/>
                <w:sz w:val="22"/>
                <w:szCs w:val="22"/>
                <w:lang w:val="sr-Latn-CS"/>
              </w:rPr>
              <w:t xml:space="preserve">Poremećaji imunog sistema </w:t>
            </w:r>
          </w:p>
        </w:tc>
        <w:tc>
          <w:tcPr>
            <w:tcW w:w="0" w:type="auto"/>
            <w:tcBorders>
              <w:top w:val="single" w:sz="4" w:space="0" w:color="auto"/>
              <w:left w:val="single" w:sz="4" w:space="0" w:color="auto"/>
              <w:bottom w:val="single" w:sz="4" w:space="0" w:color="auto"/>
              <w:right w:val="single" w:sz="4" w:space="0" w:color="auto"/>
            </w:tcBorders>
          </w:tcPr>
          <w:p w14:paraId="25F7E930" w14:textId="189E7312" w:rsidR="007661F0" w:rsidRPr="005C187F" w:rsidRDefault="007661F0" w:rsidP="00EA0376">
            <w:pPr>
              <w:pStyle w:val="Default"/>
              <w:jc w:val="both"/>
              <w:rPr>
                <w:color w:val="auto"/>
                <w:sz w:val="22"/>
                <w:szCs w:val="22"/>
                <w:lang w:val="sr-Latn-CS"/>
              </w:rPr>
            </w:pPr>
            <w:r w:rsidRPr="005C187F">
              <w:rPr>
                <w:color w:val="auto"/>
                <w:sz w:val="22"/>
                <w:szCs w:val="22"/>
                <w:lang w:val="sr-Latn-CS"/>
              </w:rPr>
              <w:t>Reakcije preos</w:t>
            </w:r>
            <w:r w:rsidR="006838A6" w:rsidRPr="005C187F">
              <w:rPr>
                <w:color w:val="auto"/>
                <w:sz w:val="22"/>
                <w:szCs w:val="22"/>
                <w:lang w:val="sr-Latn-CS"/>
              </w:rPr>
              <w:t>j</w:t>
            </w:r>
            <w:r w:rsidRPr="005C187F">
              <w:rPr>
                <w:color w:val="auto"/>
                <w:sz w:val="22"/>
                <w:szCs w:val="22"/>
                <w:lang w:val="sr-Latn-CS"/>
              </w:rPr>
              <w:t xml:space="preserve">etljivosti, </w:t>
            </w:r>
            <w:r w:rsidR="00D26285" w:rsidRPr="005C187F">
              <w:rPr>
                <w:color w:val="auto"/>
                <w:sz w:val="22"/>
                <w:szCs w:val="22"/>
                <w:lang w:val="sr-Latn-CS"/>
              </w:rPr>
              <w:t>teške anafilaktičke reakcije, poput aritmija, bronhospazma, hipotenzije ili hipertenzije, cirkulatornog kolapsa, srčanog zastoja, slabljenje imunog sistema.</w:t>
            </w:r>
          </w:p>
        </w:tc>
      </w:tr>
      <w:tr w:rsidR="00CA46C7" w:rsidRPr="00CA46C7" w14:paraId="25F7E935" w14:textId="77777777" w:rsidTr="00EA0376">
        <w:trPr>
          <w:trHeight w:val="859"/>
        </w:trPr>
        <w:tc>
          <w:tcPr>
            <w:tcW w:w="0" w:type="auto"/>
            <w:tcBorders>
              <w:top w:val="single" w:sz="4" w:space="0" w:color="auto"/>
              <w:left w:val="single" w:sz="4" w:space="0" w:color="auto"/>
              <w:bottom w:val="single" w:sz="4" w:space="0" w:color="auto"/>
              <w:right w:val="single" w:sz="4" w:space="0" w:color="auto"/>
            </w:tcBorders>
          </w:tcPr>
          <w:p w14:paraId="25F7E932" w14:textId="77777777" w:rsidR="007661F0" w:rsidRPr="005C187F" w:rsidRDefault="007661F0" w:rsidP="00EA0376">
            <w:pPr>
              <w:pStyle w:val="Default"/>
              <w:jc w:val="both"/>
              <w:rPr>
                <w:color w:val="auto"/>
                <w:sz w:val="22"/>
                <w:szCs w:val="22"/>
                <w:lang w:val="sr-Latn-CS"/>
              </w:rPr>
            </w:pPr>
            <w:r w:rsidRPr="005C187F">
              <w:rPr>
                <w:color w:val="auto"/>
                <w:sz w:val="22"/>
                <w:szCs w:val="22"/>
                <w:lang w:val="sr-Latn-CS"/>
              </w:rPr>
              <w:t xml:space="preserve">Endokrini poremećaji </w:t>
            </w:r>
          </w:p>
        </w:tc>
        <w:tc>
          <w:tcPr>
            <w:tcW w:w="0" w:type="auto"/>
            <w:tcBorders>
              <w:top w:val="single" w:sz="4" w:space="0" w:color="auto"/>
              <w:left w:val="single" w:sz="4" w:space="0" w:color="auto"/>
              <w:bottom w:val="single" w:sz="4" w:space="0" w:color="auto"/>
              <w:right w:val="single" w:sz="4" w:space="0" w:color="auto"/>
            </w:tcBorders>
          </w:tcPr>
          <w:p w14:paraId="25F7E934" w14:textId="043D79DC" w:rsidR="007661F0" w:rsidRPr="005C187F" w:rsidRDefault="00D26285" w:rsidP="00EA0376">
            <w:pPr>
              <w:pStyle w:val="Default"/>
              <w:jc w:val="both"/>
              <w:rPr>
                <w:color w:val="auto"/>
                <w:sz w:val="22"/>
                <w:szCs w:val="22"/>
                <w:lang w:val="sr-Latn-CS"/>
              </w:rPr>
            </w:pPr>
            <w:r w:rsidRPr="005C187F">
              <w:rPr>
                <w:color w:val="auto"/>
                <w:sz w:val="22"/>
                <w:szCs w:val="22"/>
                <w:lang w:val="sr-Latn-CS"/>
              </w:rPr>
              <w:t>Adrenalna s</w:t>
            </w:r>
            <w:r w:rsidR="007661F0" w:rsidRPr="005C187F">
              <w:rPr>
                <w:color w:val="auto"/>
                <w:sz w:val="22"/>
                <w:szCs w:val="22"/>
                <w:lang w:val="sr-Latn-CS"/>
              </w:rPr>
              <w:t xml:space="preserve">upresija i </w:t>
            </w:r>
            <w:r w:rsidRPr="005C187F">
              <w:rPr>
                <w:color w:val="auto"/>
                <w:sz w:val="22"/>
                <w:szCs w:val="22"/>
                <w:lang w:val="sr-Latn-CS"/>
              </w:rPr>
              <w:t xml:space="preserve">indukcija </w:t>
            </w:r>
            <w:r w:rsidR="005464E1" w:rsidRPr="005C187F">
              <w:rPr>
                <w:color w:val="auto"/>
                <w:sz w:val="22"/>
                <w:szCs w:val="22"/>
                <w:lang w:val="sr-Latn-CS"/>
              </w:rPr>
              <w:t>Kušingovog</w:t>
            </w:r>
            <w:r w:rsidR="007661F0" w:rsidRPr="005C187F">
              <w:rPr>
                <w:color w:val="auto"/>
                <w:sz w:val="22"/>
                <w:szCs w:val="22"/>
                <w:lang w:val="sr-Latn-CS"/>
              </w:rPr>
              <w:t xml:space="preserve"> sindroma (uobičajeni simptomi: lice „okruglo poput m</w:t>
            </w:r>
            <w:r w:rsidR="006838A6" w:rsidRPr="005C187F">
              <w:rPr>
                <w:color w:val="auto"/>
                <w:sz w:val="22"/>
                <w:szCs w:val="22"/>
                <w:lang w:val="sr-Latn-CS"/>
              </w:rPr>
              <w:t>j</w:t>
            </w:r>
            <w:r w:rsidR="007661F0" w:rsidRPr="005C187F">
              <w:rPr>
                <w:color w:val="auto"/>
                <w:sz w:val="22"/>
                <w:szCs w:val="22"/>
                <w:lang w:val="sr-Latn-CS"/>
              </w:rPr>
              <w:t>eseca“, pletora, gojaznost u pred</w:t>
            </w:r>
            <w:r w:rsidR="006838A6" w:rsidRPr="005C187F">
              <w:rPr>
                <w:color w:val="auto"/>
                <w:sz w:val="22"/>
                <w:szCs w:val="22"/>
                <w:lang w:val="sr-Latn-CS"/>
              </w:rPr>
              <w:t>j</w:t>
            </w:r>
            <w:r w:rsidR="007661F0" w:rsidRPr="005C187F">
              <w:rPr>
                <w:color w:val="auto"/>
                <w:sz w:val="22"/>
                <w:szCs w:val="22"/>
                <w:lang w:val="sr-Latn-CS"/>
              </w:rPr>
              <w:t>elu trupa</w:t>
            </w:r>
            <w:r w:rsidR="005464E1" w:rsidRPr="005C187F">
              <w:rPr>
                <w:color w:val="auto"/>
                <w:sz w:val="22"/>
                <w:szCs w:val="22"/>
                <w:lang w:val="sr-Latn-CS"/>
              </w:rPr>
              <w:t>).</w:t>
            </w:r>
          </w:p>
        </w:tc>
      </w:tr>
      <w:tr w:rsidR="00CA46C7" w:rsidRPr="00CA46C7" w14:paraId="25F7E939" w14:textId="77777777" w:rsidTr="00EA0376">
        <w:trPr>
          <w:trHeight w:val="353"/>
        </w:trPr>
        <w:tc>
          <w:tcPr>
            <w:tcW w:w="0" w:type="auto"/>
            <w:tcBorders>
              <w:top w:val="single" w:sz="4" w:space="0" w:color="auto"/>
              <w:left w:val="single" w:sz="4" w:space="0" w:color="auto"/>
              <w:bottom w:val="single" w:sz="4" w:space="0" w:color="auto"/>
              <w:right w:val="single" w:sz="4" w:space="0" w:color="auto"/>
            </w:tcBorders>
          </w:tcPr>
          <w:p w14:paraId="25F7E936" w14:textId="77777777" w:rsidR="007661F0" w:rsidRPr="005C187F" w:rsidRDefault="007661F0" w:rsidP="00EA0376">
            <w:pPr>
              <w:pStyle w:val="Default"/>
              <w:jc w:val="both"/>
              <w:rPr>
                <w:color w:val="auto"/>
                <w:sz w:val="22"/>
                <w:szCs w:val="22"/>
                <w:lang w:val="sr-Latn-CS"/>
              </w:rPr>
            </w:pPr>
            <w:r w:rsidRPr="005C187F">
              <w:rPr>
                <w:color w:val="auto"/>
                <w:sz w:val="22"/>
                <w:szCs w:val="22"/>
                <w:lang w:val="sr-Latn-CS"/>
              </w:rPr>
              <w:t xml:space="preserve">Poremećaji metabolizma i ishrane </w:t>
            </w:r>
          </w:p>
        </w:tc>
        <w:tc>
          <w:tcPr>
            <w:tcW w:w="0" w:type="auto"/>
            <w:tcBorders>
              <w:top w:val="single" w:sz="4" w:space="0" w:color="auto"/>
              <w:left w:val="single" w:sz="4" w:space="0" w:color="auto"/>
              <w:bottom w:val="single" w:sz="4" w:space="0" w:color="auto"/>
              <w:right w:val="single" w:sz="4" w:space="0" w:color="auto"/>
            </w:tcBorders>
          </w:tcPr>
          <w:p w14:paraId="25F7E938" w14:textId="45788ECA" w:rsidR="007661F0" w:rsidRPr="005C187F" w:rsidRDefault="00F77B6E" w:rsidP="00EA0376">
            <w:pPr>
              <w:pStyle w:val="Default"/>
              <w:jc w:val="both"/>
              <w:rPr>
                <w:color w:val="auto"/>
                <w:sz w:val="22"/>
                <w:szCs w:val="22"/>
                <w:lang w:val="sr-Latn-CS"/>
              </w:rPr>
            </w:pPr>
            <w:r w:rsidRPr="005C187F">
              <w:rPr>
                <w:color w:val="auto"/>
                <w:sz w:val="22"/>
                <w:szCs w:val="22"/>
                <w:lang w:val="sr-Latn-CS"/>
              </w:rPr>
              <w:t>Retencija natrijuma sa edemima, povećana ekskrecija kalijuma (rizik od aritmija), povećanje t</w:t>
            </w:r>
            <w:r w:rsidR="006838A6" w:rsidRPr="005C187F">
              <w:rPr>
                <w:color w:val="auto"/>
                <w:sz w:val="22"/>
                <w:szCs w:val="22"/>
                <w:lang w:val="sr-Latn-CS"/>
              </w:rPr>
              <w:t>j</w:t>
            </w:r>
            <w:r w:rsidRPr="005C187F">
              <w:rPr>
                <w:color w:val="auto"/>
                <w:sz w:val="22"/>
                <w:szCs w:val="22"/>
                <w:lang w:val="sr-Latn-CS"/>
              </w:rPr>
              <w:t>elesne mase, intolerancija na glukozu, dijabetes melitus, hiperholesterolemija i hipertrigliceridemija, pojačan apetit.</w:t>
            </w:r>
          </w:p>
        </w:tc>
      </w:tr>
      <w:tr w:rsidR="00CA46C7" w:rsidRPr="00CA46C7" w14:paraId="25F7E93C" w14:textId="77777777" w:rsidTr="00EA0376">
        <w:trPr>
          <w:trHeight w:val="227"/>
        </w:trPr>
        <w:tc>
          <w:tcPr>
            <w:tcW w:w="0" w:type="auto"/>
            <w:tcBorders>
              <w:top w:val="single" w:sz="4" w:space="0" w:color="auto"/>
              <w:left w:val="single" w:sz="4" w:space="0" w:color="auto"/>
              <w:bottom w:val="single" w:sz="4" w:space="0" w:color="auto"/>
              <w:right w:val="single" w:sz="4" w:space="0" w:color="auto"/>
            </w:tcBorders>
          </w:tcPr>
          <w:p w14:paraId="25F7E93A" w14:textId="77777777" w:rsidR="007661F0" w:rsidRPr="005C187F" w:rsidRDefault="007661F0" w:rsidP="00EA0376">
            <w:pPr>
              <w:pStyle w:val="Default"/>
              <w:jc w:val="both"/>
              <w:rPr>
                <w:color w:val="auto"/>
                <w:sz w:val="22"/>
                <w:szCs w:val="22"/>
                <w:lang w:val="sr-Latn-CS"/>
              </w:rPr>
            </w:pPr>
            <w:r w:rsidRPr="005C187F">
              <w:rPr>
                <w:color w:val="auto"/>
                <w:sz w:val="22"/>
                <w:szCs w:val="22"/>
                <w:lang w:val="sr-Latn-CS"/>
              </w:rPr>
              <w:t xml:space="preserve">Psihijatrijski poremećaji </w:t>
            </w:r>
          </w:p>
        </w:tc>
        <w:tc>
          <w:tcPr>
            <w:tcW w:w="0" w:type="auto"/>
            <w:tcBorders>
              <w:top w:val="single" w:sz="4" w:space="0" w:color="auto"/>
              <w:left w:val="single" w:sz="4" w:space="0" w:color="auto"/>
              <w:bottom w:val="single" w:sz="4" w:space="0" w:color="auto"/>
              <w:right w:val="single" w:sz="4" w:space="0" w:color="auto"/>
            </w:tcBorders>
          </w:tcPr>
          <w:p w14:paraId="25F7E93B" w14:textId="6DBED120" w:rsidR="007661F0" w:rsidRPr="005C187F" w:rsidRDefault="003C7E7E" w:rsidP="00EA0376">
            <w:pPr>
              <w:pStyle w:val="Default"/>
              <w:jc w:val="both"/>
              <w:rPr>
                <w:color w:val="auto"/>
                <w:sz w:val="22"/>
                <w:szCs w:val="22"/>
                <w:lang w:val="sr-Latn-CS"/>
              </w:rPr>
            </w:pPr>
            <w:r w:rsidRPr="005C187F">
              <w:rPr>
                <w:color w:val="auto"/>
                <w:sz w:val="22"/>
                <w:szCs w:val="22"/>
                <w:lang w:val="sr-Latn-CS"/>
              </w:rPr>
              <w:t>Depresija, razdražljivost, euforija, psihoze, manija, halucinacije, emocionalna nestabilnost, anksioznost, poremećaji sna, suicidaln</w:t>
            </w:r>
            <w:r w:rsidR="001B3595" w:rsidRPr="005C187F">
              <w:rPr>
                <w:color w:val="auto"/>
                <w:sz w:val="22"/>
                <w:szCs w:val="22"/>
                <w:lang w:val="sr-Latn-CS"/>
              </w:rPr>
              <w:t>e misli</w:t>
            </w:r>
            <w:r w:rsidRPr="005C187F">
              <w:rPr>
                <w:color w:val="auto"/>
                <w:sz w:val="22"/>
                <w:szCs w:val="22"/>
                <w:lang w:val="sr-Latn-CS"/>
              </w:rPr>
              <w:t>.</w:t>
            </w:r>
            <w:r w:rsidR="007661F0" w:rsidRPr="005C187F">
              <w:rPr>
                <w:color w:val="auto"/>
                <w:sz w:val="22"/>
                <w:szCs w:val="22"/>
                <w:lang w:val="sr-Latn-CS"/>
              </w:rPr>
              <w:t xml:space="preserve"> </w:t>
            </w:r>
          </w:p>
        </w:tc>
      </w:tr>
      <w:tr w:rsidR="00CA46C7" w:rsidRPr="00CA46C7" w14:paraId="25F7E93F" w14:textId="77777777" w:rsidTr="00EA0376">
        <w:trPr>
          <w:trHeight w:val="480"/>
        </w:trPr>
        <w:tc>
          <w:tcPr>
            <w:tcW w:w="0" w:type="auto"/>
            <w:tcBorders>
              <w:top w:val="single" w:sz="4" w:space="0" w:color="auto"/>
              <w:left w:val="single" w:sz="4" w:space="0" w:color="auto"/>
              <w:bottom w:val="single" w:sz="4" w:space="0" w:color="auto"/>
              <w:right w:val="single" w:sz="4" w:space="0" w:color="auto"/>
            </w:tcBorders>
          </w:tcPr>
          <w:p w14:paraId="25F7E93D" w14:textId="77777777" w:rsidR="007661F0" w:rsidRPr="005C187F" w:rsidRDefault="007661F0" w:rsidP="00EA0376">
            <w:pPr>
              <w:pStyle w:val="Default"/>
              <w:jc w:val="both"/>
              <w:rPr>
                <w:color w:val="auto"/>
                <w:sz w:val="22"/>
                <w:szCs w:val="22"/>
                <w:lang w:val="sr-Latn-CS"/>
              </w:rPr>
            </w:pPr>
            <w:r w:rsidRPr="005C187F">
              <w:rPr>
                <w:color w:val="auto"/>
                <w:sz w:val="22"/>
                <w:szCs w:val="22"/>
                <w:lang w:val="sr-Latn-CS"/>
              </w:rPr>
              <w:t>Poremećaji nervnog sistema</w:t>
            </w:r>
          </w:p>
        </w:tc>
        <w:tc>
          <w:tcPr>
            <w:tcW w:w="0" w:type="auto"/>
            <w:tcBorders>
              <w:top w:val="single" w:sz="4" w:space="0" w:color="auto"/>
              <w:left w:val="single" w:sz="4" w:space="0" w:color="auto"/>
              <w:bottom w:val="single" w:sz="4" w:space="0" w:color="auto"/>
              <w:right w:val="single" w:sz="4" w:space="0" w:color="auto"/>
            </w:tcBorders>
          </w:tcPr>
          <w:p w14:paraId="25F7E93E" w14:textId="68F0E5E5" w:rsidR="007661F0" w:rsidRPr="005C187F" w:rsidRDefault="007661F0" w:rsidP="00EA0376">
            <w:pPr>
              <w:pStyle w:val="Default"/>
              <w:jc w:val="both"/>
              <w:rPr>
                <w:color w:val="auto"/>
                <w:sz w:val="22"/>
                <w:szCs w:val="22"/>
                <w:lang w:val="sr-Latn-CS"/>
              </w:rPr>
            </w:pPr>
            <w:r w:rsidRPr="005C187F">
              <w:rPr>
                <w:color w:val="auto"/>
                <w:sz w:val="22"/>
                <w:szCs w:val="22"/>
                <w:lang w:val="sr-Latn-CS"/>
              </w:rPr>
              <w:t xml:space="preserve">Povišen intrakranijalni pritisak s papiloedemom </w:t>
            </w:r>
            <w:r w:rsidRPr="005C187F">
              <w:rPr>
                <w:i/>
                <w:color w:val="auto"/>
                <w:sz w:val="22"/>
                <w:szCs w:val="22"/>
                <w:lang w:val="sr-Latn-CS"/>
              </w:rPr>
              <w:t>(pseudotumor cerebri</w:t>
            </w:r>
            <w:r w:rsidRPr="005C187F">
              <w:rPr>
                <w:color w:val="auto"/>
                <w:sz w:val="22"/>
                <w:szCs w:val="22"/>
                <w:lang w:val="sr-Latn-CS"/>
              </w:rPr>
              <w:t>)</w:t>
            </w:r>
            <w:r w:rsidR="003C7E7E" w:rsidRPr="005C187F">
              <w:rPr>
                <w:color w:val="auto"/>
                <w:sz w:val="22"/>
                <w:szCs w:val="22"/>
                <w:lang w:val="sr-Latn-CS"/>
              </w:rPr>
              <w:t xml:space="preserve">, </w:t>
            </w:r>
            <w:r w:rsidRPr="005C187F">
              <w:rPr>
                <w:color w:val="auto"/>
                <w:sz w:val="22"/>
                <w:szCs w:val="22"/>
                <w:lang w:val="sr-Latn-CS"/>
              </w:rPr>
              <w:t>manifestacije latentne epilepsije, pojačani napadi kod manifestne epilepsije</w:t>
            </w:r>
            <w:r w:rsidR="003C7E7E" w:rsidRPr="005C187F">
              <w:rPr>
                <w:color w:val="auto"/>
                <w:sz w:val="22"/>
                <w:szCs w:val="22"/>
                <w:lang w:val="sr-Latn-CS"/>
              </w:rPr>
              <w:t>.</w:t>
            </w:r>
          </w:p>
        </w:tc>
      </w:tr>
      <w:tr w:rsidR="00CA46C7" w:rsidRPr="00CA46C7" w14:paraId="25F7E942" w14:textId="77777777" w:rsidTr="00EA0376">
        <w:trPr>
          <w:trHeight w:val="606"/>
        </w:trPr>
        <w:tc>
          <w:tcPr>
            <w:tcW w:w="0" w:type="auto"/>
            <w:tcBorders>
              <w:top w:val="single" w:sz="4" w:space="0" w:color="auto"/>
              <w:left w:val="single" w:sz="4" w:space="0" w:color="auto"/>
              <w:bottom w:val="single" w:sz="4" w:space="0" w:color="auto"/>
              <w:right w:val="single" w:sz="4" w:space="0" w:color="auto"/>
            </w:tcBorders>
          </w:tcPr>
          <w:p w14:paraId="25F7E940" w14:textId="77777777" w:rsidR="007661F0" w:rsidRPr="005C187F" w:rsidRDefault="007661F0" w:rsidP="00EA0376">
            <w:pPr>
              <w:pStyle w:val="Default"/>
              <w:jc w:val="both"/>
              <w:rPr>
                <w:color w:val="auto"/>
                <w:sz w:val="22"/>
                <w:szCs w:val="22"/>
                <w:lang w:val="sr-Latn-CS"/>
              </w:rPr>
            </w:pPr>
            <w:r w:rsidRPr="005C187F">
              <w:rPr>
                <w:color w:val="auto"/>
                <w:sz w:val="22"/>
                <w:szCs w:val="22"/>
                <w:lang w:val="sr-Latn-CS"/>
              </w:rPr>
              <w:t xml:space="preserve">Poremećaji oka </w:t>
            </w:r>
          </w:p>
        </w:tc>
        <w:tc>
          <w:tcPr>
            <w:tcW w:w="0" w:type="auto"/>
            <w:tcBorders>
              <w:top w:val="single" w:sz="4" w:space="0" w:color="auto"/>
              <w:left w:val="single" w:sz="4" w:space="0" w:color="auto"/>
              <w:bottom w:val="single" w:sz="4" w:space="0" w:color="auto"/>
              <w:right w:val="single" w:sz="4" w:space="0" w:color="auto"/>
            </w:tcBorders>
          </w:tcPr>
          <w:p w14:paraId="25F7E941" w14:textId="5F52CE89" w:rsidR="007661F0" w:rsidRPr="005C187F" w:rsidRDefault="003C7E7E" w:rsidP="00EA0376">
            <w:pPr>
              <w:pStyle w:val="Default"/>
              <w:jc w:val="both"/>
              <w:rPr>
                <w:color w:val="auto"/>
                <w:sz w:val="22"/>
                <w:szCs w:val="22"/>
                <w:lang w:val="sr-Latn-CS"/>
              </w:rPr>
            </w:pPr>
            <w:r w:rsidRPr="005C187F">
              <w:rPr>
                <w:color w:val="auto"/>
                <w:sz w:val="22"/>
                <w:szCs w:val="22"/>
                <w:lang w:val="sr-Latn-CS"/>
              </w:rPr>
              <w:t>K</w:t>
            </w:r>
            <w:r w:rsidR="007661F0" w:rsidRPr="005C187F">
              <w:rPr>
                <w:color w:val="auto"/>
                <w:sz w:val="22"/>
                <w:szCs w:val="22"/>
                <w:lang w:val="sr-Latn-CS"/>
              </w:rPr>
              <w:t>atarakta, uglavnom s</w:t>
            </w:r>
            <w:r w:rsidRPr="005C187F">
              <w:rPr>
                <w:color w:val="auto"/>
                <w:sz w:val="22"/>
                <w:szCs w:val="22"/>
                <w:lang w:val="sr-Latn-CS"/>
              </w:rPr>
              <w:t>a</w:t>
            </w:r>
            <w:r w:rsidR="007661F0" w:rsidRPr="005C187F">
              <w:rPr>
                <w:color w:val="auto"/>
                <w:sz w:val="22"/>
                <w:szCs w:val="22"/>
                <w:lang w:val="sr-Latn-CS"/>
              </w:rPr>
              <w:t xml:space="preserve"> posteriornim subkapsularnim zamućenjem,</w:t>
            </w:r>
            <w:r w:rsidRPr="005C187F">
              <w:rPr>
                <w:color w:val="auto"/>
                <w:sz w:val="22"/>
                <w:szCs w:val="22"/>
                <w:lang w:val="sr-Latn-CS"/>
              </w:rPr>
              <w:t xml:space="preserve"> glaukom, pogoršanje simptoma povezanih sa ulkusima rožnjače, povećana učestalost virusnih, gljivičnih i bakterijskih inflamacija oka, pogoršanje bakterijske inflamacije rožnjače, ptoza, midrijaza, hemoza, jatrogena perforacija sklere, horioretinopatija, zamućen vid (vid</w:t>
            </w:r>
            <w:r w:rsidR="006838A6" w:rsidRPr="005C187F">
              <w:rPr>
                <w:color w:val="auto"/>
                <w:sz w:val="22"/>
                <w:szCs w:val="22"/>
                <w:lang w:val="sr-Latn-CS"/>
              </w:rPr>
              <w:t>j</w:t>
            </w:r>
            <w:r w:rsidRPr="005C187F">
              <w:rPr>
                <w:color w:val="auto"/>
                <w:sz w:val="22"/>
                <w:szCs w:val="22"/>
                <w:lang w:val="sr-Latn-CS"/>
              </w:rPr>
              <w:t xml:space="preserve">eti takođe </w:t>
            </w:r>
            <w:r w:rsidR="006838A6" w:rsidRPr="005C187F">
              <w:rPr>
                <w:color w:val="auto"/>
                <w:sz w:val="22"/>
                <w:szCs w:val="22"/>
                <w:lang w:val="sr-Latn-CS"/>
              </w:rPr>
              <w:t>dio</w:t>
            </w:r>
            <w:r w:rsidRPr="005C187F">
              <w:rPr>
                <w:color w:val="auto"/>
                <w:sz w:val="22"/>
                <w:szCs w:val="22"/>
                <w:lang w:val="sr-Latn-CS"/>
              </w:rPr>
              <w:t xml:space="preserve"> 4.4).</w:t>
            </w:r>
          </w:p>
        </w:tc>
      </w:tr>
      <w:tr w:rsidR="00CA46C7" w:rsidRPr="00CA46C7" w14:paraId="25F7E948" w14:textId="77777777" w:rsidTr="00EA0376">
        <w:trPr>
          <w:trHeight w:val="352"/>
        </w:trPr>
        <w:tc>
          <w:tcPr>
            <w:tcW w:w="0" w:type="auto"/>
            <w:tcBorders>
              <w:top w:val="single" w:sz="4" w:space="0" w:color="auto"/>
              <w:left w:val="single" w:sz="4" w:space="0" w:color="auto"/>
              <w:bottom w:val="single" w:sz="4" w:space="0" w:color="auto"/>
              <w:right w:val="single" w:sz="4" w:space="0" w:color="auto"/>
            </w:tcBorders>
          </w:tcPr>
          <w:p w14:paraId="25F7E946" w14:textId="77777777" w:rsidR="007661F0" w:rsidRPr="005C187F" w:rsidRDefault="007661F0" w:rsidP="00EA0376">
            <w:pPr>
              <w:pStyle w:val="Default"/>
              <w:jc w:val="both"/>
              <w:rPr>
                <w:color w:val="auto"/>
                <w:sz w:val="22"/>
                <w:szCs w:val="22"/>
                <w:lang w:val="sr-Latn-CS"/>
              </w:rPr>
            </w:pPr>
            <w:r w:rsidRPr="005C187F">
              <w:rPr>
                <w:color w:val="auto"/>
                <w:sz w:val="22"/>
                <w:szCs w:val="22"/>
                <w:lang w:val="sr-Latn-CS"/>
              </w:rPr>
              <w:t xml:space="preserve">Vaskularni poremećaji </w:t>
            </w:r>
          </w:p>
        </w:tc>
        <w:tc>
          <w:tcPr>
            <w:tcW w:w="0" w:type="auto"/>
            <w:tcBorders>
              <w:top w:val="single" w:sz="4" w:space="0" w:color="auto"/>
              <w:left w:val="single" w:sz="4" w:space="0" w:color="auto"/>
              <w:bottom w:val="single" w:sz="4" w:space="0" w:color="auto"/>
              <w:right w:val="single" w:sz="4" w:space="0" w:color="auto"/>
            </w:tcBorders>
          </w:tcPr>
          <w:p w14:paraId="25F7E947" w14:textId="4C69A3D9" w:rsidR="007661F0" w:rsidRPr="005C187F" w:rsidRDefault="007661F0" w:rsidP="00EA0376">
            <w:pPr>
              <w:pStyle w:val="Default"/>
              <w:jc w:val="both"/>
              <w:rPr>
                <w:color w:val="auto"/>
                <w:sz w:val="22"/>
                <w:szCs w:val="22"/>
                <w:lang w:val="sr-Latn-CS"/>
              </w:rPr>
            </w:pPr>
            <w:r w:rsidRPr="005C187F">
              <w:rPr>
                <w:color w:val="auto"/>
                <w:sz w:val="22"/>
                <w:szCs w:val="22"/>
                <w:lang w:val="sr-Latn-CS"/>
              </w:rPr>
              <w:t xml:space="preserve">Hipertenzija, </w:t>
            </w:r>
            <w:r w:rsidR="008D105F" w:rsidRPr="005C187F">
              <w:rPr>
                <w:color w:val="auto"/>
                <w:sz w:val="22"/>
                <w:szCs w:val="22"/>
                <w:lang w:val="sr-Latn-CS"/>
              </w:rPr>
              <w:t>povećan rizik od</w:t>
            </w:r>
            <w:r w:rsidRPr="005C187F">
              <w:rPr>
                <w:color w:val="auto"/>
                <w:sz w:val="22"/>
                <w:szCs w:val="22"/>
                <w:lang w:val="sr-Latn-CS"/>
              </w:rPr>
              <w:t xml:space="preserve"> ateroskleroz</w:t>
            </w:r>
            <w:r w:rsidR="008D105F" w:rsidRPr="005C187F">
              <w:rPr>
                <w:color w:val="auto"/>
                <w:sz w:val="22"/>
                <w:szCs w:val="22"/>
                <w:lang w:val="sr-Latn-CS"/>
              </w:rPr>
              <w:t>e</w:t>
            </w:r>
            <w:r w:rsidRPr="005C187F">
              <w:rPr>
                <w:color w:val="auto"/>
                <w:sz w:val="22"/>
                <w:szCs w:val="22"/>
                <w:lang w:val="sr-Latn-CS"/>
              </w:rPr>
              <w:t xml:space="preserve"> i</w:t>
            </w:r>
            <w:r w:rsidR="008D105F" w:rsidRPr="005C187F">
              <w:rPr>
                <w:color w:val="auto"/>
                <w:sz w:val="22"/>
                <w:szCs w:val="22"/>
                <w:lang w:val="sr-Latn-CS"/>
              </w:rPr>
              <w:t xml:space="preserve"> </w:t>
            </w:r>
            <w:r w:rsidRPr="005C187F">
              <w:rPr>
                <w:color w:val="auto"/>
                <w:sz w:val="22"/>
                <w:szCs w:val="22"/>
                <w:lang w:val="sr-Latn-CS"/>
              </w:rPr>
              <w:t>tromboze</w:t>
            </w:r>
            <w:r w:rsidR="00024E95" w:rsidRPr="005C187F">
              <w:rPr>
                <w:color w:val="auto"/>
                <w:sz w:val="22"/>
                <w:szCs w:val="22"/>
                <w:lang w:val="sr-Latn-CS"/>
              </w:rPr>
              <w:t xml:space="preserve">, vaskulitis (takođe kao sindrom obustave nakon dugotrajne terapije), povećana </w:t>
            </w:r>
            <w:r w:rsidR="00B2001A" w:rsidRPr="005C187F">
              <w:rPr>
                <w:color w:val="auto"/>
                <w:sz w:val="22"/>
                <w:szCs w:val="22"/>
                <w:lang w:val="sr-Latn-CS"/>
              </w:rPr>
              <w:t>neelastičnost</w:t>
            </w:r>
            <w:r w:rsidR="00024E95" w:rsidRPr="005C187F">
              <w:rPr>
                <w:color w:val="auto"/>
                <w:sz w:val="22"/>
                <w:szCs w:val="22"/>
                <w:lang w:val="sr-Latn-CS"/>
              </w:rPr>
              <w:t xml:space="preserve"> kapilara.</w:t>
            </w:r>
            <w:r w:rsidRPr="005C187F">
              <w:rPr>
                <w:color w:val="auto"/>
                <w:sz w:val="22"/>
                <w:szCs w:val="22"/>
                <w:lang w:val="sr-Latn-CS"/>
              </w:rPr>
              <w:t xml:space="preserve"> </w:t>
            </w:r>
          </w:p>
        </w:tc>
      </w:tr>
      <w:tr w:rsidR="00CA46C7" w:rsidRPr="00CA46C7" w14:paraId="25F7E94E" w14:textId="77777777" w:rsidTr="00EA0376">
        <w:trPr>
          <w:trHeight w:val="479"/>
        </w:trPr>
        <w:tc>
          <w:tcPr>
            <w:tcW w:w="0" w:type="auto"/>
            <w:tcBorders>
              <w:top w:val="single" w:sz="4" w:space="0" w:color="auto"/>
              <w:left w:val="single" w:sz="4" w:space="0" w:color="auto"/>
              <w:bottom w:val="single" w:sz="4" w:space="0" w:color="auto"/>
              <w:right w:val="single" w:sz="4" w:space="0" w:color="auto"/>
            </w:tcBorders>
          </w:tcPr>
          <w:p w14:paraId="25F7E94C" w14:textId="77777777" w:rsidR="007661F0" w:rsidRPr="005C187F" w:rsidRDefault="007661F0" w:rsidP="00EA0376">
            <w:pPr>
              <w:pStyle w:val="Default"/>
              <w:jc w:val="both"/>
              <w:rPr>
                <w:color w:val="auto"/>
                <w:sz w:val="22"/>
                <w:szCs w:val="22"/>
                <w:lang w:val="sr-Latn-CS"/>
              </w:rPr>
            </w:pPr>
            <w:r w:rsidRPr="005C187F">
              <w:rPr>
                <w:color w:val="auto"/>
                <w:sz w:val="22"/>
                <w:szCs w:val="22"/>
                <w:lang w:val="sr-Latn-CS"/>
              </w:rPr>
              <w:t>Gastrointestinalni poremećaji</w:t>
            </w:r>
          </w:p>
        </w:tc>
        <w:tc>
          <w:tcPr>
            <w:tcW w:w="0" w:type="auto"/>
            <w:tcBorders>
              <w:top w:val="single" w:sz="4" w:space="0" w:color="auto"/>
              <w:left w:val="single" w:sz="4" w:space="0" w:color="auto"/>
              <w:bottom w:val="single" w:sz="4" w:space="0" w:color="auto"/>
              <w:right w:val="single" w:sz="4" w:space="0" w:color="auto"/>
            </w:tcBorders>
          </w:tcPr>
          <w:p w14:paraId="25F7E94D" w14:textId="3C66454B" w:rsidR="007661F0" w:rsidRPr="005C187F" w:rsidRDefault="00024E95" w:rsidP="00EA0376">
            <w:pPr>
              <w:pStyle w:val="Default"/>
              <w:jc w:val="both"/>
              <w:rPr>
                <w:color w:val="auto"/>
                <w:sz w:val="22"/>
                <w:szCs w:val="22"/>
                <w:lang w:val="sr-Latn-CS"/>
              </w:rPr>
            </w:pPr>
            <w:r w:rsidRPr="005C187F">
              <w:rPr>
                <w:color w:val="auto"/>
                <w:sz w:val="22"/>
                <w:szCs w:val="22"/>
                <w:lang w:val="sr-Latn-CS"/>
              </w:rPr>
              <w:t>Gastrointestinalni ulkusi, gastrointestinalno krvarenje, pankreatitis, stomačne nelagode, štucanje.</w:t>
            </w:r>
            <w:r w:rsidR="007661F0" w:rsidRPr="005C187F">
              <w:rPr>
                <w:color w:val="auto"/>
                <w:sz w:val="22"/>
                <w:szCs w:val="22"/>
                <w:lang w:val="sr-Latn-CS"/>
              </w:rPr>
              <w:t xml:space="preserve"> </w:t>
            </w:r>
          </w:p>
        </w:tc>
      </w:tr>
      <w:tr w:rsidR="00CA46C7" w:rsidRPr="00CA46C7" w14:paraId="25F7E951" w14:textId="77777777" w:rsidTr="00EA0376">
        <w:trPr>
          <w:trHeight w:val="605"/>
        </w:trPr>
        <w:tc>
          <w:tcPr>
            <w:tcW w:w="0" w:type="auto"/>
            <w:tcBorders>
              <w:top w:val="single" w:sz="4" w:space="0" w:color="auto"/>
              <w:left w:val="single" w:sz="4" w:space="0" w:color="auto"/>
              <w:bottom w:val="single" w:sz="4" w:space="0" w:color="auto"/>
              <w:right w:val="single" w:sz="4" w:space="0" w:color="auto"/>
            </w:tcBorders>
          </w:tcPr>
          <w:p w14:paraId="25F7E94F" w14:textId="77777777" w:rsidR="007661F0" w:rsidRPr="005C187F" w:rsidRDefault="007661F0" w:rsidP="00EA0376">
            <w:pPr>
              <w:pStyle w:val="Default"/>
              <w:jc w:val="both"/>
              <w:rPr>
                <w:color w:val="auto"/>
                <w:sz w:val="22"/>
                <w:szCs w:val="22"/>
                <w:lang w:val="sr-Latn-CS"/>
              </w:rPr>
            </w:pPr>
            <w:r w:rsidRPr="005C187F">
              <w:rPr>
                <w:color w:val="auto"/>
                <w:sz w:val="22"/>
                <w:szCs w:val="22"/>
                <w:lang w:val="sr-Latn-CS"/>
              </w:rPr>
              <w:t xml:space="preserve">Poremećaji kože i potkožnog tkiva </w:t>
            </w:r>
          </w:p>
        </w:tc>
        <w:tc>
          <w:tcPr>
            <w:tcW w:w="0" w:type="auto"/>
            <w:tcBorders>
              <w:top w:val="single" w:sz="4" w:space="0" w:color="auto"/>
              <w:left w:val="single" w:sz="4" w:space="0" w:color="auto"/>
              <w:bottom w:val="single" w:sz="4" w:space="0" w:color="auto"/>
              <w:right w:val="single" w:sz="4" w:space="0" w:color="auto"/>
            </w:tcBorders>
          </w:tcPr>
          <w:p w14:paraId="25F7E950" w14:textId="3DFDEF39" w:rsidR="007661F0" w:rsidRPr="005C187F" w:rsidRDefault="00024E95" w:rsidP="00EA0376">
            <w:pPr>
              <w:pStyle w:val="Default"/>
              <w:jc w:val="both"/>
              <w:rPr>
                <w:color w:val="auto"/>
                <w:sz w:val="22"/>
                <w:szCs w:val="22"/>
                <w:lang w:val="sr-Latn-CS"/>
              </w:rPr>
            </w:pPr>
            <w:r w:rsidRPr="005C187F">
              <w:rPr>
                <w:i/>
                <w:iCs/>
                <w:color w:val="auto"/>
                <w:sz w:val="22"/>
                <w:szCs w:val="22"/>
                <w:lang w:val="sr-Latn-CS"/>
              </w:rPr>
              <w:t>Striae rubra</w:t>
            </w:r>
            <w:r w:rsidR="00520940" w:rsidRPr="005C187F">
              <w:rPr>
                <w:color w:val="auto"/>
              </w:rPr>
              <w:t xml:space="preserve"> (strije po koži)</w:t>
            </w:r>
            <w:r w:rsidRPr="005C187F">
              <w:rPr>
                <w:color w:val="auto"/>
                <w:sz w:val="22"/>
                <w:szCs w:val="22"/>
                <w:lang w:val="sr-Latn-CS"/>
              </w:rPr>
              <w:t>, atrofija, teleangiektazije, petehije, ekhimoza, hipertrihoza, steroidne akne, dermatitis sličan rozacei (perioralni), dermatitis, prom</w:t>
            </w:r>
            <w:r w:rsidR="00C344A9" w:rsidRPr="005C187F">
              <w:rPr>
                <w:color w:val="auto"/>
                <w:sz w:val="22"/>
                <w:szCs w:val="22"/>
                <w:lang w:val="sr-Latn-CS"/>
              </w:rPr>
              <w:t>j</w:t>
            </w:r>
            <w:r w:rsidRPr="005C187F">
              <w:rPr>
                <w:color w:val="auto"/>
                <w:sz w:val="22"/>
                <w:szCs w:val="22"/>
                <w:lang w:val="sr-Latn-CS"/>
              </w:rPr>
              <w:t>ene pigmentacije kože.</w:t>
            </w:r>
          </w:p>
        </w:tc>
      </w:tr>
      <w:tr w:rsidR="00CA46C7" w:rsidRPr="00CA46C7" w14:paraId="25F7E954" w14:textId="77777777" w:rsidTr="00EA0376">
        <w:trPr>
          <w:trHeight w:val="479"/>
        </w:trPr>
        <w:tc>
          <w:tcPr>
            <w:tcW w:w="0" w:type="auto"/>
            <w:tcBorders>
              <w:top w:val="single" w:sz="4" w:space="0" w:color="auto"/>
              <w:left w:val="single" w:sz="4" w:space="0" w:color="auto"/>
              <w:bottom w:val="single" w:sz="4" w:space="0" w:color="auto"/>
              <w:right w:val="single" w:sz="4" w:space="0" w:color="auto"/>
            </w:tcBorders>
          </w:tcPr>
          <w:p w14:paraId="25F7E952" w14:textId="77777777" w:rsidR="007661F0" w:rsidRPr="005C187F" w:rsidRDefault="007661F0" w:rsidP="00EA0376">
            <w:pPr>
              <w:pStyle w:val="Default"/>
              <w:jc w:val="both"/>
              <w:rPr>
                <w:color w:val="auto"/>
                <w:sz w:val="22"/>
                <w:szCs w:val="22"/>
                <w:lang w:val="sr-Latn-CS"/>
              </w:rPr>
            </w:pPr>
            <w:r w:rsidRPr="005C187F">
              <w:rPr>
                <w:color w:val="auto"/>
                <w:sz w:val="22"/>
                <w:szCs w:val="22"/>
                <w:lang w:val="sr-Latn-CS"/>
              </w:rPr>
              <w:t xml:space="preserve">Poremećaji mišićno-koštanog sistema i vezivnog tkiva </w:t>
            </w:r>
          </w:p>
        </w:tc>
        <w:tc>
          <w:tcPr>
            <w:tcW w:w="0" w:type="auto"/>
            <w:tcBorders>
              <w:top w:val="single" w:sz="4" w:space="0" w:color="auto"/>
              <w:left w:val="single" w:sz="4" w:space="0" w:color="auto"/>
              <w:bottom w:val="single" w:sz="4" w:space="0" w:color="auto"/>
              <w:right w:val="single" w:sz="4" w:space="0" w:color="auto"/>
            </w:tcBorders>
          </w:tcPr>
          <w:p w14:paraId="1A9E23B8" w14:textId="12512D0A" w:rsidR="00912B56" w:rsidRPr="005C187F" w:rsidRDefault="00912B56" w:rsidP="00EA0376">
            <w:pPr>
              <w:pStyle w:val="Default"/>
              <w:jc w:val="both"/>
              <w:rPr>
                <w:color w:val="auto"/>
                <w:sz w:val="22"/>
                <w:szCs w:val="22"/>
                <w:lang w:val="sr-Latn-CS"/>
              </w:rPr>
            </w:pPr>
            <w:r w:rsidRPr="005C187F">
              <w:rPr>
                <w:color w:val="auto"/>
                <w:sz w:val="22"/>
                <w:szCs w:val="22"/>
                <w:lang w:val="sr-Latn-CS"/>
              </w:rPr>
              <w:t>Miopatija, atrofija i slabost mišića, ostoporoza (dozno-zavisna, moguća i prilikom kratkotrajne prim</w:t>
            </w:r>
            <w:r w:rsidR="00C344A9" w:rsidRPr="005C187F">
              <w:rPr>
                <w:color w:val="auto"/>
                <w:sz w:val="22"/>
                <w:szCs w:val="22"/>
                <w:lang w:val="sr-Latn-CS"/>
              </w:rPr>
              <w:t>j</w:t>
            </w:r>
            <w:r w:rsidRPr="005C187F">
              <w:rPr>
                <w:color w:val="auto"/>
                <w:sz w:val="22"/>
                <w:szCs w:val="22"/>
                <w:lang w:val="sr-Latn-CS"/>
              </w:rPr>
              <w:t>ene), aseptična nekroza kostiju, poremećaji tetiva, tendinitis, ruptura tetive, epiduralna lipomatoza, usporen rast kod d</w:t>
            </w:r>
            <w:r w:rsidR="00C344A9" w:rsidRPr="005C187F">
              <w:rPr>
                <w:color w:val="auto"/>
                <w:sz w:val="22"/>
                <w:szCs w:val="22"/>
                <w:lang w:val="sr-Latn-CS"/>
              </w:rPr>
              <w:t>j</w:t>
            </w:r>
            <w:r w:rsidRPr="005C187F">
              <w:rPr>
                <w:color w:val="auto"/>
                <w:sz w:val="22"/>
                <w:szCs w:val="22"/>
                <w:lang w:val="sr-Latn-CS"/>
              </w:rPr>
              <w:t>ece.</w:t>
            </w:r>
          </w:p>
          <w:p w14:paraId="7D507C28" w14:textId="77777777" w:rsidR="00912B56" w:rsidRPr="005C187F" w:rsidRDefault="00912B56" w:rsidP="00EA0376">
            <w:pPr>
              <w:pStyle w:val="Default"/>
              <w:jc w:val="both"/>
              <w:rPr>
                <w:color w:val="auto"/>
                <w:sz w:val="22"/>
                <w:szCs w:val="22"/>
                <w:lang w:val="sr-Latn-CS"/>
              </w:rPr>
            </w:pPr>
          </w:p>
          <w:p w14:paraId="4C288BFC" w14:textId="77777777" w:rsidR="00912B56" w:rsidRPr="005C187F" w:rsidRDefault="00912B56" w:rsidP="00EA0376">
            <w:pPr>
              <w:pStyle w:val="Default"/>
              <w:jc w:val="both"/>
              <w:rPr>
                <w:color w:val="auto"/>
                <w:sz w:val="22"/>
                <w:szCs w:val="22"/>
                <w:lang w:val="sr-Latn-CS"/>
              </w:rPr>
            </w:pPr>
            <w:r w:rsidRPr="005C187F">
              <w:rPr>
                <w:color w:val="auto"/>
                <w:sz w:val="22"/>
                <w:szCs w:val="22"/>
                <w:lang w:val="sr-Latn-CS"/>
              </w:rPr>
              <w:t>Napomena:</w:t>
            </w:r>
          </w:p>
          <w:p w14:paraId="25F7E953" w14:textId="0BBF92FA" w:rsidR="007661F0" w:rsidRPr="005C187F" w:rsidRDefault="00BB147A" w:rsidP="00EA0376">
            <w:pPr>
              <w:pStyle w:val="Default"/>
              <w:jc w:val="both"/>
              <w:rPr>
                <w:color w:val="auto"/>
                <w:sz w:val="22"/>
                <w:szCs w:val="22"/>
                <w:lang w:val="sr-Latn-CS"/>
              </w:rPr>
            </w:pPr>
            <w:r w:rsidRPr="005C187F">
              <w:rPr>
                <w:color w:val="auto"/>
                <w:sz w:val="22"/>
                <w:szCs w:val="22"/>
                <w:lang w:val="sr-Latn-CS"/>
              </w:rPr>
              <w:t>Naglo</w:t>
            </w:r>
            <w:r w:rsidR="00912B56" w:rsidRPr="005C187F">
              <w:rPr>
                <w:color w:val="auto"/>
                <w:sz w:val="22"/>
                <w:szCs w:val="22"/>
                <w:lang w:val="sr-Latn-CS"/>
              </w:rPr>
              <w:t xml:space="preserve"> smanjenje doze nakon dugotrajne terapije može izazvati simptome poput bola u mišićima i zglobovima.</w:t>
            </w:r>
            <w:r w:rsidR="007661F0" w:rsidRPr="005C187F">
              <w:rPr>
                <w:color w:val="auto"/>
                <w:sz w:val="22"/>
                <w:szCs w:val="22"/>
                <w:lang w:val="sr-Latn-CS"/>
              </w:rPr>
              <w:t xml:space="preserve"> </w:t>
            </w:r>
          </w:p>
        </w:tc>
      </w:tr>
      <w:tr w:rsidR="00CA46C7" w:rsidRPr="00CA46C7" w14:paraId="25F7E957" w14:textId="77777777" w:rsidTr="00EA0376">
        <w:trPr>
          <w:trHeight w:val="226"/>
        </w:trPr>
        <w:tc>
          <w:tcPr>
            <w:tcW w:w="0" w:type="auto"/>
            <w:tcBorders>
              <w:top w:val="single" w:sz="4" w:space="0" w:color="auto"/>
              <w:left w:val="single" w:sz="4" w:space="0" w:color="auto"/>
              <w:bottom w:val="single" w:sz="4" w:space="0" w:color="auto"/>
              <w:right w:val="single" w:sz="4" w:space="0" w:color="auto"/>
            </w:tcBorders>
          </w:tcPr>
          <w:p w14:paraId="25F7E955" w14:textId="77777777" w:rsidR="007661F0" w:rsidRPr="005C187F" w:rsidRDefault="007661F0" w:rsidP="00EA0376">
            <w:pPr>
              <w:pStyle w:val="Default"/>
              <w:jc w:val="both"/>
              <w:rPr>
                <w:color w:val="auto"/>
                <w:sz w:val="22"/>
                <w:szCs w:val="22"/>
                <w:lang w:val="sr-Latn-CS"/>
              </w:rPr>
            </w:pPr>
            <w:r w:rsidRPr="005C187F">
              <w:rPr>
                <w:color w:val="auto"/>
                <w:sz w:val="22"/>
                <w:szCs w:val="22"/>
                <w:lang w:val="sr-Latn-CS"/>
              </w:rPr>
              <w:t xml:space="preserve">Poremećaji reproduktivnog sistema i dojki </w:t>
            </w:r>
          </w:p>
        </w:tc>
        <w:tc>
          <w:tcPr>
            <w:tcW w:w="0" w:type="auto"/>
            <w:tcBorders>
              <w:top w:val="single" w:sz="4" w:space="0" w:color="auto"/>
              <w:left w:val="single" w:sz="4" w:space="0" w:color="auto"/>
              <w:bottom w:val="single" w:sz="4" w:space="0" w:color="auto"/>
              <w:right w:val="single" w:sz="4" w:space="0" w:color="auto"/>
            </w:tcBorders>
          </w:tcPr>
          <w:p w14:paraId="25F7E956" w14:textId="4F399181" w:rsidR="007661F0" w:rsidRPr="005C187F" w:rsidRDefault="009A2DD6" w:rsidP="00EA0376">
            <w:pPr>
              <w:pStyle w:val="Default"/>
              <w:jc w:val="both"/>
              <w:rPr>
                <w:color w:val="auto"/>
                <w:sz w:val="22"/>
                <w:szCs w:val="22"/>
                <w:lang w:val="sr-Latn-CS"/>
              </w:rPr>
            </w:pPr>
            <w:r w:rsidRPr="005C187F">
              <w:rPr>
                <w:color w:val="auto"/>
                <w:sz w:val="22"/>
                <w:szCs w:val="22"/>
                <w:lang w:val="sr-Latn-CS"/>
              </w:rPr>
              <w:t>Poremećaji sekrecije polnih hormona (posl</w:t>
            </w:r>
            <w:r w:rsidR="00C344A9" w:rsidRPr="005C187F">
              <w:rPr>
                <w:color w:val="auto"/>
                <w:sz w:val="22"/>
                <w:szCs w:val="22"/>
                <w:lang w:val="sr-Latn-CS"/>
              </w:rPr>
              <w:t>j</w:t>
            </w:r>
            <w:r w:rsidRPr="005C187F">
              <w:rPr>
                <w:color w:val="auto"/>
                <w:sz w:val="22"/>
                <w:szCs w:val="22"/>
                <w:lang w:val="sr-Latn-CS"/>
              </w:rPr>
              <w:t xml:space="preserve">edično neredovne menstruacije, amenoreja, hirzutizam, impotencija). </w:t>
            </w:r>
          </w:p>
        </w:tc>
      </w:tr>
      <w:tr w:rsidR="007661F0" w:rsidRPr="00CA46C7" w14:paraId="25F7E95A" w14:textId="77777777" w:rsidTr="00EA0376">
        <w:trPr>
          <w:trHeight w:val="376"/>
        </w:trPr>
        <w:tc>
          <w:tcPr>
            <w:tcW w:w="0" w:type="auto"/>
            <w:tcBorders>
              <w:top w:val="single" w:sz="4" w:space="0" w:color="auto"/>
              <w:left w:val="single" w:sz="4" w:space="0" w:color="auto"/>
              <w:bottom w:val="single" w:sz="4" w:space="0" w:color="auto"/>
              <w:right w:val="single" w:sz="4" w:space="0" w:color="auto"/>
            </w:tcBorders>
          </w:tcPr>
          <w:p w14:paraId="25F7E958" w14:textId="1F2602FD" w:rsidR="007661F0" w:rsidRPr="005C187F" w:rsidRDefault="007661F0" w:rsidP="00EA0376">
            <w:pPr>
              <w:pStyle w:val="Default"/>
              <w:jc w:val="both"/>
              <w:rPr>
                <w:color w:val="auto"/>
                <w:sz w:val="22"/>
                <w:szCs w:val="22"/>
                <w:lang w:val="sr-Latn-CS"/>
              </w:rPr>
            </w:pPr>
            <w:r w:rsidRPr="005C187F">
              <w:rPr>
                <w:color w:val="auto"/>
                <w:sz w:val="22"/>
                <w:szCs w:val="22"/>
                <w:lang w:val="sr-Latn-CS"/>
              </w:rPr>
              <w:t>Opšti poremećaji i reakcije na m</w:t>
            </w:r>
            <w:r w:rsidR="00C344A9" w:rsidRPr="005C187F">
              <w:rPr>
                <w:color w:val="auto"/>
                <w:sz w:val="22"/>
                <w:szCs w:val="22"/>
                <w:lang w:val="sr-Latn-CS"/>
              </w:rPr>
              <w:t>j</w:t>
            </w:r>
            <w:r w:rsidRPr="005C187F">
              <w:rPr>
                <w:color w:val="auto"/>
                <w:sz w:val="22"/>
                <w:szCs w:val="22"/>
                <w:lang w:val="sr-Latn-CS"/>
              </w:rPr>
              <w:t>estu prim</w:t>
            </w:r>
            <w:r w:rsidR="00C344A9" w:rsidRPr="005C187F">
              <w:rPr>
                <w:color w:val="auto"/>
                <w:sz w:val="22"/>
                <w:szCs w:val="22"/>
                <w:lang w:val="sr-Latn-CS"/>
              </w:rPr>
              <w:t>j</w:t>
            </w:r>
            <w:r w:rsidRPr="005C187F">
              <w:rPr>
                <w:color w:val="auto"/>
                <w:sz w:val="22"/>
                <w:szCs w:val="22"/>
                <w:lang w:val="sr-Latn-CS"/>
              </w:rPr>
              <w:t xml:space="preserve">ene </w:t>
            </w:r>
          </w:p>
        </w:tc>
        <w:tc>
          <w:tcPr>
            <w:tcW w:w="0" w:type="auto"/>
            <w:tcBorders>
              <w:top w:val="single" w:sz="4" w:space="0" w:color="auto"/>
              <w:left w:val="single" w:sz="4" w:space="0" w:color="auto"/>
              <w:bottom w:val="single" w:sz="4" w:space="0" w:color="auto"/>
              <w:right w:val="single" w:sz="4" w:space="0" w:color="auto"/>
            </w:tcBorders>
          </w:tcPr>
          <w:p w14:paraId="25F7E959" w14:textId="4437439C" w:rsidR="007661F0" w:rsidRPr="005C187F" w:rsidRDefault="00C56CD3" w:rsidP="00EA0376">
            <w:pPr>
              <w:pStyle w:val="Default"/>
              <w:jc w:val="both"/>
              <w:rPr>
                <w:color w:val="auto"/>
                <w:sz w:val="22"/>
                <w:szCs w:val="22"/>
                <w:lang w:val="sr-Latn-CS"/>
              </w:rPr>
            </w:pPr>
            <w:r w:rsidRPr="005C187F">
              <w:rPr>
                <w:color w:val="auto"/>
                <w:sz w:val="22"/>
                <w:szCs w:val="22"/>
                <w:lang w:val="sr-Latn-CS"/>
              </w:rPr>
              <w:t>Usporeno</w:t>
            </w:r>
            <w:r w:rsidR="007661F0" w:rsidRPr="005C187F">
              <w:rPr>
                <w:color w:val="auto"/>
                <w:sz w:val="22"/>
                <w:szCs w:val="22"/>
                <w:lang w:val="sr-Latn-CS"/>
              </w:rPr>
              <w:t xml:space="preserve"> zarastanje rana</w:t>
            </w:r>
            <w:r w:rsidR="009A2DD6" w:rsidRPr="005C187F">
              <w:rPr>
                <w:color w:val="auto"/>
                <w:sz w:val="22"/>
                <w:szCs w:val="22"/>
                <w:lang w:val="sr-Latn-CS"/>
              </w:rPr>
              <w:t>.</w:t>
            </w:r>
            <w:r w:rsidR="007661F0" w:rsidRPr="005C187F">
              <w:rPr>
                <w:color w:val="auto"/>
                <w:sz w:val="22"/>
                <w:szCs w:val="22"/>
                <w:lang w:val="sr-Latn-CS"/>
              </w:rPr>
              <w:t xml:space="preserve"> </w:t>
            </w:r>
          </w:p>
        </w:tc>
      </w:tr>
    </w:tbl>
    <w:p w14:paraId="25F7E95D" w14:textId="77777777" w:rsidR="007661F0" w:rsidRPr="005C187F" w:rsidRDefault="007661F0" w:rsidP="00EA0376">
      <w:pPr>
        <w:pStyle w:val="Default"/>
        <w:jc w:val="both"/>
        <w:rPr>
          <w:color w:val="auto"/>
          <w:sz w:val="22"/>
          <w:szCs w:val="22"/>
          <w:lang w:val="sr-Latn-CS"/>
        </w:rPr>
      </w:pPr>
    </w:p>
    <w:p w14:paraId="0728728E" w14:textId="77777777" w:rsidR="00FB697D" w:rsidRPr="00CA46C7" w:rsidRDefault="00FB697D" w:rsidP="00EA0376">
      <w:pPr>
        <w:tabs>
          <w:tab w:val="clear" w:pos="284"/>
        </w:tabs>
        <w:spacing w:line="276" w:lineRule="auto"/>
        <w:jc w:val="left"/>
        <w:rPr>
          <w:rFonts w:eastAsia="Calibri"/>
          <w:szCs w:val="22"/>
          <w:u w:val="single"/>
          <w:lang w:val="sr-Latn-RS"/>
        </w:rPr>
      </w:pPr>
      <w:r w:rsidRPr="00CA46C7">
        <w:rPr>
          <w:rFonts w:eastAsia="Calibri"/>
          <w:szCs w:val="22"/>
          <w:u w:val="single"/>
          <w:lang w:val="sr-Latn-RS"/>
        </w:rPr>
        <w:t>Prijavljivanje sumnji na neželjena dejstva</w:t>
      </w:r>
    </w:p>
    <w:p w14:paraId="35BF5733" w14:textId="77777777" w:rsidR="00FB697D" w:rsidRPr="00CA46C7" w:rsidRDefault="00FB697D" w:rsidP="00EA0376">
      <w:pPr>
        <w:tabs>
          <w:tab w:val="clear" w:pos="284"/>
        </w:tabs>
        <w:rPr>
          <w:rFonts w:eastAsia="Calibri"/>
          <w:szCs w:val="22"/>
          <w:lang w:val="sr-Latn-RS"/>
        </w:rPr>
      </w:pPr>
      <w:r w:rsidRPr="00CA46C7">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881206A" w14:textId="77777777" w:rsidR="00FB697D" w:rsidRPr="00CA46C7" w:rsidRDefault="00FB697D" w:rsidP="00EA0376">
      <w:pPr>
        <w:tabs>
          <w:tab w:val="clear" w:pos="284"/>
        </w:tabs>
        <w:rPr>
          <w:rFonts w:eastAsia="Calibri"/>
          <w:szCs w:val="22"/>
          <w:lang w:val="sr-Latn-RS"/>
        </w:rPr>
      </w:pPr>
      <w:r w:rsidRPr="00CA46C7">
        <w:rPr>
          <w:rFonts w:eastAsia="Calibri"/>
          <w:szCs w:val="22"/>
          <w:lang w:val="sr-Latn-RS"/>
        </w:rPr>
        <w:t xml:space="preserve">Institut za ljekove i medicinska sredstva </w:t>
      </w:r>
    </w:p>
    <w:p w14:paraId="5CC530AA" w14:textId="77777777" w:rsidR="00FB697D" w:rsidRPr="00CA46C7" w:rsidRDefault="00FB697D" w:rsidP="00EA0376">
      <w:pPr>
        <w:tabs>
          <w:tab w:val="clear" w:pos="284"/>
        </w:tabs>
        <w:rPr>
          <w:rFonts w:eastAsia="Calibri"/>
          <w:szCs w:val="22"/>
          <w:lang w:val="sr-Latn-RS"/>
        </w:rPr>
      </w:pPr>
      <w:r w:rsidRPr="00CA46C7">
        <w:rPr>
          <w:rFonts w:eastAsia="Calibri"/>
          <w:szCs w:val="22"/>
          <w:lang w:val="sr-Latn-RS"/>
        </w:rPr>
        <w:lastRenderedPageBreak/>
        <w:t>Odjeljenje za farmakovigilancu</w:t>
      </w:r>
    </w:p>
    <w:p w14:paraId="13E8BF67" w14:textId="77777777" w:rsidR="00FB697D" w:rsidRPr="00CA46C7" w:rsidRDefault="00FB697D" w:rsidP="00EA0376">
      <w:pPr>
        <w:tabs>
          <w:tab w:val="clear" w:pos="284"/>
        </w:tabs>
        <w:rPr>
          <w:rFonts w:eastAsia="Calibri"/>
          <w:szCs w:val="22"/>
          <w:lang w:val="sr-Latn-RS"/>
        </w:rPr>
      </w:pPr>
      <w:r w:rsidRPr="00CA46C7">
        <w:rPr>
          <w:rFonts w:eastAsia="Calibri"/>
          <w:szCs w:val="22"/>
          <w:lang w:val="sr-Latn-RS"/>
        </w:rPr>
        <w:t>Bulevar Ivana Crnojevića 64a, 81000 Podgorica</w:t>
      </w:r>
    </w:p>
    <w:p w14:paraId="63039D7F" w14:textId="77777777" w:rsidR="00FB697D" w:rsidRPr="00CA46C7" w:rsidRDefault="00FB697D" w:rsidP="00EA0376">
      <w:pPr>
        <w:tabs>
          <w:tab w:val="clear" w:pos="284"/>
        </w:tabs>
        <w:jc w:val="left"/>
        <w:rPr>
          <w:rFonts w:eastAsia="Calibri"/>
          <w:szCs w:val="22"/>
          <w:lang w:val="sr-Latn-RS"/>
        </w:rPr>
      </w:pPr>
    </w:p>
    <w:p w14:paraId="1CBDEB21" w14:textId="77777777" w:rsidR="00FB697D" w:rsidRPr="00CA46C7" w:rsidRDefault="00FB697D" w:rsidP="00EA0376">
      <w:pPr>
        <w:tabs>
          <w:tab w:val="clear" w:pos="284"/>
        </w:tabs>
        <w:rPr>
          <w:rFonts w:eastAsia="Calibri"/>
          <w:szCs w:val="22"/>
          <w:lang w:val="sr-Latn-RS"/>
        </w:rPr>
      </w:pPr>
      <w:r w:rsidRPr="00CA46C7">
        <w:rPr>
          <w:rFonts w:eastAsia="Calibri"/>
          <w:szCs w:val="22"/>
          <w:lang w:val="sr-Latn-RS"/>
        </w:rPr>
        <w:t>tel: +382 (0) 20 310 280</w:t>
      </w:r>
    </w:p>
    <w:p w14:paraId="3CF20A3C" w14:textId="77777777" w:rsidR="00FB697D" w:rsidRPr="00CA46C7" w:rsidRDefault="00FB697D" w:rsidP="00EA0376">
      <w:pPr>
        <w:tabs>
          <w:tab w:val="clear" w:pos="284"/>
          <w:tab w:val="left" w:pos="6720"/>
        </w:tabs>
        <w:rPr>
          <w:rFonts w:eastAsia="Calibri"/>
          <w:szCs w:val="22"/>
          <w:lang w:val="sr-Latn-RS"/>
        </w:rPr>
      </w:pPr>
      <w:r w:rsidRPr="00CA46C7">
        <w:rPr>
          <w:rFonts w:eastAsia="Calibri"/>
          <w:szCs w:val="22"/>
          <w:lang w:val="sr-Latn-RS"/>
        </w:rPr>
        <w:t>fax: +382 (0) 20 310 581</w:t>
      </w:r>
      <w:r w:rsidRPr="00CA46C7">
        <w:rPr>
          <w:rFonts w:eastAsia="Calibri"/>
          <w:szCs w:val="22"/>
          <w:lang w:val="sr-Latn-RS"/>
        </w:rPr>
        <w:tab/>
      </w:r>
    </w:p>
    <w:p w14:paraId="2C7F70F2" w14:textId="77777777" w:rsidR="00FB697D" w:rsidRPr="00CA46C7" w:rsidRDefault="00971EC4" w:rsidP="00EA0376">
      <w:pPr>
        <w:tabs>
          <w:tab w:val="clear" w:pos="284"/>
        </w:tabs>
        <w:rPr>
          <w:rFonts w:eastAsia="Calibri"/>
          <w:szCs w:val="22"/>
          <w:lang w:val="sr-Latn-RS"/>
        </w:rPr>
      </w:pPr>
      <w:hyperlink r:id="rId8" w:history="1">
        <w:r w:rsidR="00FB697D" w:rsidRPr="005C187F">
          <w:rPr>
            <w:rFonts w:eastAsia="Calibri"/>
            <w:szCs w:val="22"/>
            <w:u w:val="single"/>
            <w:lang w:val="sr-Latn-RS"/>
          </w:rPr>
          <w:t>www.cinmed.me</w:t>
        </w:r>
      </w:hyperlink>
    </w:p>
    <w:p w14:paraId="301CC2E4" w14:textId="77777777" w:rsidR="00FB697D" w:rsidRPr="005C187F" w:rsidRDefault="00971EC4" w:rsidP="00EA0376">
      <w:pPr>
        <w:tabs>
          <w:tab w:val="clear" w:pos="284"/>
        </w:tabs>
        <w:rPr>
          <w:rFonts w:eastAsia="Calibri"/>
          <w:szCs w:val="22"/>
          <w:u w:val="single"/>
          <w:lang w:val="sr-Latn-RS"/>
        </w:rPr>
      </w:pPr>
      <w:hyperlink r:id="rId9" w:history="1">
        <w:r w:rsidR="00FB697D" w:rsidRPr="005C187F">
          <w:rPr>
            <w:rFonts w:eastAsia="Calibri"/>
            <w:szCs w:val="22"/>
            <w:u w:val="single"/>
            <w:lang w:val="sr-Latn-RS"/>
          </w:rPr>
          <w:t>nezeljenadejstva@cinmed.me</w:t>
        </w:r>
      </w:hyperlink>
    </w:p>
    <w:p w14:paraId="5A6D6989" w14:textId="77777777" w:rsidR="00FB697D" w:rsidRPr="00CA46C7" w:rsidRDefault="00FB697D" w:rsidP="00EA0376">
      <w:pPr>
        <w:tabs>
          <w:tab w:val="clear" w:pos="284"/>
        </w:tabs>
        <w:rPr>
          <w:rFonts w:eastAsia="Calibri"/>
          <w:szCs w:val="22"/>
          <w:lang w:val="sr-Latn-RS"/>
        </w:rPr>
      </w:pPr>
      <w:r w:rsidRPr="00CA46C7">
        <w:rPr>
          <w:rFonts w:eastAsia="Calibri"/>
          <w:szCs w:val="22"/>
          <w:lang w:val="sr-Latn-RS"/>
        </w:rPr>
        <w:t>putem IS zdravstvene zaštite</w:t>
      </w:r>
    </w:p>
    <w:p w14:paraId="32769C44" w14:textId="77777777" w:rsidR="00FB697D" w:rsidRPr="00CA46C7" w:rsidRDefault="00FB697D" w:rsidP="00EA0376">
      <w:pPr>
        <w:tabs>
          <w:tab w:val="clear" w:pos="284"/>
        </w:tabs>
        <w:rPr>
          <w:rFonts w:eastAsia="Calibri"/>
          <w:szCs w:val="22"/>
          <w:lang w:val="sr-Latn-RS"/>
        </w:rPr>
      </w:pPr>
      <w:r w:rsidRPr="00CA46C7">
        <w:rPr>
          <w:rFonts w:eastAsia="Calibri"/>
          <w:szCs w:val="22"/>
          <w:lang w:val="sr-Latn-RS"/>
        </w:rPr>
        <w:t>QR kod za online prijavu sumnje na neželjeno dejstvo lijeka:</w:t>
      </w:r>
    </w:p>
    <w:p w14:paraId="0B559AF9" w14:textId="77777777" w:rsidR="00FB697D" w:rsidRPr="00CA46C7" w:rsidRDefault="00FB697D" w:rsidP="00EA0376">
      <w:pPr>
        <w:tabs>
          <w:tab w:val="clear" w:pos="284"/>
        </w:tabs>
        <w:rPr>
          <w:rFonts w:eastAsia="Calibri"/>
          <w:szCs w:val="22"/>
          <w:lang w:val="sr-Latn-RS"/>
        </w:rPr>
      </w:pPr>
    </w:p>
    <w:p w14:paraId="6E26F3C2" w14:textId="055F748A" w:rsidR="00FB697D" w:rsidRPr="00CA46C7" w:rsidRDefault="00971EC4" w:rsidP="00EA0376">
      <w:pPr>
        <w:tabs>
          <w:tab w:val="clear" w:pos="284"/>
        </w:tabs>
        <w:jc w:val="left"/>
        <w:rPr>
          <w:rFonts w:eastAsia="Calibri"/>
          <w:szCs w:val="22"/>
          <w:lang w:val="sr-Latn-RS"/>
        </w:rPr>
      </w:pPr>
      <w:hyperlink r:id="rId10" w:history="1">
        <w:r w:rsidR="00EA0376">
          <w:rPr>
            <w:noProof/>
            <w:sz w:val="24"/>
          </w:rPr>
          <w:pict w14:anchorId="72618C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https://cinmed.me/wp-content/uploads/2022/11/Online-prijava-NDL-QR-code-300x300.jpg" href="https://primaryreporting.who-umc.org/ME" style="width:76.5pt;height:76.5pt;visibility:visible;mso-wrap-style:square" o:button="t">
              <v:fill o:detectmouseclick="t"/>
              <v:imagedata r:id="rId11" o:title="Online-prijava-NDL-QR-code-300x300"/>
            </v:shape>
          </w:pict>
        </w:r>
      </w:hyperlink>
    </w:p>
    <w:p w14:paraId="25F7E981" w14:textId="77777777" w:rsidR="007661F0" w:rsidRPr="00CA46C7" w:rsidRDefault="007661F0" w:rsidP="00EA0376">
      <w:pPr>
        <w:rPr>
          <w:szCs w:val="22"/>
          <w:lang w:val="sr-Latn-CS"/>
        </w:rPr>
      </w:pPr>
    </w:p>
    <w:p w14:paraId="25F7E982" w14:textId="77777777" w:rsidR="007661F0" w:rsidRPr="00CA46C7" w:rsidRDefault="007661F0" w:rsidP="00EA0376">
      <w:pPr>
        <w:rPr>
          <w:b/>
          <w:bCs/>
          <w:szCs w:val="22"/>
          <w:lang w:val="sr-Latn-CS"/>
        </w:rPr>
      </w:pPr>
      <w:r w:rsidRPr="00CA46C7">
        <w:rPr>
          <w:b/>
          <w:bCs/>
          <w:szCs w:val="22"/>
          <w:lang w:val="sr-Latn-CS"/>
        </w:rPr>
        <w:t>4.9. Predoziranje</w:t>
      </w:r>
    </w:p>
    <w:p w14:paraId="25F7E983" w14:textId="77777777" w:rsidR="007661F0" w:rsidRPr="005C187F" w:rsidRDefault="007661F0" w:rsidP="00EA0376">
      <w:pPr>
        <w:pStyle w:val="Default"/>
        <w:jc w:val="both"/>
        <w:rPr>
          <w:color w:val="auto"/>
          <w:sz w:val="22"/>
          <w:szCs w:val="22"/>
          <w:lang w:val="sr-Latn-CS"/>
        </w:rPr>
      </w:pPr>
    </w:p>
    <w:p w14:paraId="25F7E984" w14:textId="77777777" w:rsidR="007661F0" w:rsidRPr="005C187F" w:rsidRDefault="007661F0" w:rsidP="00EA0376">
      <w:pPr>
        <w:pStyle w:val="Default"/>
        <w:jc w:val="both"/>
        <w:rPr>
          <w:color w:val="auto"/>
          <w:sz w:val="22"/>
          <w:szCs w:val="22"/>
          <w:u w:val="single"/>
          <w:lang w:val="sr-Latn-CS"/>
        </w:rPr>
      </w:pPr>
      <w:r w:rsidRPr="005C187F">
        <w:rPr>
          <w:color w:val="auto"/>
          <w:sz w:val="22"/>
          <w:szCs w:val="22"/>
          <w:u w:val="single"/>
          <w:lang w:val="sr-Latn-CS"/>
        </w:rPr>
        <w:t xml:space="preserve">Simptomi </w:t>
      </w:r>
    </w:p>
    <w:p w14:paraId="25F7E985" w14:textId="5A006231" w:rsidR="007661F0" w:rsidRPr="005C187F" w:rsidRDefault="009941DF" w:rsidP="00EA0376">
      <w:pPr>
        <w:pStyle w:val="Default"/>
        <w:jc w:val="both"/>
        <w:rPr>
          <w:color w:val="auto"/>
          <w:sz w:val="22"/>
          <w:szCs w:val="22"/>
          <w:lang w:val="sr-Latn-CS"/>
        </w:rPr>
      </w:pPr>
      <w:r w:rsidRPr="005C187F">
        <w:rPr>
          <w:color w:val="auto"/>
          <w:sz w:val="22"/>
          <w:szCs w:val="22"/>
          <w:lang w:val="sr-Latn-CS"/>
        </w:rPr>
        <w:t>Ni</w:t>
      </w:r>
      <w:r w:rsidR="005E359A" w:rsidRPr="005C187F">
        <w:rPr>
          <w:color w:val="auto"/>
          <w:sz w:val="22"/>
          <w:szCs w:val="22"/>
          <w:lang w:val="sr-Latn-CS"/>
        </w:rPr>
        <w:t>je</w:t>
      </w:r>
      <w:r w:rsidRPr="005C187F">
        <w:rPr>
          <w:color w:val="auto"/>
          <w:sz w:val="22"/>
          <w:szCs w:val="22"/>
          <w:lang w:val="sr-Latn-CS"/>
        </w:rPr>
        <w:t>su poznati slučajevi akutne intoksikacije deksametazonom. U slučaju hroničnog predoziranja, može se očekivati povećana učestalost neželjenih efekata, naročito endokrinih, metaboličkih i elektrolitnih poremećaja (vid</w:t>
      </w:r>
      <w:r w:rsidR="00C344A9" w:rsidRPr="005C187F">
        <w:rPr>
          <w:color w:val="auto"/>
          <w:sz w:val="22"/>
          <w:szCs w:val="22"/>
          <w:lang w:val="sr-Latn-CS"/>
        </w:rPr>
        <w:t>j</w:t>
      </w:r>
      <w:r w:rsidRPr="005C187F">
        <w:rPr>
          <w:color w:val="auto"/>
          <w:sz w:val="22"/>
          <w:szCs w:val="22"/>
          <w:lang w:val="sr-Latn-CS"/>
        </w:rPr>
        <w:t xml:space="preserve">eti </w:t>
      </w:r>
      <w:r w:rsidR="00C344A9" w:rsidRPr="005C187F">
        <w:rPr>
          <w:color w:val="auto"/>
          <w:sz w:val="22"/>
          <w:szCs w:val="22"/>
          <w:lang w:val="sr-Latn-CS"/>
        </w:rPr>
        <w:t>dio</w:t>
      </w:r>
      <w:r w:rsidRPr="005C187F">
        <w:rPr>
          <w:color w:val="auto"/>
          <w:sz w:val="22"/>
          <w:szCs w:val="22"/>
          <w:lang w:val="sr-Latn-CS"/>
        </w:rPr>
        <w:t xml:space="preserve"> 4.8).</w:t>
      </w:r>
    </w:p>
    <w:p w14:paraId="6212BEFF" w14:textId="50CA7448" w:rsidR="009941DF" w:rsidRPr="005C187F" w:rsidRDefault="009941DF" w:rsidP="00EA0376">
      <w:pPr>
        <w:pStyle w:val="Default"/>
        <w:jc w:val="both"/>
        <w:rPr>
          <w:color w:val="auto"/>
          <w:sz w:val="22"/>
          <w:szCs w:val="22"/>
          <w:lang w:val="sr-Latn-CS"/>
        </w:rPr>
      </w:pPr>
    </w:p>
    <w:p w14:paraId="25F7E987" w14:textId="77777777" w:rsidR="007661F0" w:rsidRPr="005C187F" w:rsidRDefault="007661F0" w:rsidP="00EA0376">
      <w:pPr>
        <w:pStyle w:val="Default"/>
        <w:jc w:val="both"/>
        <w:rPr>
          <w:color w:val="auto"/>
          <w:sz w:val="22"/>
          <w:szCs w:val="22"/>
          <w:u w:val="single"/>
          <w:lang w:val="sr-Latn-CS"/>
        </w:rPr>
      </w:pPr>
      <w:r w:rsidRPr="005C187F">
        <w:rPr>
          <w:color w:val="auto"/>
          <w:sz w:val="22"/>
          <w:szCs w:val="22"/>
          <w:u w:val="single"/>
          <w:lang w:val="sr-Latn-CS"/>
        </w:rPr>
        <w:t xml:space="preserve">Terapija </w:t>
      </w:r>
    </w:p>
    <w:p w14:paraId="25F7E989" w14:textId="62313E8F" w:rsidR="007661F0" w:rsidRPr="00CA46C7" w:rsidRDefault="007661F0" w:rsidP="00EA0376">
      <w:pPr>
        <w:rPr>
          <w:szCs w:val="22"/>
          <w:lang w:val="sr-Latn-CS"/>
        </w:rPr>
      </w:pPr>
      <w:r w:rsidRPr="00CA46C7">
        <w:rPr>
          <w:szCs w:val="22"/>
          <w:lang w:val="sr-Latn-CS"/>
        </w:rPr>
        <w:t xml:space="preserve">Nema raspoloživog antidota. </w:t>
      </w:r>
    </w:p>
    <w:p w14:paraId="1639DB21" w14:textId="0DA70354" w:rsidR="00C764A2" w:rsidRDefault="00C764A2" w:rsidP="00EA0376">
      <w:pPr>
        <w:rPr>
          <w:szCs w:val="22"/>
          <w:lang w:val="sr-Latn-CS"/>
        </w:rPr>
      </w:pPr>
    </w:p>
    <w:p w14:paraId="5B37657C" w14:textId="77777777" w:rsidR="00EA0376" w:rsidRPr="00CA46C7" w:rsidRDefault="00EA0376" w:rsidP="00EA0376">
      <w:pPr>
        <w:rPr>
          <w:szCs w:val="22"/>
          <w:lang w:val="sr-Latn-CS"/>
        </w:rPr>
      </w:pPr>
    </w:p>
    <w:p w14:paraId="25F7E98A" w14:textId="444DF0DA" w:rsidR="007661F0" w:rsidRDefault="007661F0" w:rsidP="00EA0376">
      <w:pPr>
        <w:pStyle w:val="NASLOV123"/>
        <w:spacing w:before="0" w:after="0"/>
        <w:jc w:val="both"/>
        <w:rPr>
          <w:lang w:val="sr-Latn-CS"/>
        </w:rPr>
      </w:pPr>
      <w:r w:rsidRPr="00CA46C7">
        <w:rPr>
          <w:lang w:val="sr-Latn-CS"/>
        </w:rPr>
        <w:t>5. FARMAKOLOŠKI PODACI</w:t>
      </w:r>
    </w:p>
    <w:p w14:paraId="7D1DA2F9" w14:textId="77777777" w:rsidR="00EA0376" w:rsidRPr="00CA46C7" w:rsidRDefault="00EA0376" w:rsidP="00EA0376">
      <w:pPr>
        <w:pStyle w:val="NASLOV123"/>
        <w:spacing w:before="0" w:after="0"/>
        <w:jc w:val="both"/>
        <w:rPr>
          <w:lang w:val="sr-Latn-CS"/>
        </w:rPr>
      </w:pPr>
    </w:p>
    <w:p w14:paraId="25F7E98B" w14:textId="77777777" w:rsidR="007661F0" w:rsidRPr="00CA46C7" w:rsidRDefault="007661F0" w:rsidP="00EA0376">
      <w:pPr>
        <w:rPr>
          <w:b/>
          <w:bCs/>
          <w:szCs w:val="22"/>
          <w:lang w:val="sr-Latn-CS"/>
        </w:rPr>
      </w:pPr>
      <w:r w:rsidRPr="00CA46C7">
        <w:rPr>
          <w:b/>
          <w:bCs/>
          <w:szCs w:val="22"/>
          <w:lang w:val="sr-Latn-CS"/>
        </w:rPr>
        <w:t>5.1. Farmakodinamski podaci</w:t>
      </w:r>
    </w:p>
    <w:p w14:paraId="77B8AD71" w14:textId="77777777" w:rsidR="00C344A9" w:rsidRPr="00CA46C7" w:rsidRDefault="00C344A9" w:rsidP="00EA0376">
      <w:pPr>
        <w:rPr>
          <w:b/>
          <w:bCs/>
          <w:szCs w:val="22"/>
          <w:lang w:val="sr-Latn-CS"/>
        </w:rPr>
      </w:pPr>
    </w:p>
    <w:p w14:paraId="25F7E98C" w14:textId="02E2AFFB" w:rsidR="007661F0" w:rsidRPr="00CA46C7" w:rsidRDefault="007661F0" w:rsidP="00EA0376">
      <w:pPr>
        <w:rPr>
          <w:b/>
          <w:bCs/>
          <w:szCs w:val="22"/>
          <w:lang w:val="sr-Latn-CS"/>
        </w:rPr>
      </w:pPr>
      <w:r w:rsidRPr="00CA46C7">
        <w:rPr>
          <w:szCs w:val="22"/>
          <w:lang w:val="sr-Latn-CS"/>
        </w:rPr>
        <w:t>Farmakoterapijska grupa:</w:t>
      </w:r>
      <w:r w:rsidRPr="00CA46C7">
        <w:rPr>
          <w:b/>
          <w:bCs/>
          <w:szCs w:val="22"/>
          <w:lang w:val="sr-Latn-CS"/>
        </w:rPr>
        <w:t xml:space="preserve"> </w:t>
      </w:r>
      <w:r w:rsidRPr="00CA46C7">
        <w:rPr>
          <w:bCs/>
          <w:szCs w:val="22"/>
          <w:lang w:val="sr-Latn-CS"/>
        </w:rPr>
        <w:t>Kortikosteroidi za sistemsku prim</w:t>
      </w:r>
      <w:r w:rsidR="00C344A9" w:rsidRPr="00CA46C7">
        <w:rPr>
          <w:bCs/>
          <w:szCs w:val="22"/>
          <w:lang w:val="sr-Latn-CS"/>
        </w:rPr>
        <w:t>j</w:t>
      </w:r>
      <w:r w:rsidRPr="00CA46C7">
        <w:rPr>
          <w:bCs/>
          <w:szCs w:val="22"/>
          <w:lang w:val="sr-Latn-CS"/>
        </w:rPr>
        <w:t>enu, glukokortikoidi</w:t>
      </w:r>
    </w:p>
    <w:p w14:paraId="25F7E98D" w14:textId="77777777" w:rsidR="007661F0" w:rsidRPr="00CA46C7" w:rsidRDefault="007661F0" w:rsidP="00EA0376">
      <w:pPr>
        <w:rPr>
          <w:szCs w:val="22"/>
          <w:lang w:val="sr-Latn-CS"/>
        </w:rPr>
      </w:pPr>
    </w:p>
    <w:p w14:paraId="25F7E98E" w14:textId="77777777" w:rsidR="007661F0" w:rsidRPr="00CA46C7" w:rsidRDefault="007661F0" w:rsidP="00EA0376">
      <w:pPr>
        <w:rPr>
          <w:iCs/>
          <w:szCs w:val="22"/>
          <w:lang w:val="sr-Latn-CS"/>
        </w:rPr>
      </w:pPr>
      <w:r w:rsidRPr="00CA46C7">
        <w:rPr>
          <w:szCs w:val="22"/>
          <w:lang w:val="sr-Latn-CS"/>
        </w:rPr>
        <w:t>ATC šifra:</w:t>
      </w:r>
      <w:r w:rsidRPr="00CA46C7">
        <w:rPr>
          <w:b/>
          <w:bCs/>
          <w:szCs w:val="22"/>
          <w:lang w:val="sr-Latn-CS"/>
        </w:rPr>
        <w:t xml:space="preserve"> </w:t>
      </w:r>
      <w:r w:rsidRPr="00CA46C7">
        <w:rPr>
          <w:iCs/>
          <w:szCs w:val="22"/>
          <w:lang w:val="sr-Latn-CS"/>
        </w:rPr>
        <w:t>H02AB02</w:t>
      </w:r>
    </w:p>
    <w:p w14:paraId="25F7E98F" w14:textId="77777777" w:rsidR="007661F0" w:rsidRPr="00CA46C7" w:rsidRDefault="007661F0" w:rsidP="00EA0376">
      <w:pPr>
        <w:rPr>
          <w:b/>
          <w:bCs/>
          <w:szCs w:val="22"/>
          <w:lang w:val="sr-Latn-CS"/>
        </w:rPr>
      </w:pPr>
    </w:p>
    <w:p w14:paraId="4FEE46BE" w14:textId="241FA036" w:rsidR="00286F18" w:rsidRPr="00CA46C7" w:rsidRDefault="007661F0" w:rsidP="00EA0376">
      <w:pPr>
        <w:rPr>
          <w:szCs w:val="22"/>
          <w:lang w:val="sr-Latn-CS"/>
        </w:rPr>
      </w:pPr>
      <w:r w:rsidRPr="00CA46C7">
        <w:rPr>
          <w:szCs w:val="22"/>
          <w:lang w:val="sr-Latn-CS"/>
        </w:rPr>
        <w:t>L</w:t>
      </w:r>
      <w:r w:rsidR="00C344A9" w:rsidRPr="00CA46C7">
        <w:rPr>
          <w:szCs w:val="22"/>
          <w:lang w:val="sr-Latn-CS"/>
        </w:rPr>
        <w:t>ij</w:t>
      </w:r>
      <w:r w:rsidRPr="00CA46C7">
        <w:rPr>
          <w:szCs w:val="22"/>
          <w:lang w:val="sr-Latn-CS"/>
        </w:rPr>
        <w:t xml:space="preserve">ek Dexason sadrži deksametazon kao aktivnu supstancu. Deksametazon je sintetski glukokortikoid koji ima oko 7 puta jače antiinflamatorno dejstvo od prednizolona, a 30 puta od hidrokortizona. </w:t>
      </w:r>
    </w:p>
    <w:p w14:paraId="13B49D55" w14:textId="77777777" w:rsidR="00286F18" w:rsidRPr="00CA46C7" w:rsidRDefault="00286F18" w:rsidP="00EA0376">
      <w:pPr>
        <w:rPr>
          <w:szCs w:val="22"/>
          <w:lang w:val="sr-Latn-CS"/>
        </w:rPr>
      </w:pPr>
    </w:p>
    <w:p w14:paraId="25F7E990" w14:textId="11B13E2D" w:rsidR="007661F0" w:rsidRPr="00CA46C7" w:rsidRDefault="007661F0" w:rsidP="00EA0376">
      <w:pPr>
        <w:rPr>
          <w:szCs w:val="22"/>
          <w:lang w:val="sr-Latn-CS"/>
        </w:rPr>
      </w:pPr>
      <w:r w:rsidRPr="00CA46C7">
        <w:rPr>
          <w:szCs w:val="22"/>
          <w:lang w:val="sr-Latn-CS"/>
        </w:rPr>
        <w:t xml:space="preserve">Glukokortikoidi se stvaraju i izlučuju </w:t>
      </w:r>
      <w:r w:rsidR="00286F18" w:rsidRPr="00CA46C7">
        <w:rPr>
          <w:szCs w:val="22"/>
          <w:lang w:val="sr-Latn-CS"/>
        </w:rPr>
        <w:t xml:space="preserve">od strane </w:t>
      </w:r>
      <w:r w:rsidRPr="00CA46C7">
        <w:rPr>
          <w:szCs w:val="22"/>
          <w:lang w:val="sr-Latn-CS"/>
        </w:rPr>
        <w:t>kore nadbubrežne žl</w:t>
      </w:r>
      <w:r w:rsidR="00C344A9" w:rsidRPr="00CA46C7">
        <w:rPr>
          <w:szCs w:val="22"/>
          <w:lang w:val="sr-Latn-CS"/>
        </w:rPr>
        <w:t>ij</w:t>
      </w:r>
      <w:r w:rsidRPr="00CA46C7">
        <w:rPr>
          <w:szCs w:val="22"/>
          <w:lang w:val="sr-Latn-CS"/>
        </w:rPr>
        <w:t>ezde i predstavljaju bitan d</w:t>
      </w:r>
      <w:r w:rsidR="00C344A9" w:rsidRPr="00CA46C7">
        <w:rPr>
          <w:szCs w:val="22"/>
          <w:lang w:val="sr-Latn-CS"/>
        </w:rPr>
        <w:t>i</w:t>
      </w:r>
      <w:r w:rsidRPr="00CA46C7">
        <w:rPr>
          <w:szCs w:val="22"/>
          <w:lang w:val="sr-Latn-CS"/>
        </w:rPr>
        <w:t>o osovine hipotalamus-hipofiza-nadbubrežna žl</w:t>
      </w:r>
      <w:r w:rsidR="00C344A9" w:rsidRPr="00CA46C7">
        <w:rPr>
          <w:szCs w:val="22"/>
          <w:lang w:val="sr-Latn-CS"/>
        </w:rPr>
        <w:t>ij</w:t>
      </w:r>
      <w:r w:rsidRPr="00CA46C7">
        <w:rPr>
          <w:szCs w:val="22"/>
          <w:lang w:val="sr-Latn-CS"/>
        </w:rPr>
        <w:t xml:space="preserve">ezda. U fiziološkim koncentracijama, i prirodni (hidrokortizon ili kortizon) i sintetski (kao što je deksametazon) glukokortikoidi ispoljavaju širok spektar dejstva na različite sisteme </w:t>
      </w:r>
      <w:r w:rsidR="005E359A" w:rsidRPr="00CA46C7">
        <w:rPr>
          <w:szCs w:val="22"/>
          <w:lang w:val="sr-Latn-CS"/>
        </w:rPr>
        <w:t xml:space="preserve">organa </w:t>
      </w:r>
      <w:r w:rsidRPr="00CA46C7">
        <w:rPr>
          <w:szCs w:val="22"/>
          <w:lang w:val="sr-Latn-CS"/>
        </w:rPr>
        <w:t>i tkiva; oni d</w:t>
      </w:r>
      <w:r w:rsidR="00C344A9" w:rsidRPr="00CA46C7">
        <w:rPr>
          <w:szCs w:val="22"/>
          <w:lang w:val="sr-Latn-CS"/>
        </w:rPr>
        <w:t>j</w:t>
      </w:r>
      <w:r w:rsidRPr="00CA46C7">
        <w:rPr>
          <w:szCs w:val="22"/>
          <w:lang w:val="sr-Latn-CS"/>
        </w:rPr>
        <w:t xml:space="preserve">eluju na metabolizam ugljenih hidrata, proteina, lipida i kalcijuma, utiču na balans vode i elektrolita i imaju važnu potpornu ulogu u normalnom funkcionisanju i strukturi kardiovaskularnog sistema i u normalnom funkcionisanju skeletnih mišića. </w:t>
      </w:r>
    </w:p>
    <w:p w14:paraId="25F7E991" w14:textId="77777777" w:rsidR="007661F0" w:rsidRPr="00CA46C7" w:rsidRDefault="007661F0" w:rsidP="00EA0376">
      <w:pPr>
        <w:rPr>
          <w:szCs w:val="22"/>
          <w:lang w:val="sr-Latn-CS"/>
        </w:rPr>
      </w:pPr>
    </w:p>
    <w:p w14:paraId="25F7E992" w14:textId="1D023549" w:rsidR="007661F0" w:rsidRPr="00CA46C7" w:rsidRDefault="007661F0" w:rsidP="00EA0376">
      <w:pPr>
        <w:rPr>
          <w:szCs w:val="22"/>
          <w:lang w:val="sr-Latn-CS"/>
        </w:rPr>
      </w:pPr>
      <w:r w:rsidRPr="00CA46C7">
        <w:rPr>
          <w:szCs w:val="22"/>
          <w:lang w:val="sr-Latn-CS"/>
        </w:rPr>
        <w:t xml:space="preserve">U ciljnim tkivima, glukokortikoidi se vezuju za </w:t>
      </w:r>
      <w:r w:rsidR="00286F18" w:rsidRPr="00CA46C7">
        <w:rPr>
          <w:szCs w:val="22"/>
          <w:lang w:val="sr-Latn-CS"/>
        </w:rPr>
        <w:t xml:space="preserve">proteine </w:t>
      </w:r>
      <w:r w:rsidRPr="00CA46C7">
        <w:rPr>
          <w:szCs w:val="22"/>
          <w:lang w:val="sr-Latn-CS"/>
        </w:rPr>
        <w:t>specifičn</w:t>
      </w:r>
      <w:r w:rsidR="00286F18" w:rsidRPr="00CA46C7">
        <w:rPr>
          <w:szCs w:val="22"/>
          <w:lang w:val="sr-Latn-CS"/>
        </w:rPr>
        <w:t>ih</w:t>
      </w:r>
      <w:r w:rsidRPr="00CA46C7">
        <w:rPr>
          <w:szCs w:val="22"/>
          <w:lang w:val="sr-Latn-CS"/>
        </w:rPr>
        <w:t xml:space="preserve"> receptor</w:t>
      </w:r>
      <w:r w:rsidR="00286F18" w:rsidRPr="00CA46C7">
        <w:rPr>
          <w:szCs w:val="22"/>
          <w:lang w:val="sr-Latn-CS"/>
        </w:rPr>
        <w:t>a</w:t>
      </w:r>
      <w:r w:rsidRPr="00CA46C7">
        <w:rPr>
          <w:szCs w:val="22"/>
          <w:lang w:val="sr-Latn-CS"/>
        </w:rPr>
        <w:t xml:space="preserve"> što, preko ekspresije glukokortikoid-zavisnih gena, dovodi do regulacije sinteze proteina. Kao posl</w:t>
      </w:r>
      <w:r w:rsidR="00C344A9" w:rsidRPr="00CA46C7">
        <w:rPr>
          <w:szCs w:val="22"/>
          <w:lang w:val="sr-Latn-CS"/>
        </w:rPr>
        <w:t>j</w:t>
      </w:r>
      <w:r w:rsidRPr="00CA46C7">
        <w:rPr>
          <w:szCs w:val="22"/>
          <w:lang w:val="sr-Latn-CS"/>
        </w:rPr>
        <w:t>edica vremena potrebnog za prom</w:t>
      </w:r>
      <w:r w:rsidR="00C344A9" w:rsidRPr="00CA46C7">
        <w:rPr>
          <w:szCs w:val="22"/>
          <w:lang w:val="sr-Latn-CS"/>
        </w:rPr>
        <w:t>j</w:t>
      </w:r>
      <w:r w:rsidRPr="00CA46C7">
        <w:rPr>
          <w:szCs w:val="22"/>
          <w:lang w:val="sr-Latn-CS"/>
        </w:rPr>
        <w:t>ene u ekspresiji gena i sintezi proteina, većina dejstava glukokortikoida ni</w:t>
      </w:r>
      <w:r w:rsidR="00A07524" w:rsidRPr="00CA46C7">
        <w:rPr>
          <w:szCs w:val="22"/>
          <w:lang w:val="sr-Latn-CS"/>
        </w:rPr>
        <w:t>je</w:t>
      </w:r>
      <w:r w:rsidRPr="00CA46C7">
        <w:rPr>
          <w:szCs w:val="22"/>
          <w:lang w:val="sr-Latn-CS"/>
        </w:rPr>
        <w:t>su trenutna, već se ispoljavaju kroz nekoliko sati. Ova činjenica je od kliničkog značaja, jer je prim</w:t>
      </w:r>
      <w:r w:rsidR="00C344A9" w:rsidRPr="00CA46C7">
        <w:rPr>
          <w:szCs w:val="22"/>
          <w:lang w:val="sr-Latn-CS"/>
        </w:rPr>
        <w:t>ij</w:t>
      </w:r>
      <w:r w:rsidRPr="00CA46C7">
        <w:rPr>
          <w:szCs w:val="22"/>
          <w:lang w:val="sr-Latn-CS"/>
        </w:rPr>
        <w:t>ećeno da se povoljna dejstva glukokortikoidne terapije pr</w:t>
      </w:r>
      <w:r w:rsidR="00C344A9" w:rsidRPr="00CA46C7">
        <w:rPr>
          <w:szCs w:val="22"/>
          <w:lang w:val="sr-Latn-CS"/>
        </w:rPr>
        <w:t>ij</w:t>
      </w:r>
      <w:r w:rsidRPr="00CA46C7">
        <w:rPr>
          <w:szCs w:val="22"/>
          <w:lang w:val="sr-Latn-CS"/>
        </w:rPr>
        <w:t xml:space="preserve">e ispoljavaju odloženo. </w:t>
      </w:r>
    </w:p>
    <w:p w14:paraId="25F7E993" w14:textId="77777777" w:rsidR="007661F0" w:rsidRPr="00CA46C7" w:rsidRDefault="007661F0" w:rsidP="00EA0376">
      <w:pPr>
        <w:rPr>
          <w:szCs w:val="22"/>
          <w:lang w:val="sr-Latn-CS"/>
        </w:rPr>
      </w:pPr>
    </w:p>
    <w:p w14:paraId="25F7E994" w14:textId="33EB6F65" w:rsidR="007661F0" w:rsidRPr="00CA46C7" w:rsidRDefault="007661F0" w:rsidP="00EA0376">
      <w:pPr>
        <w:rPr>
          <w:szCs w:val="22"/>
          <w:lang w:val="sr-Latn-CS"/>
        </w:rPr>
      </w:pPr>
      <w:r w:rsidRPr="00CA46C7">
        <w:rPr>
          <w:szCs w:val="22"/>
          <w:lang w:val="sr-Latn-CS"/>
        </w:rPr>
        <w:lastRenderedPageBreak/>
        <w:t xml:space="preserve">Deksametazon se u terapijske svrhe koristi uglavnom zbog svojih antiiflamatornih i imunosupresivnih karakteristika. Deksametazon praktično nema mineralokortikoidnu aktivnost, što ga čini pogodnim za upotrebu kod </w:t>
      </w:r>
      <w:r w:rsidR="00286F18" w:rsidRPr="00CA46C7">
        <w:rPr>
          <w:szCs w:val="22"/>
          <w:lang w:val="sr-Latn-CS"/>
        </w:rPr>
        <w:t xml:space="preserve">pacijenata </w:t>
      </w:r>
      <w:r w:rsidRPr="00CA46C7">
        <w:rPr>
          <w:szCs w:val="22"/>
          <w:lang w:val="sr-Latn-CS"/>
        </w:rPr>
        <w:t xml:space="preserve">sa srčanom insuficijencijom ili hipertenzijom. </w:t>
      </w:r>
    </w:p>
    <w:p w14:paraId="25C19F99" w14:textId="571B6036" w:rsidR="00036329" w:rsidRPr="00CA46C7" w:rsidRDefault="00036329" w:rsidP="00EA0376">
      <w:pPr>
        <w:rPr>
          <w:szCs w:val="22"/>
          <w:lang w:val="sr-Latn-RS"/>
        </w:rPr>
      </w:pPr>
    </w:p>
    <w:p w14:paraId="52D0366F" w14:textId="57AB0682" w:rsidR="00827040" w:rsidRPr="00CA46C7" w:rsidRDefault="00827040" w:rsidP="00EA0376">
      <w:pPr>
        <w:rPr>
          <w:szCs w:val="22"/>
          <w:lang w:val="sr-Latn-RS"/>
        </w:rPr>
      </w:pPr>
      <w:r w:rsidRPr="00CA46C7">
        <w:rPr>
          <w:szCs w:val="22"/>
          <w:lang w:val="sr-Latn-RS"/>
        </w:rPr>
        <w:t>Studija RECOVERY (</w:t>
      </w:r>
      <w:r w:rsidRPr="00CA46C7">
        <w:rPr>
          <w:i/>
          <w:szCs w:val="22"/>
          <w:lang w:val="sr-Latn-RS"/>
        </w:rPr>
        <w:t>Randomised Evaluation of COVid-19 thERapY</w:t>
      </w:r>
      <w:r w:rsidRPr="00CA46C7">
        <w:rPr>
          <w:szCs w:val="22"/>
          <w:lang w:val="sr-Latn-RS"/>
        </w:rPr>
        <w:t>)</w:t>
      </w:r>
      <w:r w:rsidR="00BB1690" w:rsidRPr="00CA46C7">
        <w:rPr>
          <w:rStyle w:val="FootnoteReference"/>
          <w:szCs w:val="22"/>
          <w:lang w:val="sr-Latn-RS"/>
        </w:rPr>
        <w:footnoteReference w:id="1"/>
      </w:r>
      <w:r w:rsidRPr="00CA46C7">
        <w:rPr>
          <w:szCs w:val="22"/>
          <w:lang w:val="sr-Latn-RS"/>
        </w:rPr>
        <w:t xml:space="preserve"> je studija koju su inicirali istraživači, individualno randomizovana, kontrolisana, otvorena studija dizajnirana kao studija sa adaptivnom platformom (</w:t>
      </w:r>
      <w:r w:rsidR="00560021" w:rsidRPr="00CA46C7">
        <w:rPr>
          <w:szCs w:val="22"/>
          <w:lang w:val="sr-Latn-RS"/>
        </w:rPr>
        <w:t xml:space="preserve">engl. </w:t>
      </w:r>
      <w:r w:rsidR="00560021" w:rsidRPr="00CA46C7">
        <w:rPr>
          <w:i/>
          <w:szCs w:val="22"/>
          <w:lang w:val="sr-Latn-RS"/>
        </w:rPr>
        <w:t xml:space="preserve">Adaptive platform trial, </w:t>
      </w:r>
      <w:r w:rsidRPr="00CA46C7">
        <w:rPr>
          <w:szCs w:val="22"/>
          <w:lang w:val="sr-Latn-RS"/>
        </w:rPr>
        <w:t xml:space="preserve">APT), </w:t>
      </w:r>
      <w:r w:rsidR="00560021" w:rsidRPr="00CA46C7">
        <w:rPr>
          <w:szCs w:val="22"/>
          <w:lang w:val="sr-Latn-RS"/>
        </w:rPr>
        <w:t xml:space="preserve">koja je </w:t>
      </w:r>
      <w:r w:rsidRPr="00CA46C7">
        <w:rPr>
          <w:szCs w:val="22"/>
          <w:lang w:val="sr-Latn-RS"/>
        </w:rPr>
        <w:t xml:space="preserve">sprovedena sa ciljem </w:t>
      </w:r>
      <w:r w:rsidR="00560021" w:rsidRPr="00CA46C7">
        <w:rPr>
          <w:szCs w:val="22"/>
          <w:lang w:val="sr-Latn-RS"/>
        </w:rPr>
        <w:t xml:space="preserve">da </w:t>
      </w:r>
      <w:r w:rsidRPr="00CA46C7">
        <w:rPr>
          <w:szCs w:val="22"/>
          <w:lang w:val="sr-Latn-RS"/>
        </w:rPr>
        <w:t>ispita efekt</w:t>
      </w:r>
      <w:r w:rsidR="00560021" w:rsidRPr="00CA46C7">
        <w:rPr>
          <w:szCs w:val="22"/>
          <w:lang w:val="sr-Latn-RS"/>
        </w:rPr>
        <w:t>e</w:t>
      </w:r>
      <w:r w:rsidRPr="00CA46C7">
        <w:rPr>
          <w:szCs w:val="22"/>
          <w:lang w:val="sr-Latn-RS"/>
        </w:rPr>
        <w:t xml:space="preserve"> potencijalnih terapijskih režima kod hospitalizovanih pacijenata sa </w:t>
      </w:r>
      <w:r w:rsidR="00560021" w:rsidRPr="00CA46C7">
        <w:rPr>
          <w:szCs w:val="22"/>
          <w:lang w:val="sr-Latn-RS"/>
        </w:rPr>
        <w:t>COVID</w:t>
      </w:r>
      <w:r w:rsidRPr="00CA46C7">
        <w:rPr>
          <w:szCs w:val="22"/>
          <w:lang w:val="sr-Latn-RS"/>
        </w:rPr>
        <w:t xml:space="preserve">-19. </w:t>
      </w:r>
    </w:p>
    <w:p w14:paraId="18C510E0" w14:textId="4B6ABF25" w:rsidR="00827040" w:rsidRPr="00CA46C7" w:rsidRDefault="00827040" w:rsidP="00EA0376">
      <w:pPr>
        <w:rPr>
          <w:szCs w:val="22"/>
          <w:lang w:val="sr-Latn-RS"/>
        </w:rPr>
      </w:pPr>
      <w:r w:rsidRPr="00CA46C7">
        <w:rPr>
          <w:szCs w:val="22"/>
          <w:lang w:val="sr-Latn-RS"/>
        </w:rPr>
        <w:t xml:space="preserve">Studija je sprovedena u 176 bolnica u </w:t>
      </w:r>
      <w:r w:rsidR="00560021" w:rsidRPr="00CA46C7">
        <w:rPr>
          <w:szCs w:val="22"/>
          <w:lang w:val="sr-Latn-RS"/>
        </w:rPr>
        <w:t>Ujedinjenom Kraljevstvu</w:t>
      </w:r>
      <w:r w:rsidRPr="00CA46C7">
        <w:rPr>
          <w:szCs w:val="22"/>
          <w:lang w:val="sr-Latn-RS"/>
        </w:rPr>
        <w:t>.</w:t>
      </w:r>
    </w:p>
    <w:p w14:paraId="35397AB2" w14:textId="7ECC3427" w:rsidR="00560021" w:rsidRPr="00CA46C7" w:rsidRDefault="00827040" w:rsidP="00EA0376">
      <w:pPr>
        <w:rPr>
          <w:szCs w:val="22"/>
          <w:lang w:val="sr-Latn-RS"/>
        </w:rPr>
      </w:pPr>
      <w:r w:rsidRPr="00CA46C7">
        <w:rPr>
          <w:szCs w:val="22"/>
          <w:lang w:val="sr-Latn-RS"/>
        </w:rPr>
        <w:t>6425 pacijenata</w:t>
      </w:r>
      <w:r w:rsidR="00560021" w:rsidRPr="00CA46C7">
        <w:rPr>
          <w:szCs w:val="22"/>
          <w:lang w:val="sr-Latn-RS"/>
        </w:rPr>
        <w:t xml:space="preserve"> je</w:t>
      </w:r>
      <w:r w:rsidRPr="00CA46C7">
        <w:rPr>
          <w:szCs w:val="22"/>
          <w:lang w:val="sr-Latn-RS"/>
        </w:rPr>
        <w:t xml:space="preserve"> randomizova</w:t>
      </w:r>
      <w:r w:rsidR="00560021" w:rsidRPr="00CA46C7">
        <w:rPr>
          <w:szCs w:val="22"/>
          <w:lang w:val="sr-Latn-RS"/>
        </w:rPr>
        <w:t>no da primi ili</w:t>
      </w:r>
      <w:r w:rsidRPr="00CA46C7">
        <w:rPr>
          <w:szCs w:val="22"/>
          <w:lang w:val="sr-Latn-RS"/>
        </w:rPr>
        <w:t xml:space="preserve"> deksametazon (2104 pacijenta) i</w:t>
      </w:r>
      <w:r w:rsidR="00560021" w:rsidRPr="00CA46C7">
        <w:rPr>
          <w:szCs w:val="22"/>
          <w:lang w:val="sr-Latn-RS"/>
        </w:rPr>
        <w:t>li</w:t>
      </w:r>
      <w:r w:rsidRPr="00CA46C7">
        <w:rPr>
          <w:szCs w:val="22"/>
          <w:lang w:val="sr-Latn-RS"/>
        </w:rPr>
        <w:t xml:space="preserve"> </w:t>
      </w:r>
      <w:r w:rsidR="00560021" w:rsidRPr="00CA46C7">
        <w:rPr>
          <w:szCs w:val="22"/>
          <w:lang w:val="sr-Latn-RS"/>
        </w:rPr>
        <w:t>uobičajenu</w:t>
      </w:r>
      <w:r w:rsidRPr="00CA46C7">
        <w:rPr>
          <w:szCs w:val="22"/>
          <w:lang w:val="sr-Latn-RS"/>
        </w:rPr>
        <w:t xml:space="preserve"> terapiju (4321 pacijent). 89% pacijenata je imalo laboratorijski potvrđenu SARS-COV-2 infekciju. </w:t>
      </w:r>
    </w:p>
    <w:p w14:paraId="5B251EF7" w14:textId="572591FA" w:rsidR="00827040" w:rsidRPr="00CA46C7" w:rsidRDefault="00827040" w:rsidP="00EA0376">
      <w:pPr>
        <w:rPr>
          <w:szCs w:val="22"/>
          <w:lang w:val="sr-Latn-RS"/>
        </w:rPr>
      </w:pPr>
      <w:r w:rsidRPr="00CA46C7">
        <w:rPr>
          <w:szCs w:val="22"/>
          <w:lang w:val="sr-Latn-RS"/>
        </w:rPr>
        <w:t xml:space="preserve">Pri randomizaciji, 16% pacijenata je bilo na invazivnoj mehaničkoj ventilaciji ili ekstrakorporalnoj membranskoj oksigenaciji, 60% je primalo samo kiseonik (sa ili bez neinvazivne ventilacije), </w:t>
      </w:r>
      <w:r w:rsidR="00560021" w:rsidRPr="00CA46C7">
        <w:rPr>
          <w:szCs w:val="22"/>
          <w:lang w:val="sr-Latn-RS"/>
        </w:rPr>
        <w:t xml:space="preserve">a </w:t>
      </w:r>
      <w:r w:rsidRPr="00CA46C7">
        <w:rPr>
          <w:szCs w:val="22"/>
          <w:lang w:val="sr-Latn-RS"/>
        </w:rPr>
        <w:t xml:space="preserve">24% pacijenata nije </w:t>
      </w:r>
      <w:r w:rsidR="00560021" w:rsidRPr="00CA46C7">
        <w:rPr>
          <w:szCs w:val="22"/>
          <w:lang w:val="sr-Latn-RS"/>
        </w:rPr>
        <w:t>primalo ništa od toga</w:t>
      </w:r>
      <w:r w:rsidRPr="00CA46C7">
        <w:rPr>
          <w:szCs w:val="22"/>
          <w:lang w:val="sr-Latn-RS"/>
        </w:rPr>
        <w:t>.</w:t>
      </w:r>
    </w:p>
    <w:p w14:paraId="3A21CF69" w14:textId="0A9A52C1" w:rsidR="00827040" w:rsidRPr="00CA46C7" w:rsidRDefault="00560021" w:rsidP="00EA0376">
      <w:pPr>
        <w:rPr>
          <w:szCs w:val="22"/>
          <w:lang w:val="sr-Latn-RS"/>
        </w:rPr>
      </w:pPr>
      <w:r w:rsidRPr="00CA46C7">
        <w:rPr>
          <w:szCs w:val="22"/>
          <w:lang w:val="sr-Latn-RS"/>
        </w:rPr>
        <w:t>Srednja vr</w:t>
      </w:r>
      <w:r w:rsidR="00C344A9" w:rsidRPr="00CA46C7">
        <w:rPr>
          <w:szCs w:val="22"/>
          <w:lang w:val="sr-Latn-RS"/>
        </w:rPr>
        <w:t>ij</w:t>
      </w:r>
      <w:r w:rsidRPr="00CA46C7">
        <w:rPr>
          <w:szCs w:val="22"/>
          <w:lang w:val="sr-Latn-RS"/>
        </w:rPr>
        <w:t>ednost starosti</w:t>
      </w:r>
      <w:r w:rsidR="00827040" w:rsidRPr="00CA46C7">
        <w:rPr>
          <w:szCs w:val="22"/>
          <w:lang w:val="sr-Latn-RS"/>
        </w:rPr>
        <w:t xml:space="preserve"> pacijenata je bila 66</w:t>
      </w:r>
      <w:r w:rsidR="00527E8C" w:rsidRPr="00CA46C7">
        <w:rPr>
          <w:szCs w:val="22"/>
          <w:lang w:val="sr-Latn-RS"/>
        </w:rPr>
        <w:t>,</w:t>
      </w:r>
      <w:r w:rsidR="00827040" w:rsidRPr="00CA46C7">
        <w:rPr>
          <w:szCs w:val="22"/>
          <w:lang w:val="sr-Latn-RS"/>
        </w:rPr>
        <w:t>1 ± 15</w:t>
      </w:r>
      <w:r w:rsidR="00527E8C" w:rsidRPr="00CA46C7">
        <w:rPr>
          <w:szCs w:val="22"/>
          <w:lang w:val="sr-Latn-RS"/>
        </w:rPr>
        <w:t>,</w:t>
      </w:r>
      <w:r w:rsidR="00827040" w:rsidRPr="00CA46C7">
        <w:rPr>
          <w:szCs w:val="22"/>
          <w:lang w:val="sr-Latn-RS"/>
        </w:rPr>
        <w:t xml:space="preserve">7 godina. 36% pacijenata su bile žene. 24% pacijenata </w:t>
      </w:r>
      <w:r w:rsidRPr="00CA46C7">
        <w:rPr>
          <w:szCs w:val="22"/>
          <w:lang w:val="sr-Latn-RS"/>
        </w:rPr>
        <w:t xml:space="preserve">je u anamnezi </w:t>
      </w:r>
      <w:r w:rsidR="00827040" w:rsidRPr="00CA46C7">
        <w:rPr>
          <w:szCs w:val="22"/>
          <w:lang w:val="sr-Latn-RS"/>
        </w:rPr>
        <w:t xml:space="preserve">imalo dijabetes, 27% srčano oboljenje, a 21% </w:t>
      </w:r>
      <w:r w:rsidRPr="00CA46C7">
        <w:rPr>
          <w:szCs w:val="22"/>
          <w:lang w:val="sr-Latn-RS"/>
        </w:rPr>
        <w:t xml:space="preserve">hroničnu bolest </w:t>
      </w:r>
      <w:r w:rsidR="00827040" w:rsidRPr="00CA46C7">
        <w:rPr>
          <w:szCs w:val="22"/>
          <w:lang w:val="sr-Latn-RS"/>
        </w:rPr>
        <w:t>pluć</w:t>
      </w:r>
      <w:r w:rsidRPr="00CA46C7">
        <w:rPr>
          <w:szCs w:val="22"/>
          <w:lang w:val="sr-Latn-RS"/>
        </w:rPr>
        <w:t>a</w:t>
      </w:r>
      <w:r w:rsidR="00827040" w:rsidRPr="00CA46C7">
        <w:rPr>
          <w:szCs w:val="22"/>
          <w:lang w:val="sr-Latn-RS"/>
        </w:rPr>
        <w:t xml:space="preserve">. </w:t>
      </w:r>
    </w:p>
    <w:p w14:paraId="26C98C65" w14:textId="77777777" w:rsidR="00BB1690" w:rsidRPr="00CA46C7" w:rsidRDefault="00BB1690" w:rsidP="00EA0376">
      <w:pPr>
        <w:rPr>
          <w:szCs w:val="22"/>
          <w:u w:val="single"/>
          <w:lang w:val="sr-Latn-RS"/>
        </w:rPr>
      </w:pPr>
    </w:p>
    <w:p w14:paraId="3B1D3F3B" w14:textId="737D3E3D" w:rsidR="00827040" w:rsidRPr="00CA46C7" w:rsidRDefault="00827040" w:rsidP="00EA0376">
      <w:pPr>
        <w:rPr>
          <w:szCs w:val="22"/>
          <w:u w:val="single"/>
          <w:lang w:val="sr-Latn-RS"/>
        </w:rPr>
      </w:pPr>
      <w:r w:rsidRPr="00CA46C7">
        <w:rPr>
          <w:szCs w:val="22"/>
          <w:u w:val="single"/>
          <w:lang w:val="sr-Latn-RS"/>
        </w:rPr>
        <w:t>Primarni parametar praćenja</w:t>
      </w:r>
    </w:p>
    <w:p w14:paraId="6C0F9D7D" w14:textId="43A33749" w:rsidR="00827040" w:rsidRPr="00CA46C7" w:rsidRDefault="00827040" w:rsidP="00EA0376">
      <w:pPr>
        <w:rPr>
          <w:szCs w:val="22"/>
          <w:lang w:val="sr-Latn-RS"/>
        </w:rPr>
      </w:pPr>
      <w:r w:rsidRPr="00CA46C7">
        <w:rPr>
          <w:szCs w:val="22"/>
          <w:lang w:val="sr-Latn-RS"/>
        </w:rPr>
        <w:t xml:space="preserve">Mortalitet </w:t>
      </w:r>
      <w:r w:rsidR="00560021" w:rsidRPr="00CA46C7">
        <w:rPr>
          <w:szCs w:val="22"/>
          <w:lang w:val="sr-Latn-RS"/>
        </w:rPr>
        <w:t xml:space="preserve">unutar </w:t>
      </w:r>
      <w:r w:rsidRPr="00CA46C7">
        <w:rPr>
          <w:szCs w:val="22"/>
          <w:lang w:val="sr-Latn-RS"/>
        </w:rPr>
        <w:t xml:space="preserve">28 dana je bio značajno niži u grupi pacijenata koja je primala deksametazon, u odnosu na grupu koja je primala </w:t>
      </w:r>
      <w:r w:rsidR="00560021" w:rsidRPr="00CA46C7">
        <w:rPr>
          <w:szCs w:val="22"/>
          <w:lang w:val="sr-Latn-RS"/>
        </w:rPr>
        <w:t xml:space="preserve">uobičajenu </w:t>
      </w:r>
      <w:r w:rsidRPr="00CA46C7">
        <w:rPr>
          <w:szCs w:val="22"/>
          <w:lang w:val="sr-Latn-RS"/>
        </w:rPr>
        <w:t>terapiju</w:t>
      </w:r>
      <w:r w:rsidR="00560021" w:rsidRPr="00CA46C7">
        <w:rPr>
          <w:szCs w:val="22"/>
          <w:lang w:val="sr-Latn-RS"/>
        </w:rPr>
        <w:t>, sa</w:t>
      </w:r>
      <w:r w:rsidRPr="00CA46C7">
        <w:rPr>
          <w:szCs w:val="22"/>
          <w:lang w:val="sr-Latn-RS"/>
        </w:rPr>
        <w:t xml:space="preserve"> </w:t>
      </w:r>
      <w:r w:rsidR="00560021" w:rsidRPr="00CA46C7">
        <w:rPr>
          <w:szCs w:val="22"/>
          <w:lang w:val="sr-Latn-RS"/>
        </w:rPr>
        <w:t>s</w:t>
      </w:r>
      <w:r w:rsidRPr="00CA46C7">
        <w:rPr>
          <w:szCs w:val="22"/>
          <w:lang w:val="sr-Latn-RS"/>
        </w:rPr>
        <w:t>mrtni</w:t>
      </w:r>
      <w:r w:rsidR="00560021" w:rsidRPr="00CA46C7">
        <w:rPr>
          <w:szCs w:val="22"/>
          <w:lang w:val="sr-Latn-RS"/>
        </w:rPr>
        <w:t>m</w:t>
      </w:r>
      <w:r w:rsidRPr="00CA46C7">
        <w:rPr>
          <w:szCs w:val="22"/>
          <w:lang w:val="sr-Latn-RS"/>
        </w:rPr>
        <w:t xml:space="preserve"> ishod</w:t>
      </w:r>
      <w:r w:rsidR="00560021" w:rsidRPr="00CA46C7">
        <w:rPr>
          <w:szCs w:val="22"/>
          <w:lang w:val="sr-Latn-RS"/>
        </w:rPr>
        <w:t>om</w:t>
      </w:r>
      <w:r w:rsidRPr="00CA46C7">
        <w:rPr>
          <w:szCs w:val="22"/>
          <w:lang w:val="sr-Latn-RS"/>
        </w:rPr>
        <w:t xml:space="preserve"> </w:t>
      </w:r>
      <w:r w:rsidR="00560021" w:rsidRPr="00CA46C7">
        <w:rPr>
          <w:szCs w:val="22"/>
          <w:lang w:val="sr-Latn-RS"/>
        </w:rPr>
        <w:t>prijavljenim</w:t>
      </w:r>
      <w:r w:rsidRPr="00CA46C7">
        <w:rPr>
          <w:szCs w:val="22"/>
          <w:lang w:val="sr-Latn-RS"/>
        </w:rPr>
        <w:t xml:space="preserve"> kod 482 od 2104 pacijenta (22,9%) u grupi koja je primala deksametazon, odnosno 1110 od 4321 (25,7%) u grupi koja je primala </w:t>
      </w:r>
      <w:r w:rsidR="00560021" w:rsidRPr="00CA46C7">
        <w:rPr>
          <w:szCs w:val="22"/>
          <w:lang w:val="sr-Latn-RS"/>
        </w:rPr>
        <w:t>uobičajenu</w:t>
      </w:r>
      <w:r w:rsidRPr="00CA46C7">
        <w:rPr>
          <w:szCs w:val="22"/>
          <w:lang w:val="sr-Latn-RS"/>
        </w:rPr>
        <w:t xml:space="preserve"> terapiju (</w:t>
      </w:r>
      <w:r w:rsidR="00560021" w:rsidRPr="00CA46C7">
        <w:rPr>
          <w:szCs w:val="22"/>
          <w:lang w:val="sr-Latn-RS"/>
        </w:rPr>
        <w:t>odnos stopa</w:t>
      </w:r>
      <w:r w:rsidR="007A0BAD" w:rsidRPr="00CA46C7">
        <w:rPr>
          <w:szCs w:val="22"/>
          <w:lang w:val="sr-Latn-RS"/>
        </w:rPr>
        <w:t>,</w:t>
      </w:r>
      <w:r w:rsidRPr="00CA46C7">
        <w:rPr>
          <w:szCs w:val="22"/>
          <w:lang w:val="sr-Latn-RS"/>
        </w:rPr>
        <w:t xml:space="preserve"> 0</w:t>
      </w:r>
      <w:r w:rsidR="00527E8C" w:rsidRPr="00CA46C7">
        <w:rPr>
          <w:szCs w:val="22"/>
          <w:lang w:val="sr-Latn-RS"/>
        </w:rPr>
        <w:t>,</w:t>
      </w:r>
      <w:r w:rsidRPr="00CA46C7">
        <w:rPr>
          <w:szCs w:val="22"/>
          <w:lang w:val="sr-Latn-RS"/>
        </w:rPr>
        <w:t>83; 95% interval pouzdanosti [</w:t>
      </w:r>
      <w:r w:rsidR="007A0BAD" w:rsidRPr="00CA46C7">
        <w:rPr>
          <w:szCs w:val="22"/>
          <w:lang w:val="sr-Latn-RS"/>
        </w:rPr>
        <w:t xml:space="preserve">engl. </w:t>
      </w:r>
      <w:r w:rsidR="007A0BAD" w:rsidRPr="00CA46C7">
        <w:rPr>
          <w:i/>
          <w:szCs w:val="22"/>
          <w:lang w:val="sr-Latn-RS"/>
        </w:rPr>
        <w:t xml:space="preserve">confidence interval, </w:t>
      </w:r>
      <w:r w:rsidRPr="00CA46C7">
        <w:rPr>
          <w:szCs w:val="22"/>
          <w:lang w:val="sr-Latn-RS"/>
        </w:rPr>
        <w:t>CI], 0</w:t>
      </w:r>
      <w:r w:rsidR="00527E8C" w:rsidRPr="00CA46C7">
        <w:rPr>
          <w:szCs w:val="22"/>
          <w:lang w:val="sr-Latn-RS"/>
        </w:rPr>
        <w:t>,</w:t>
      </w:r>
      <w:r w:rsidRPr="00CA46C7">
        <w:rPr>
          <w:szCs w:val="22"/>
          <w:lang w:val="sr-Latn-RS"/>
        </w:rPr>
        <w:t>75 do 0</w:t>
      </w:r>
      <w:r w:rsidR="00527E8C" w:rsidRPr="00CA46C7">
        <w:rPr>
          <w:szCs w:val="22"/>
          <w:lang w:val="sr-Latn-RS"/>
        </w:rPr>
        <w:t>,</w:t>
      </w:r>
      <w:r w:rsidRPr="00CA46C7">
        <w:rPr>
          <w:szCs w:val="22"/>
          <w:lang w:val="sr-Latn-RS"/>
        </w:rPr>
        <w:t xml:space="preserve">93; </w:t>
      </w:r>
      <w:r w:rsidR="007A0BAD" w:rsidRPr="00CA46C7">
        <w:rPr>
          <w:szCs w:val="22"/>
          <w:lang w:val="sr-Latn-RS"/>
        </w:rPr>
        <w:t>P</w:t>
      </w:r>
      <w:r w:rsidRPr="00CA46C7">
        <w:rPr>
          <w:szCs w:val="22"/>
          <w:lang w:val="sr-Latn-RS"/>
        </w:rPr>
        <w:t xml:space="preserve"> &lt;0</w:t>
      </w:r>
      <w:r w:rsidR="00527E8C" w:rsidRPr="00CA46C7">
        <w:rPr>
          <w:szCs w:val="22"/>
          <w:lang w:val="sr-Latn-RS"/>
        </w:rPr>
        <w:t>,</w:t>
      </w:r>
      <w:r w:rsidRPr="00CA46C7">
        <w:rPr>
          <w:szCs w:val="22"/>
          <w:lang w:val="sr-Latn-RS"/>
        </w:rPr>
        <w:t>001).</w:t>
      </w:r>
    </w:p>
    <w:p w14:paraId="2E19A332" w14:textId="07579103" w:rsidR="00827040" w:rsidRPr="00CA46C7" w:rsidRDefault="00827040" w:rsidP="00EA0376">
      <w:pPr>
        <w:rPr>
          <w:szCs w:val="22"/>
          <w:lang w:val="sr-Latn-RS"/>
        </w:rPr>
      </w:pPr>
      <w:r w:rsidRPr="00CA46C7">
        <w:rPr>
          <w:szCs w:val="22"/>
          <w:lang w:val="sr-Latn-RS"/>
        </w:rPr>
        <w:t xml:space="preserve">U grupi koja je primala deksametazon, učestalost smrtnog ishoda je bila niža u odnosu na grupu koja je primala </w:t>
      </w:r>
      <w:r w:rsidR="007A0BAD" w:rsidRPr="00CA46C7">
        <w:rPr>
          <w:szCs w:val="22"/>
          <w:lang w:val="sr-Latn-RS"/>
        </w:rPr>
        <w:t xml:space="preserve">uobičajenu </w:t>
      </w:r>
      <w:r w:rsidRPr="00CA46C7">
        <w:rPr>
          <w:szCs w:val="22"/>
          <w:lang w:val="sr-Latn-RS"/>
        </w:rPr>
        <w:t>terapiju, kod pacijenata koji su bili na invazivnoj mehaničkoj ventilaciji (29</w:t>
      </w:r>
      <w:r w:rsidR="00527E8C" w:rsidRPr="00CA46C7">
        <w:rPr>
          <w:szCs w:val="22"/>
          <w:lang w:val="sr-Latn-RS"/>
        </w:rPr>
        <w:t>,</w:t>
      </w:r>
      <w:r w:rsidRPr="00CA46C7">
        <w:rPr>
          <w:szCs w:val="22"/>
          <w:lang w:val="sr-Latn-RS"/>
        </w:rPr>
        <w:t xml:space="preserve">3% </w:t>
      </w:r>
      <w:r w:rsidR="007A0BAD" w:rsidRPr="00CA46C7">
        <w:rPr>
          <w:szCs w:val="22"/>
          <w:lang w:val="sr-Latn-RS"/>
        </w:rPr>
        <w:t xml:space="preserve">u odnosu na </w:t>
      </w:r>
      <w:r w:rsidRPr="00CA46C7">
        <w:rPr>
          <w:szCs w:val="22"/>
          <w:lang w:val="sr-Latn-RS"/>
        </w:rPr>
        <w:t>41</w:t>
      </w:r>
      <w:r w:rsidR="00527E8C" w:rsidRPr="00CA46C7">
        <w:rPr>
          <w:szCs w:val="22"/>
          <w:lang w:val="sr-Latn-RS"/>
        </w:rPr>
        <w:t>,</w:t>
      </w:r>
      <w:r w:rsidRPr="00CA46C7">
        <w:rPr>
          <w:szCs w:val="22"/>
          <w:lang w:val="sr-Latn-RS"/>
        </w:rPr>
        <w:t xml:space="preserve">4%; </w:t>
      </w:r>
      <w:r w:rsidR="007A0BAD" w:rsidRPr="00CA46C7">
        <w:rPr>
          <w:szCs w:val="22"/>
          <w:lang w:val="sr-Latn-RS"/>
        </w:rPr>
        <w:t xml:space="preserve">odnos stopa, </w:t>
      </w:r>
      <w:r w:rsidRPr="00CA46C7">
        <w:rPr>
          <w:szCs w:val="22"/>
          <w:lang w:val="sr-Latn-RS"/>
        </w:rPr>
        <w:t>0</w:t>
      </w:r>
      <w:r w:rsidR="00527E8C" w:rsidRPr="00CA46C7">
        <w:rPr>
          <w:szCs w:val="22"/>
          <w:lang w:val="sr-Latn-RS"/>
        </w:rPr>
        <w:t>,</w:t>
      </w:r>
      <w:r w:rsidRPr="00CA46C7">
        <w:rPr>
          <w:szCs w:val="22"/>
          <w:lang w:val="sr-Latn-RS"/>
        </w:rPr>
        <w:t>64; 95% CI, 0</w:t>
      </w:r>
      <w:r w:rsidR="00527E8C" w:rsidRPr="00CA46C7">
        <w:rPr>
          <w:szCs w:val="22"/>
          <w:lang w:val="sr-Latn-RS"/>
        </w:rPr>
        <w:t>,</w:t>
      </w:r>
      <w:r w:rsidRPr="00CA46C7">
        <w:rPr>
          <w:szCs w:val="22"/>
          <w:lang w:val="sr-Latn-RS"/>
        </w:rPr>
        <w:t>51 do 0</w:t>
      </w:r>
      <w:r w:rsidR="00527E8C" w:rsidRPr="00CA46C7">
        <w:rPr>
          <w:szCs w:val="22"/>
          <w:lang w:val="sr-Latn-RS"/>
        </w:rPr>
        <w:t>,</w:t>
      </w:r>
      <w:r w:rsidRPr="00CA46C7">
        <w:rPr>
          <w:szCs w:val="22"/>
          <w:lang w:val="sr-Latn-RS"/>
        </w:rPr>
        <w:t xml:space="preserve">81), kao i kod pacijenata koji su </w:t>
      </w:r>
      <w:r w:rsidR="007A0BAD" w:rsidRPr="00CA46C7">
        <w:rPr>
          <w:szCs w:val="22"/>
          <w:lang w:val="sr-Latn-RS"/>
        </w:rPr>
        <w:t>primali dodatni kiseonik bez invazivne mehaničke ventilacije</w:t>
      </w:r>
      <w:r w:rsidRPr="00CA46C7">
        <w:rPr>
          <w:szCs w:val="22"/>
          <w:lang w:val="sr-Latn-RS"/>
        </w:rPr>
        <w:t xml:space="preserve"> (23</w:t>
      </w:r>
      <w:r w:rsidR="00527E8C" w:rsidRPr="00CA46C7">
        <w:rPr>
          <w:szCs w:val="22"/>
          <w:lang w:val="sr-Latn-RS"/>
        </w:rPr>
        <w:t>,</w:t>
      </w:r>
      <w:r w:rsidRPr="00CA46C7">
        <w:rPr>
          <w:szCs w:val="22"/>
          <w:lang w:val="sr-Latn-RS"/>
        </w:rPr>
        <w:t xml:space="preserve">3% </w:t>
      </w:r>
      <w:r w:rsidR="007A0BAD" w:rsidRPr="00CA46C7">
        <w:rPr>
          <w:szCs w:val="22"/>
          <w:lang w:val="sr-Latn-RS"/>
        </w:rPr>
        <w:t xml:space="preserve">u odnosu na </w:t>
      </w:r>
      <w:r w:rsidRPr="00CA46C7">
        <w:rPr>
          <w:szCs w:val="22"/>
          <w:lang w:val="sr-Latn-RS"/>
        </w:rPr>
        <w:t>26</w:t>
      </w:r>
      <w:r w:rsidR="00527E8C" w:rsidRPr="00CA46C7">
        <w:rPr>
          <w:szCs w:val="22"/>
          <w:lang w:val="sr-Latn-RS"/>
        </w:rPr>
        <w:t>,</w:t>
      </w:r>
      <w:r w:rsidRPr="00CA46C7">
        <w:rPr>
          <w:szCs w:val="22"/>
          <w:lang w:val="sr-Latn-RS"/>
        </w:rPr>
        <w:t xml:space="preserve">2%; </w:t>
      </w:r>
      <w:r w:rsidR="007A0BAD" w:rsidRPr="00CA46C7">
        <w:rPr>
          <w:szCs w:val="22"/>
          <w:lang w:val="sr-Latn-RS"/>
        </w:rPr>
        <w:t>odnos stopa</w:t>
      </w:r>
      <w:r w:rsidRPr="00CA46C7">
        <w:rPr>
          <w:szCs w:val="22"/>
          <w:lang w:val="sr-Latn-RS"/>
        </w:rPr>
        <w:t>, 0</w:t>
      </w:r>
      <w:r w:rsidR="00527E8C" w:rsidRPr="00CA46C7">
        <w:rPr>
          <w:szCs w:val="22"/>
          <w:lang w:val="sr-Latn-RS"/>
        </w:rPr>
        <w:t>,</w:t>
      </w:r>
      <w:r w:rsidRPr="00CA46C7">
        <w:rPr>
          <w:szCs w:val="22"/>
          <w:lang w:val="sr-Latn-RS"/>
        </w:rPr>
        <w:t>82; 95% CI, 0</w:t>
      </w:r>
      <w:r w:rsidR="00527E8C" w:rsidRPr="00CA46C7">
        <w:rPr>
          <w:szCs w:val="22"/>
          <w:lang w:val="sr-Latn-RS"/>
        </w:rPr>
        <w:t>,</w:t>
      </w:r>
      <w:r w:rsidRPr="00CA46C7">
        <w:rPr>
          <w:szCs w:val="22"/>
          <w:lang w:val="sr-Latn-RS"/>
        </w:rPr>
        <w:t>72 do 0</w:t>
      </w:r>
      <w:r w:rsidR="00527E8C" w:rsidRPr="00CA46C7">
        <w:rPr>
          <w:szCs w:val="22"/>
          <w:lang w:val="sr-Latn-RS"/>
        </w:rPr>
        <w:t>,</w:t>
      </w:r>
      <w:r w:rsidRPr="00CA46C7">
        <w:rPr>
          <w:szCs w:val="22"/>
          <w:lang w:val="sr-Latn-RS"/>
        </w:rPr>
        <w:t>94).</w:t>
      </w:r>
    </w:p>
    <w:p w14:paraId="28968677" w14:textId="26F7DCBA" w:rsidR="00827040" w:rsidRPr="00CA46C7" w:rsidRDefault="00827040" w:rsidP="00EA0376">
      <w:pPr>
        <w:rPr>
          <w:szCs w:val="22"/>
          <w:lang w:val="sr-Latn-RS"/>
        </w:rPr>
      </w:pPr>
      <w:r w:rsidRPr="00CA46C7">
        <w:rPr>
          <w:szCs w:val="22"/>
          <w:lang w:val="sr-Latn-RS"/>
        </w:rPr>
        <w:t xml:space="preserve">Nije </w:t>
      </w:r>
      <w:r w:rsidR="007A0BAD" w:rsidRPr="00CA46C7">
        <w:rPr>
          <w:szCs w:val="22"/>
          <w:lang w:val="sr-Latn-RS"/>
        </w:rPr>
        <w:t xml:space="preserve">bilo </w:t>
      </w:r>
      <w:r w:rsidRPr="00CA46C7">
        <w:rPr>
          <w:szCs w:val="22"/>
          <w:lang w:val="sr-Latn-RS"/>
        </w:rPr>
        <w:t>jasn</w:t>
      </w:r>
      <w:r w:rsidR="007A0BAD" w:rsidRPr="00CA46C7">
        <w:rPr>
          <w:szCs w:val="22"/>
          <w:lang w:val="sr-Latn-RS"/>
        </w:rPr>
        <w:t>og</w:t>
      </w:r>
      <w:r w:rsidRPr="00CA46C7">
        <w:rPr>
          <w:szCs w:val="22"/>
          <w:lang w:val="sr-Latn-RS"/>
        </w:rPr>
        <w:t xml:space="preserve"> efekt</w:t>
      </w:r>
      <w:r w:rsidR="007A0BAD" w:rsidRPr="00CA46C7">
        <w:rPr>
          <w:szCs w:val="22"/>
          <w:lang w:val="sr-Latn-RS"/>
        </w:rPr>
        <w:t>a</w:t>
      </w:r>
      <w:r w:rsidRPr="00CA46C7">
        <w:rPr>
          <w:szCs w:val="22"/>
          <w:lang w:val="sr-Latn-RS"/>
        </w:rPr>
        <w:t xml:space="preserve"> deksametazona kod pacijenata koji </w:t>
      </w:r>
      <w:r w:rsidR="007A0BAD" w:rsidRPr="00CA46C7">
        <w:rPr>
          <w:szCs w:val="22"/>
          <w:lang w:val="sr-Latn-RS"/>
        </w:rPr>
        <w:t>ni</w:t>
      </w:r>
      <w:r w:rsidR="00BB1690" w:rsidRPr="00CA46C7">
        <w:rPr>
          <w:szCs w:val="22"/>
          <w:lang w:val="sr-Latn-RS"/>
        </w:rPr>
        <w:t>je</w:t>
      </w:r>
      <w:r w:rsidR="007A0BAD" w:rsidRPr="00CA46C7">
        <w:rPr>
          <w:szCs w:val="22"/>
          <w:lang w:val="sr-Latn-RS"/>
        </w:rPr>
        <w:t>su primali nikakvu respiratornu potporu u trenutku</w:t>
      </w:r>
      <w:r w:rsidRPr="00CA46C7">
        <w:rPr>
          <w:szCs w:val="22"/>
          <w:lang w:val="sr-Latn-RS"/>
        </w:rPr>
        <w:t xml:space="preserve"> randomizacije (17</w:t>
      </w:r>
      <w:r w:rsidR="00527E8C" w:rsidRPr="00CA46C7">
        <w:rPr>
          <w:szCs w:val="22"/>
          <w:lang w:val="sr-Latn-RS"/>
        </w:rPr>
        <w:t>,</w:t>
      </w:r>
      <w:r w:rsidRPr="00CA46C7">
        <w:rPr>
          <w:szCs w:val="22"/>
          <w:lang w:val="sr-Latn-RS"/>
        </w:rPr>
        <w:t xml:space="preserve">8% </w:t>
      </w:r>
      <w:r w:rsidR="007A0BAD" w:rsidRPr="00CA46C7">
        <w:rPr>
          <w:szCs w:val="22"/>
          <w:lang w:val="sr-Latn-RS"/>
        </w:rPr>
        <w:t xml:space="preserve">u odnosu na </w:t>
      </w:r>
      <w:r w:rsidRPr="00CA46C7">
        <w:rPr>
          <w:szCs w:val="22"/>
          <w:lang w:val="sr-Latn-RS"/>
        </w:rPr>
        <w:t>14</w:t>
      </w:r>
      <w:r w:rsidR="00527E8C" w:rsidRPr="00CA46C7">
        <w:rPr>
          <w:szCs w:val="22"/>
          <w:lang w:val="sr-Latn-RS"/>
        </w:rPr>
        <w:t>,</w:t>
      </w:r>
      <w:r w:rsidRPr="00CA46C7">
        <w:rPr>
          <w:szCs w:val="22"/>
          <w:lang w:val="sr-Latn-RS"/>
        </w:rPr>
        <w:t xml:space="preserve">0%; </w:t>
      </w:r>
      <w:r w:rsidR="007A0BAD" w:rsidRPr="00CA46C7">
        <w:rPr>
          <w:szCs w:val="22"/>
          <w:lang w:val="sr-Latn-RS"/>
        </w:rPr>
        <w:t>odnos stopa</w:t>
      </w:r>
      <w:r w:rsidRPr="00CA46C7">
        <w:rPr>
          <w:szCs w:val="22"/>
          <w:lang w:val="sr-Latn-RS"/>
        </w:rPr>
        <w:t>, 1</w:t>
      </w:r>
      <w:r w:rsidR="00527E8C" w:rsidRPr="00CA46C7">
        <w:rPr>
          <w:szCs w:val="22"/>
          <w:lang w:val="sr-Latn-RS"/>
        </w:rPr>
        <w:t>,</w:t>
      </w:r>
      <w:r w:rsidRPr="00CA46C7">
        <w:rPr>
          <w:szCs w:val="22"/>
          <w:lang w:val="sr-Latn-RS"/>
        </w:rPr>
        <w:t>19; 95% CI, 0</w:t>
      </w:r>
      <w:r w:rsidR="00527E8C" w:rsidRPr="00CA46C7">
        <w:rPr>
          <w:szCs w:val="22"/>
          <w:lang w:val="sr-Latn-RS"/>
        </w:rPr>
        <w:t>,</w:t>
      </w:r>
      <w:r w:rsidRPr="00CA46C7">
        <w:rPr>
          <w:szCs w:val="22"/>
          <w:lang w:val="sr-Latn-RS"/>
        </w:rPr>
        <w:t>91 do 1</w:t>
      </w:r>
      <w:r w:rsidR="00527E8C" w:rsidRPr="00CA46C7">
        <w:rPr>
          <w:szCs w:val="22"/>
          <w:lang w:val="sr-Latn-RS"/>
        </w:rPr>
        <w:t>,</w:t>
      </w:r>
      <w:r w:rsidRPr="00CA46C7">
        <w:rPr>
          <w:szCs w:val="22"/>
          <w:lang w:val="sr-Latn-RS"/>
        </w:rPr>
        <w:t>55).</w:t>
      </w:r>
    </w:p>
    <w:p w14:paraId="0DDB81E6" w14:textId="77777777" w:rsidR="00BB1690" w:rsidRPr="00CA46C7" w:rsidRDefault="00BB1690" w:rsidP="00EA0376">
      <w:pPr>
        <w:rPr>
          <w:szCs w:val="22"/>
          <w:lang w:val="sr-Latn-RS"/>
        </w:rPr>
      </w:pPr>
    </w:p>
    <w:p w14:paraId="77026A1F" w14:textId="77777777" w:rsidR="00827040" w:rsidRPr="00CA46C7" w:rsidRDefault="00827040" w:rsidP="00EA0376">
      <w:pPr>
        <w:rPr>
          <w:szCs w:val="22"/>
          <w:u w:val="single"/>
          <w:lang w:val="sr-Latn-RS"/>
        </w:rPr>
      </w:pPr>
      <w:r w:rsidRPr="00CA46C7">
        <w:rPr>
          <w:szCs w:val="22"/>
          <w:u w:val="single"/>
          <w:lang w:val="sr-Latn-RS"/>
        </w:rPr>
        <w:t>Sekundarni parametri praćenja</w:t>
      </w:r>
    </w:p>
    <w:p w14:paraId="32AE1781" w14:textId="0B037906" w:rsidR="00827040" w:rsidRPr="00CA46C7" w:rsidRDefault="00827040" w:rsidP="00EA0376">
      <w:pPr>
        <w:rPr>
          <w:szCs w:val="22"/>
          <w:lang w:val="sr-Latn-RS"/>
        </w:rPr>
      </w:pPr>
      <w:r w:rsidRPr="00CA46C7">
        <w:rPr>
          <w:szCs w:val="22"/>
          <w:lang w:val="sr-Latn-RS"/>
        </w:rPr>
        <w:t xml:space="preserve">Pacijenti iz grupe koja je primala deksametazon su </w:t>
      </w:r>
      <w:r w:rsidR="007A0BAD" w:rsidRPr="00CA46C7">
        <w:rPr>
          <w:szCs w:val="22"/>
          <w:lang w:val="sr-Latn-RS"/>
        </w:rPr>
        <w:t>imali</w:t>
      </w:r>
      <w:r w:rsidRPr="00CA46C7">
        <w:rPr>
          <w:szCs w:val="22"/>
          <w:lang w:val="sr-Latn-RS"/>
        </w:rPr>
        <w:t xml:space="preserve"> kraće </w:t>
      </w:r>
      <w:r w:rsidR="007A0BAD" w:rsidRPr="00CA46C7">
        <w:rPr>
          <w:szCs w:val="22"/>
          <w:lang w:val="sr-Latn-RS"/>
        </w:rPr>
        <w:t xml:space="preserve">trajanje hospitalizacije </w:t>
      </w:r>
      <w:r w:rsidRPr="00CA46C7">
        <w:rPr>
          <w:szCs w:val="22"/>
          <w:lang w:val="sr-Latn-RS"/>
        </w:rPr>
        <w:t xml:space="preserve">u odnosu na grupu koja je primala </w:t>
      </w:r>
      <w:r w:rsidR="007A0BAD" w:rsidRPr="00CA46C7">
        <w:rPr>
          <w:szCs w:val="22"/>
          <w:lang w:val="sr-Latn-RS"/>
        </w:rPr>
        <w:t xml:space="preserve">uobičajenu </w:t>
      </w:r>
      <w:r w:rsidRPr="00CA46C7">
        <w:rPr>
          <w:szCs w:val="22"/>
          <w:lang w:val="sr-Latn-RS"/>
        </w:rPr>
        <w:t xml:space="preserve">terapiju (medijana 12 dana </w:t>
      </w:r>
      <w:r w:rsidR="007A0BAD" w:rsidRPr="00CA46C7">
        <w:rPr>
          <w:szCs w:val="22"/>
          <w:lang w:val="sr-Latn-RS"/>
        </w:rPr>
        <w:t xml:space="preserve">u odnosu na </w:t>
      </w:r>
      <w:r w:rsidRPr="00CA46C7">
        <w:rPr>
          <w:szCs w:val="22"/>
          <w:lang w:val="sr-Latn-RS"/>
        </w:rPr>
        <w:t>13 dana) i imali su veću v</w:t>
      </w:r>
      <w:r w:rsidR="00BF1785" w:rsidRPr="00CA46C7">
        <w:rPr>
          <w:szCs w:val="22"/>
          <w:lang w:val="sr-Latn-RS"/>
        </w:rPr>
        <w:t>j</w:t>
      </w:r>
      <w:r w:rsidRPr="00CA46C7">
        <w:rPr>
          <w:szCs w:val="22"/>
          <w:lang w:val="sr-Latn-RS"/>
        </w:rPr>
        <w:t xml:space="preserve">erovatnoću da </w:t>
      </w:r>
      <w:r w:rsidR="00527E8C" w:rsidRPr="00CA46C7">
        <w:rPr>
          <w:szCs w:val="22"/>
          <w:lang w:val="sr-Latn-RS"/>
        </w:rPr>
        <w:t xml:space="preserve">budu </w:t>
      </w:r>
      <w:r w:rsidRPr="00CA46C7">
        <w:rPr>
          <w:szCs w:val="22"/>
          <w:lang w:val="sr-Latn-RS"/>
        </w:rPr>
        <w:t xml:space="preserve">otpušteni </w:t>
      </w:r>
      <w:r w:rsidR="007A0BAD" w:rsidRPr="00CA46C7">
        <w:rPr>
          <w:szCs w:val="22"/>
          <w:lang w:val="sr-Latn-RS"/>
        </w:rPr>
        <w:t xml:space="preserve">živi </w:t>
      </w:r>
      <w:r w:rsidRPr="00CA46C7">
        <w:rPr>
          <w:szCs w:val="22"/>
          <w:lang w:val="sr-Latn-RS"/>
        </w:rPr>
        <w:t>iz bolnice</w:t>
      </w:r>
      <w:r w:rsidR="007A0BAD" w:rsidRPr="00CA46C7">
        <w:rPr>
          <w:szCs w:val="22"/>
          <w:lang w:val="sr-Latn-RS"/>
        </w:rPr>
        <w:t xml:space="preserve"> unutar 28 dana</w:t>
      </w:r>
      <w:r w:rsidRPr="00CA46C7">
        <w:rPr>
          <w:szCs w:val="22"/>
          <w:lang w:val="sr-Latn-RS"/>
        </w:rPr>
        <w:t xml:space="preserve"> (</w:t>
      </w:r>
      <w:r w:rsidR="007A0BAD" w:rsidRPr="00CA46C7">
        <w:rPr>
          <w:szCs w:val="22"/>
          <w:lang w:val="sr-Latn-RS"/>
        </w:rPr>
        <w:t>odnos stopa</w:t>
      </w:r>
      <w:r w:rsidRPr="00CA46C7">
        <w:rPr>
          <w:szCs w:val="22"/>
          <w:lang w:val="sr-Latn-RS"/>
        </w:rPr>
        <w:t>, 1</w:t>
      </w:r>
      <w:r w:rsidR="00527E8C" w:rsidRPr="00CA46C7">
        <w:rPr>
          <w:szCs w:val="22"/>
          <w:lang w:val="sr-Latn-RS"/>
        </w:rPr>
        <w:t>,</w:t>
      </w:r>
      <w:r w:rsidRPr="00CA46C7">
        <w:rPr>
          <w:szCs w:val="22"/>
          <w:lang w:val="sr-Latn-RS"/>
        </w:rPr>
        <w:t>10; 95% CI, 1</w:t>
      </w:r>
      <w:r w:rsidR="00527E8C" w:rsidRPr="00CA46C7">
        <w:rPr>
          <w:szCs w:val="22"/>
          <w:lang w:val="sr-Latn-RS"/>
        </w:rPr>
        <w:t>,</w:t>
      </w:r>
      <w:r w:rsidRPr="00CA46C7">
        <w:rPr>
          <w:szCs w:val="22"/>
          <w:lang w:val="sr-Latn-RS"/>
        </w:rPr>
        <w:t>03 do 1</w:t>
      </w:r>
      <w:r w:rsidR="00527E8C" w:rsidRPr="00CA46C7">
        <w:rPr>
          <w:szCs w:val="22"/>
          <w:lang w:val="sr-Latn-RS"/>
        </w:rPr>
        <w:t>,</w:t>
      </w:r>
      <w:r w:rsidRPr="00CA46C7">
        <w:rPr>
          <w:szCs w:val="22"/>
          <w:lang w:val="sr-Latn-RS"/>
        </w:rPr>
        <w:t>17).</w:t>
      </w:r>
    </w:p>
    <w:p w14:paraId="5BC88D99" w14:textId="79F103A4" w:rsidR="00827040" w:rsidRPr="00CA46C7" w:rsidRDefault="00827040" w:rsidP="00EA0376">
      <w:pPr>
        <w:rPr>
          <w:szCs w:val="22"/>
          <w:lang w:val="sr-Latn-RS"/>
        </w:rPr>
      </w:pPr>
      <w:r w:rsidRPr="00CA46C7">
        <w:rPr>
          <w:szCs w:val="22"/>
          <w:lang w:val="sr-Latn-RS"/>
        </w:rPr>
        <w:t>U skladu sa primarnim parametrom praćenja, na</w:t>
      </w:r>
      <w:r w:rsidR="00527E8C" w:rsidRPr="00CA46C7">
        <w:rPr>
          <w:szCs w:val="22"/>
          <w:lang w:val="sr-Latn-RS"/>
        </w:rPr>
        <w:t>j</w:t>
      </w:r>
      <w:r w:rsidRPr="00CA46C7">
        <w:rPr>
          <w:szCs w:val="22"/>
          <w:lang w:val="sr-Latn-RS"/>
        </w:rPr>
        <w:t xml:space="preserve">izraženiji efekat </w:t>
      </w:r>
      <w:r w:rsidR="007A0BAD" w:rsidRPr="00CA46C7">
        <w:rPr>
          <w:szCs w:val="22"/>
          <w:lang w:val="sr-Latn-RS"/>
        </w:rPr>
        <w:t xml:space="preserve">vezan za otpuštanje iz bolnice unutar 28 dana </w:t>
      </w:r>
      <w:r w:rsidRPr="00CA46C7">
        <w:rPr>
          <w:szCs w:val="22"/>
          <w:lang w:val="sr-Latn-RS"/>
        </w:rPr>
        <w:t xml:space="preserve">je </w:t>
      </w:r>
      <w:r w:rsidR="007A0BAD" w:rsidRPr="00CA46C7">
        <w:rPr>
          <w:szCs w:val="22"/>
          <w:lang w:val="sr-Latn-RS"/>
        </w:rPr>
        <w:t>prim</w:t>
      </w:r>
      <w:r w:rsidR="00BF1785" w:rsidRPr="00CA46C7">
        <w:rPr>
          <w:szCs w:val="22"/>
          <w:lang w:val="sr-Latn-RS"/>
        </w:rPr>
        <w:t>ij</w:t>
      </w:r>
      <w:r w:rsidR="007A0BAD" w:rsidRPr="00CA46C7">
        <w:rPr>
          <w:szCs w:val="22"/>
          <w:lang w:val="sr-Latn-RS"/>
        </w:rPr>
        <w:t xml:space="preserve">ećen među </w:t>
      </w:r>
      <w:r w:rsidRPr="00CA46C7">
        <w:rPr>
          <w:szCs w:val="22"/>
          <w:lang w:val="sr-Latn-RS"/>
        </w:rPr>
        <w:t>pacijen</w:t>
      </w:r>
      <w:r w:rsidR="007A0BAD" w:rsidRPr="00CA46C7">
        <w:rPr>
          <w:szCs w:val="22"/>
          <w:lang w:val="sr-Latn-RS"/>
        </w:rPr>
        <w:t>tima</w:t>
      </w:r>
      <w:r w:rsidRPr="00CA46C7">
        <w:rPr>
          <w:szCs w:val="22"/>
          <w:lang w:val="sr-Latn-RS"/>
        </w:rPr>
        <w:t xml:space="preserve"> koji su bili na invazivnoj mehaničkoj ventilaciji </w:t>
      </w:r>
      <w:r w:rsidR="007A0BAD" w:rsidRPr="00CA46C7">
        <w:rPr>
          <w:szCs w:val="22"/>
          <w:lang w:val="sr-Latn-RS"/>
        </w:rPr>
        <w:t xml:space="preserve">u trenutku randomizacije </w:t>
      </w:r>
      <w:r w:rsidRPr="00CA46C7">
        <w:rPr>
          <w:szCs w:val="22"/>
          <w:lang w:val="sr-Latn-RS"/>
        </w:rPr>
        <w:t>(</w:t>
      </w:r>
      <w:r w:rsidR="007A0BAD" w:rsidRPr="00CA46C7">
        <w:rPr>
          <w:szCs w:val="22"/>
          <w:lang w:val="sr-Latn-RS"/>
        </w:rPr>
        <w:t xml:space="preserve">odnos stopa </w:t>
      </w:r>
      <w:r w:rsidRPr="00CA46C7">
        <w:rPr>
          <w:szCs w:val="22"/>
          <w:lang w:val="sr-Latn-RS"/>
        </w:rPr>
        <w:t>1</w:t>
      </w:r>
      <w:r w:rsidR="00527E8C" w:rsidRPr="00CA46C7">
        <w:rPr>
          <w:szCs w:val="22"/>
          <w:lang w:val="sr-Latn-RS"/>
        </w:rPr>
        <w:t>,</w:t>
      </w:r>
      <w:r w:rsidRPr="00CA46C7">
        <w:rPr>
          <w:szCs w:val="22"/>
          <w:lang w:val="sr-Latn-RS"/>
        </w:rPr>
        <w:t>48; 95% CI 1</w:t>
      </w:r>
      <w:r w:rsidR="00527E8C" w:rsidRPr="00CA46C7">
        <w:rPr>
          <w:szCs w:val="22"/>
          <w:lang w:val="sr-Latn-RS"/>
        </w:rPr>
        <w:t>,</w:t>
      </w:r>
      <w:r w:rsidRPr="00CA46C7">
        <w:rPr>
          <w:szCs w:val="22"/>
          <w:lang w:val="sr-Latn-RS"/>
        </w:rPr>
        <w:t>16, 1</w:t>
      </w:r>
      <w:r w:rsidR="00527E8C" w:rsidRPr="00CA46C7">
        <w:rPr>
          <w:szCs w:val="22"/>
          <w:lang w:val="sr-Latn-RS"/>
        </w:rPr>
        <w:t>,</w:t>
      </w:r>
      <w:r w:rsidRPr="00CA46C7">
        <w:rPr>
          <w:szCs w:val="22"/>
          <w:lang w:val="sr-Latn-RS"/>
        </w:rPr>
        <w:t xml:space="preserve">90), </w:t>
      </w:r>
      <w:r w:rsidR="007A0BAD" w:rsidRPr="00CA46C7">
        <w:rPr>
          <w:szCs w:val="22"/>
          <w:lang w:val="sr-Latn-RS"/>
        </w:rPr>
        <w:t xml:space="preserve">potom </w:t>
      </w:r>
      <w:r w:rsidRPr="00CA46C7">
        <w:rPr>
          <w:szCs w:val="22"/>
          <w:lang w:val="sr-Latn-RS"/>
        </w:rPr>
        <w:t xml:space="preserve">kod pacijenata koji su </w:t>
      </w:r>
      <w:r w:rsidR="007A0BAD" w:rsidRPr="00CA46C7">
        <w:rPr>
          <w:szCs w:val="22"/>
          <w:lang w:val="sr-Latn-RS"/>
        </w:rPr>
        <w:t>primali samo kiseonik</w:t>
      </w:r>
      <w:r w:rsidRPr="00CA46C7">
        <w:rPr>
          <w:szCs w:val="22"/>
          <w:lang w:val="sr-Latn-RS"/>
        </w:rPr>
        <w:t xml:space="preserve"> (</w:t>
      </w:r>
      <w:r w:rsidR="007A0BAD" w:rsidRPr="00CA46C7">
        <w:rPr>
          <w:szCs w:val="22"/>
          <w:lang w:val="sr-Latn-RS"/>
        </w:rPr>
        <w:t>odnos stopa</w:t>
      </w:r>
      <w:r w:rsidRPr="00CA46C7">
        <w:rPr>
          <w:szCs w:val="22"/>
          <w:lang w:val="sr-Latn-RS"/>
        </w:rPr>
        <w:t>, 1</w:t>
      </w:r>
      <w:r w:rsidR="00527E8C" w:rsidRPr="00CA46C7">
        <w:rPr>
          <w:szCs w:val="22"/>
          <w:lang w:val="sr-Latn-RS"/>
        </w:rPr>
        <w:t>,</w:t>
      </w:r>
      <w:r w:rsidRPr="00CA46C7">
        <w:rPr>
          <w:szCs w:val="22"/>
          <w:lang w:val="sr-Latn-RS"/>
        </w:rPr>
        <w:t>15; 95% CI 1</w:t>
      </w:r>
      <w:r w:rsidR="00527E8C" w:rsidRPr="00CA46C7">
        <w:rPr>
          <w:szCs w:val="22"/>
          <w:lang w:val="sr-Latn-RS"/>
        </w:rPr>
        <w:t>,</w:t>
      </w:r>
      <w:r w:rsidRPr="00CA46C7">
        <w:rPr>
          <w:szCs w:val="22"/>
          <w:lang w:val="sr-Latn-RS"/>
        </w:rPr>
        <w:t xml:space="preserve">06 </w:t>
      </w:r>
      <w:r w:rsidR="00527E8C" w:rsidRPr="00CA46C7">
        <w:rPr>
          <w:szCs w:val="22"/>
          <w:lang w:val="sr-Latn-RS"/>
        </w:rPr>
        <w:t>–</w:t>
      </w:r>
      <w:r w:rsidRPr="00CA46C7">
        <w:rPr>
          <w:szCs w:val="22"/>
          <w:lang w:val="sr-Latn-RS"/>
        </w:rPr>
        <w:t xml:space="preserve"> 1</w:t>
      </w:r>
      <w:r w:rsidR="00527E8C" w:rsidRPr="00CA46C7">
        <w:rPr>
          <w:szCs w:val="22"/>
          <w:lang w:val="sr-Latn-RS"/>
        </w:rPr>
        <w:t>,</w:t>
      </w:r>
      <w:r w:rsidRPr="00CA46C7">
        <w:rPr>
          <w:szCs w:val="22"/>
          <w:lang w:val="sr-Latn-RS"/>
        </w:rPr>
        <w:t>24), dok kod pacijenata koji ni</w:t>
      </w:r>
      <w:r w:rsidR="00BB1690" w:rsidRPr="00CA46C7">
        <w:rPr>
          <w:szCs w:val="22"/>
          <w:lang w:val="sr-Latn-RS"/>
        </w:rPr>
        <w:t>je</w:t>
      </w:r>
      <w:r w:rsidRPr="00CA46C7">
        <w:rPr>
          <w:szCs w:val="22"/>
          <w:lang w:val="sr-Latn-RS"/>
        </w:rPr>
        <w:t>su primali kiseonik nije zab</w:t>
      </w:r>
      <w:r w:rsidR="00BF1785" w:rsidRPr="00CA46C7">
        <w:rPr>
          <w:szCs w:val="22"/>
          <w:lang w:val="sr-Latn-RS"/>
        </w:rPr>
        <w:t>i</w:t>
      </w:r>
      <w:r w:rsidRPr="00CA46C7">
        <w:rPr>
          <w:szCs w:val="22"/>
          <w:lang w:val="sr-Latn-RS"/>
        </w:rPr>
        <w:t>l</w:t>
      </w:r>
      <w:r w:rsidR="00BF1785" w:rsidRPr="00CA46C7">
        <w:rPr>
          <w:szCs w:val="22"/>
          <w:lang w:val="sr-Latn-RS"/>
        </w:rPr>
        <w:t>j</w:t>
      </w:r>
      <w:r w:rsidRPr="00CA46C7">
        <w:rPr>
          <w:szCs w:val="22"/>
          <w:lang w:val="sr-Latn-RS"/>
        </w:rPr>
        <w:t xml:space="preserve">ežen </w:t>
      </w:r>
      <w:r w:rsidR="007A0BAD" w:rsidRPr="00CA46C7">
        <w:rPr>
          <w:szCs w:val="22"/>
          <w:lang w:val="sr-Latn-RS"/>
        </w:rPr>
        <w:t xml:space="preserve">korisan </w:t>
      </w:r>
      <w:r w:rsidRPr="00CA46C7">
        <w:rPr>
          <w:szCs w:val="22"/>
          <w:lang w:val="sr-Latn-RS"/>
        </w:rPr>
        <w:t>efekat (</w:t>
      </w:r>
      <w:r w:rsidR="007A0BAD" w:rsidRPr="00CA46C7">
        <w:rPr>
          <w:szCs w:val="22"/>
          <w:lang w:val="sr-Latn-RS"/>
        </w:rPr>
        <w:t>odnos stopa</w:t>
      </w:r>
      <w:r w:rsidRPr="00CA46C7">
        <w:rPr>
          <w:szCs w:val="22"/>
          <w:lang w:val="sr-Latn-RS"/>
        </w:rPr>
        <w:t>, 0</w:t>
      </w:r>
      <w:r w:rsidR="00527E8C" w:rsidRPr="00CA46C7">
        <w:rPr>
          <w:szCs w:val="22"/>
          <w:lang w:val="sr-Latn-RS"/>
        </w:rPr>
        <w:t>,</w:t>
      </w:r>
      <w:r w:rsidRPr="00CA46C7">
        <w:rPr>
          <w:szCs w:val="22"/>
          <w:lang w:val="sr-Latn-RS"/>
        </w:rPr>
        <w:t>96; 95% CI 0</w:t>
      </w:r>
      <w:r w:rsidR="00527E8C" w:rsidRPr="00CA46C7">
        <w:rPr>
          <w:szCs w:val="22"/>
          <w:lang w:val="sr-Latn-RS"/>
        </w:rPr>
        <w:t>,</w:t>
      </w:r>
      <w:r w:rsidRPr="00CA46C7">
        <w:rPr>
          <w:szCs w:val="22"/>
          <w:lang w:val="sr-Latn-RS"/>
        </w:rPr>
        <w:t xml:space="preserve">85 </w:t>
      </w:r>
      <w:r w:rsidR="00527E8C" w:rsidRPr="00CA46C7">
        <w:rPr>
          <w:szCs w:val="22"/>
          <w:lang w:val="sr-Latn-RS"/>
        </w:rPr>
        <w:t>–</w:t>
      </w:r>
      <w:r w:rsidRPr="00CA46C7">
        <w:rPr>
          <w:szCs w:val="22"/>
          <w:lang w:val="sr-Latn-RS"/>
        </w:rPr>
        <w:t xml:space="preserve"> 1</w:t>
      </w:r>
      <w:r w:rsidR="00527E8C" w:rsidRPr="00CA46C7">
        <w:rPr>
          <w:szCs w:val="22"/>
          <w:lang w:val="sr-Latn-RS"/>
        </w:rPr>
        <w:t>,</w:t>
      </w:r>
      <w:r w:rsidRPr="00CA46C7">
        <w:rPr>
          <w:szCs w:val="22"/>
          <w:lang w:val="sr-Latn-RS"/>
        </w:rPr>
        <w:t>08).</w:t>
      </w:r>
    </w:p>
    <w:p w14:paraId="5E39D2C1" w14:textId="77777777" w:rsidR="007A0BAD" w:rsidRPr="00CA46C7" w:rsidRDefault="007A0BAD" w:rsidP="00EA0376">
      <w:pPr>
        <w:rPr>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073"/>
        <w:gridCol w:w="2153"/>
        <w:gridCol w:w="1943"/>
      </w:tblGrid>
      <w:tr w:rsidR="00CA46C7" w:rsidRPr="00CA46C7" w14:paraId="1B5EE584" w14:textId="77777777" w:rsidTr="00EA0376">
        <w:trPr>
          <w:jc w:val="center"/>
        </w:trPr>
        <w:tc>
          <w:tcPr>
            <w:tcW w:w="1679" w:type="pct"/>
            <w:tcBorders>
              <w:top w:val="single" w:sz="4" w:space="0" w:color="auto"/>
              <w:left w:val="single" w:sz="4" w:space="0" w:color="auto"/>
              <w:bottom w:val="single" w:sz="4" w:space="0" w:color="auto"/>
              <w:right w:val="single" w:sz="4" w:space="0" w:color="auto"/>
            </w:tcBorders>
            <w:hideMark/>
          </w:tcPr>
          <w:p w14:paraId="0FFC66FA" w14:textId="2E259880" w:rsidR="00E81CBA" w:rsidRPr="00CA46C7" w:rsidRDefault="00BB1690" w:rsidP="00EA0376">
            <w:pPr>
              <w:rPr>
                <w:b/>
                <w:bCs/>
                <w:lang w:val="sr-Latn-RS"/>
              </w:rPr>
            </w:pPr>
            <w:r w:rsidRPr="00CA46C7">
              <w:rPr>
                <w:b/>
                <w:bCs/>
                <w:szCs w:val="22"/>
                <w:lang w:val="sr-Latn-RS"/>
              </w:rPr>
              <w:t>Parametar praćenja</w:t>
            </w:r>
          </w:p>
        </w:tc>
        <w:tc>
          <w:tcPr>
            <w:tcW w:w="1116" w:type="pct"/>
            <w:tcBorders>
              <w:top w:val="single" w:sz="4" w:space="0" w:color="auto"/>
              <w:left w:val="single" w:sz="4" w:space="0" w:color="auto"/>
              <w:bottom w:val="single" w:sz="4" w:space="0" w:color="auto"/>
              <w:right w:val="single" w:sz="4" w:space="0" w:color="auto"/>
            </w:tcBorders>
            <w:hideMark/>
          </w:tcPr>
          <w:p w14:paraId="61073F0A" w14:textId="37C6540C" w:rsidR="00E81CBA" w:rsidRPr="00CA46C7" w:rsidRDefault="00E81CBA" w:rsidP="00EA0376">
            <w:pPr>
              <w:jc w:val="center"/>
              <w:rPr>
                <w:b/>
                <w:bCs/>
                <w:lang w:val="sr-Latn-RS"/>
              </w:rPr>
            </w:pPr>
            <w:r w:rsidRPr="00CA46C7">
              <w:rPr>
                <w:b/>
                <w:bCs/>
                <w:szCs w:val="22"/>
                <w:lang w:val="sr-Latn-RS"/>
              </w:rPr>
              <w:t>Deksametazon</w:t>
            </w:r>
          </w:p>
          <w:p w14:paraId="6E0A41A4" w14:textId="77777777" w:rsidR="00E81CBA" w:rsidRPr="00CA46C7" w:rsidRDefault="00E81CBA" w:rsidP="00EA0376">
            <w:pPr>
              <w:jc w:val="center"/>
              <w:rPr>
                <w:b/>
                <w:bCs/>
                <w:lang w:val="sr-Latn-RS"/>
              </w:rPr>
            </w:pPr>
            <w:r w:rsidRPr="00CA46C7">
              <w:rPr>
                <w:b/>
                <w:bCs/>
                <w:szCs w:val="22"/>
                <w:lang w:val="sr-Latn-RS"/>
              </w:rPr>
              <w:t>(N=2104)</w:t>
            </w:r>
          </w:p>
        </w:tc>
        <w:tc>
          <w:tcPr>
            <w:tcW w:w="1159" w:type="pct"/>
            <w:tcBorders>
              <w:top w:val="single" w:sz="4" w:space="0" w:color="auto"/>
              <w:left w:val="single" w:sz="4" w:space="0" w:color="auto"/>
              <w:bottom w:val="single" w:sz="4" w:space="0" w:color="auto"/>
              <w:right w:val="single" w:sz="4" w:space="0" w:color="auto"/>
            </w:tcBorders>
            <w:hideMark/>
          </w:tcPr>
          <w:p w14:paraId="1A8516B5" w14:textId="3EC5DE13" w:rsidR="00E81CBA" w:rsidRPr="00CA46C7" w:rsidRDefault="007A0BAD" w:rsidP="00EA0376">
            <w:pPr>
              <w:jc w:val="center"/>
              <w:rPr>
                <w:b/>
                <w:bCs/>
                <w:lang w:val="sr-Latn-RS"/>
              </w:rPr>
            </w:pPr>
            <w:r w:rsidRPr="00CA46C7">
              <w:rPr>
                <w:b/>
                <w:bCs/>
                <w:szCs w:val="22"/>
                <w:lang w:val="sr-Latn-RS"/>
              </w:rPr>
              <w:t xml:space="preserve">Uobičajena </w:t>
            </w:r>
            <w:r w:rsidR="00E81CBA" w:rsidRPr="00CA46C7">
              <w:rPr>
                <w:b/>
                <w:bCs/>
                <w:szCs w:val="22"/>
                <w:lang w:val="sr-Latn-RS"/>
              </w:rPr>
              <w:t>terapija</w:t>
            </w:r>
          </w:p>
          <w:p w14:paraId="7EC4E768" w14:textId="77777777" w:rsidR="00E81CBA" w:rsidRPr="00CA46C7" w:rsidRDefault="00E81CBA" w:rsidP="00EA0376">
            <w:pPr>
              <w:jc w:val="center"/>
              <w:rPr>
                <w:b/>
                <w:bCs/>
                <w:lang w:val="sr-Latn-RS"/>
              </w:rPr>
            </w:pPr>
            <w:r w:rsidRPr="00CA46C7">
              <w:rPr>
                <w:b/>
                <w:bCs/>
                <w:szCs w:val="22"/>
                <w:lang w:val="sr-Latn-RS"/>
              </w:rPr>
              <w:t>(N=4321)</w:t>
            </w:r>
          </w:p>
        </w:tc>
        <w:tc>
          <w:tcPr>
            <w:tcW w:w="1046" w:type="pct"/>
            <w:tcBorders>
              <w:top w:val="single" w:sz="4" w:space="0" w:color="auto"/>
              <w:left w:val="single" w:sz="4" w:space="0" w:color="auto"/>
              <w:bottom w:val="single" w:sz="4" w:space="0" w:color="auto"/>
              <w:right w:val="single" w:sz="4" w:space="0" w:color="auto"/>
            </w:tcBorders>
            <w:hideMark/>
          </w:tcPr>
          <w:p w14:paraId="62EE6FD3" w14:textId="47E54B1B" w:rsidR="00E81CBA" w:rsidRPr="00CA46C7" w:rsidRDefault="00E81CBA" w:rsidP="00EA0376">
            <w:pPr>
              <w:jc w:val="center"/>
              <w:rPr>
                <w:b/>
                <w:bCs/>
                <w:lang w:val="sr-Latn-RS"/>
              </w:rPr>
            </w:pPr>
            <w:r w:rsidRPr="00CA46C7">
              <w:rPr>
                <w:b/>
                <w:bCs/>
                <w:szCs w:val="22"/>
                <w:lang w:val="sr-Latn-RS"/>
              </w:rPr>
              <w:t xml:space="preserve">Odnos </w:t>
            </w:r>
            <w:r w:rsidR="007A0BAD" w:rsidRPr="00CA46C7">
              <w:rPr>
                <w:b/>
                <w:bCs/>
                <w:szCs w:val="22"/>
                <w:lang w:val="sr-Latn-RS"/>
              </w:rPr>
              <w:t>stopa ili r</w:t>
            </w:r>
            <w:r w:rsidRPr="00CA46C7">
              <w:rPr>
                <w:b/>
                <w:bCs/>
                <w:szCs w:val="22"/>
                <w:lang w:val="sr-Latn-RS"/>
              </w:rPr>
              <w:t>izika</w:t>
            </w:r>
          </w:p>
          <w:p w14:paraId="7044D2FB" w14:textId="77777777" w:rsidR="00E81CBA" w:rsidRPr="00CA46C7" w:rsidRDefault="00E81CBA" w:rsidP="00EA0376">
            <w:pPr>
              <w:jc w:val="center"/>
              <w:rPr>
                <w:b/>
                <w:bCs/>
                <w:lang w:val="sr-Latn-RS"/>
              </w:rPr>
            </w:pPr>
            <w:r w:rsidRPr="00CA46C7">
              <w:rPr>
                <w:b/>
                <w:bCs/>
                <w:szCs w:val="22"/>
                <w:lang w:val="sr-Latn-RS"/>
              </w:rPr>
              <w:t>(95% CI)</w:t>
            </w:r>
            <w:r w:rsidRPr="00CA46C7">
              <w:rPr>
                <w:b/>
                <w:bCs/>
                <w:szCs w:val="22"/>
                <w:vertAlign w:val="superscript"/>
                <w:lang w:val="sr-Latn-RS"/>
              </w:rPr>
              <w:t>*</w:t>
            </w:r>
          </w:p>
        </w:tc>
      </w:tr>
      <w:tr w:rsidR="00CA46C7" w:rsidRPr="00CA46C7" w14:paraId="687F173E" w14:textId="77777777" w:rsidTr="00EA0376">
        <w:trPr>
          <w:jc w:val="center"/>
        </w:trPr>
        <w:tc>
          <w:tcPr>
            <w:tcW w:w="1679" w:type="pct"/>
            <w:tcBorders>
              <w:top w:val="single" w:sz="4" w:space="0" w:color="auto"/>
              <w:left w:val="single" w:sz="4" w:space="0" w:color="auto"/>
              <w:bottom w:val="single" w:sz="4" w:space="0" w:color="auto"/>
              <w:right w:val="single" w:sz="4" w:space="0" w:color="auto"/>
            </w:tcBorders>
          </w:tcPr>
          <w:p w14:paraId="2297B606" w14:textId="77777777" w:rsidR="00E81CBA" w:rsidRPr="00CA46C7" w:rsidRDefault="00E81CBA" w:rsidP="00EA0376">
            <w:pPr>
              <w:rPr>
                <w:lang w:val="sr-Latn-RS"/>
              </w:rPr>
            </w:pPr>
          </w:p>
        </w:tc>
        <w:tc>
          <w:tcPr>
            <w:tcW w:w="3321" w:type="pct"/>
            <w:gridSpan w:val="3"/>
            <w:tcBorders>
              <w:top w:val="single" w:sz="4" w:space="0" w:color="auto"/>
              <w:left w:val="single" w:sz="4" w:space="0" w:color="auto"/>
              <w:bottom w:val="single" w:sz="4" w:space="0" w:color="auto"/>
              <w:right w:val="single" w:sz="4" w:space="0" w:color="auto"/>
            </w:tcBorders>
            <w:hideMark/>
          </w:tcPr>
          <w:p w14:paraId="312EB915" w14:textId="1F556269" w:rsidR="00E81CBA" w:rsidRPr="00CA46C7" w:rsidRDefault="007A0BAD" w:rsidP="00EA0376">
            <w:pPr>
              <w:jc w:val="center"/>
              <w:rPr>
                <w:i/>
                <w:iCs/>
                <w:lang w:val="sr-Latn-RS"/>
              </w:rPr>
            </w:pPr>
            <w:r w:rsidRPr="00CA46C7">
              <w:rPr>
                <w:i/>
                <w:iCs/>
                <w:szCs w:val="22"/>
                <w:lang w:val="sr-Latn-RS"/>
              </w:rPr>
              <w:t>b</w:t>
            </w:r>
            <w:r w:rsidR="00E81CBA" w:rsidRPr="00CA46C7">
              <w:rPr>
                <w:i/>
                <w:iCs/>
                <w:szCs w:val="22"/>
                <w:lang w:val="sr-Latn-RS"/>
              </w:rPr>
              <w:t>r</w:t>
            </w:r>
            <w:r w:rsidRPr="00CA46C7">
              <w:rPr>
                <w:i/>
                <w:iCs/>
                <w:szCs w:val="22"/>
                <w:lang w:val="sr-Latn-RS"/>
              </w:rPr>
              <w:t>.</w:t>
            </w:r>
            <w:r w:rsidR="00E81CBA" w:rsidRPr="00CA46C7">
              <w:rPr>
                <w:i/>
                <w:iCs/>
                <w:szCs w:val="22"/>
                <w:lang w:val="sr-Latn-RS"/>
              </w:rPr>
              <w:t>/ukupan b</w:t>
            </w:r>
            <w:r w:rsidRPr="00CA46C7">
              <w:rPr>
                <w:i/>
                <w:iCs/>
                <w:szCs w:val="22"/>
                <w:lang w:val="sr-Latn-RS"/>
              </w:rPr>
              <w:t>r.</w:t>
            </w:r>
            <w:r w:rsidR="00E81CBA" w:rsidRPr="00CA46C7">
              <w:rPr>
                <w:i/>
                <w:iCs/>
                <w:szCs w:val="22"/>
                <w:lang w:val="sr-Latn-RS"/>
              </w:rPr>
              <w:t xml:space="preserve"> pacijenata (%)</w:t>
            </w:r>
          </w:p>
        </w:tc>
      </w:tr>
      <w:tr w:rsidR="00CA46C7" w:rsidRPr="00CA46C7" w14:paraId="49B4247A" w14:textId="77777777" w:rsidTr="00EA0376">
        <w:trPr>
          <w:jc w:val="center"/>
        </w:trPr>
        <w:tc>
          <w:tcPr>
            <w:tcW w:w="1679" w:type="pct"/>
            <w:tcBorders>
              <w:top w:val="single" w:sz="4" w:space="0" w:color="auto"/>
              <w:left w:val="single" w:sz="4" w:space="0" w:color="auto"/>
              <w:bottom w:val="single" w:sz="4" w:space="0" w:color="auto"/>
              <w:right w:val="single" w:sz="4" w:space="0" w:color="auto"/>
            </w:tcBorders>
            <w:hideMark/>
          </w:tcPr>
          <w:p w14:paraId="6EABA3B3" w14:textId="73582BF5" w:rsidR="00E81CBA" w:rsidRPr="00CA46C7" w:rsidRDefault="00E81CBA" w:rsidP="00EA0376">
            <w:pPr>
              <w:rPr>
                <w:b/>
                <w:bCs/>
                <w:lang w:val="sr-Latn-RS"/>
              </w:rPr>
            </w:pPr>
            <w:r w:rsidRPr="00CA46C7">
              <w:rPr>
                <w:b/>
                <w:bCs/>
                <w:szCs w:val="22"/>
                <w:lang w:val="sr-Latn-RS"/>
              </w:rPr>
              <w:t xml:space="preserve">Primarni </w:t>
            </w:r>
            <w:r w:rsidR="00BB1690" w:rsidRPr="00CA46C7">
              <w:rPr>
                <w:b/>
                <w:bCs/>
                <w:szCs w:val="22"/>
                <w:lang w:val="sr-Latn-RS"/>
              </w:rPr>
              <w:t>parametar praćenja</w:t>
            </w:r>
          </w:p>
        </w:tc>
        <w:tc>
          <w:tcPr>
            <w:tcW w:w="1116" w:type="pct"/>
            <w:tcBorders>
              <w:top w:val="single" w:sz="4" w:space="0" w:color="auto"/>
              <w:left w:val="single" w:sz="4" w:space="0" w:color="auto"/>
              <w:bottom w:val="single" w:sz="4" w:space="0" w:color="auto"/>
              <w:right w:val="single" w:sz="4" w:space="0" w:color="auto"/>
            </w:tcBorders>
          </w:tcPr>
          <w:p w14:paraId="49B405BC" w14:textId="77777777" w:rsidR="00E81CBA" w:rsidRPr="00CA46C7" w:rsidRDefault="00E81CBA" w:rsidP="00EA0376">
            <w:pPr>
              <w:rPr>
                <w:lang w:val="sr-Latn-RS"/>
              </w:rPr>
            </w:pPr>
          </w:p>
        </w:tc>
        <w:tc>
          <w:tcPr>
            <w:tcW w:w="1159" w:type="pct"/>
            <w:tcBorders>
              <w:top w:val="single" w:sz="4" w:space="0" w:color="auto"/>
              <w:left w:val="single" w:sz="4" w:space="0" w:color="auto"/>
              <w:bottom w:val="single" w:sz="4" w:space="0" w:color="auto"/>
              <w:right w:val="single" w:sz="4" w:space="0" w:color="auto"/>
            </w:tcBorders>
          </w:tcPr>
          <w:p w14:paraId="1A4CD2F1" w14:textId="77777777" w:rsidR="00E81CBA" w:rsidRPr="00CA46C7" w:rsidRDefault="00E81CBA" w:rsidP="00EA0376">
            <w:pPr>
              <w:rPr>
                <w:lang w:val="sr-Latn-RS"/>
              </w:rPr>
            </w:pPr>
          </w:p>
        </w:tc>
        <w:tc>
          <w:tcPr>
            <w:tcW w:w="1046" w:type="pct"/>
            <w:tcBorders>
              <w:top w:val="single" w:sz="4" w:space="0" w:color="auto"/>
              <w:left w:val="single" w:sz="4" w:space="0" w:color="auto"/>
              <w:bottom w:val="single" w:sz="4" w:space="0" w:color="auto"/>
              <w:right w:val="single" w:sz="4" w:space="0" w:color="auto"/>
            </w:tcBorders>
          </w:tcPr>
          <w:p w14:paraId="104532A2" w14:textId="77777777" w:rsidR="00E81CBA" w:rsidRPr="00CA46C7" w:rsidRDefault="00E81CBA" w:rsidP="00EA0376">
            <w:pPr>
              <w:rPr>
                <w:lang w:val="sr-Latn-RS"/>
              </w:rPr>
            </w:pPr>
          </w:p>
        </w:tc>
      </w:tr>
      <w:tr w:rsidR="00CA46C7" w:rsidRPr="00CA46C7" w14:paraId="79B3CCA8" w14:textId="77777777" w:rsidTr="00EA0376">
        <w:trPr>
          <w:jc w:val="center"/>
        </w:trPr>
        <w:tc>
          <w:tcPr>
            <w:tcW w:w="1679" w:type="pct"/>
            <w:tcBorders>
              <w:top w:val="single" w:sz="4" w:space="0" w:color="auto"/>
              <w:left w:val="single" w:sz="4" w:space="0" w:color="auto"/>
              <w:bottom w:val="single" w:sz="4" w:space="0" w:color="auto"/>
              <w:right w:val="single" w:sz="4" w:space="0" w:color="auto"/>
            </w:tcBorders>
            <w:hideMark/>
          </w:tcPr>
          <w:p w14:paraId="1EE83BEE" w14:textId="704B13EE" w:rsidR="00E81CBA" w:rsidRPr="00CA46C7" w:rsidRDefault="00E81CBA" w:rsidP="00EA0376">
            <w:pPr>
              <w:rPr>
                <w:lang w:val="sr-Latn-RS"/>
              </w:rPr>
            </w:pPr>
            <w:r w:rsidRPr="00CA46C7">
              <w:rPr>
                <w:szCs w:val="22"/>
                <w:lang w:val="sr-Latn-RS"/>
              </w:rPr>
              <w:t xml:space="preserve">Mortalitet </w:t>
            </w:r>
            <w:r w:rsidR="007A0BAD" w:rsidRPr="00CA46C7">
              <w:rPr>
                <w:szCs w:val="22"/>
                <w:lang w:val="sr-Latn-RS"/>
              </w:rPr>
              <w:t xml:space="preserve">unutar </w:t>
            </w:r>
            <w:r w:rsidRPr="00CA46C7">
              <w:rPr>
                <w:szCs w:val="22"/>
                <w:lang w:val="sr-Latn-RS"/>
              </w:rPr>
              <w:t xml:space="preserve">28 dana </w:t>
            </w:r>
          </w:p>
        </w:tc>
        <w:tc>
          <w:tcPr>
            <w:tcW w:w="1116" w:type="pct"/>
            <w:tcBorders>
              <w:top w:val="single" w:sz="4" w:space="0" w:color="auto"/>
              <w:left w:val="single" w:sz="4" w:space="0" w:color="auto"/>
              <w:bottom w:val="single" w:sz="4" w:space="0" w:color="auto"/>
              <w:right w:val="single" w:sz="4" w:space="0" w:color="auto"/>
            </w:tcBorders>
            <w:hideMark/>
          </w:tcPr>
          <w:p w14:paraId="4E4FEA9C" w14:textId="77777777" w:rsidR="00E81CBA" w:rsidRPr="00CA46C7" w:rsidRDefault="00E81CBA" w:rsidP="00EA0376">
            <w:pPr>
              <w:jc w:val="center"/>
              <w:rPr>
                <w:lang w:val="sr-Latn-RS"/>
              </w:rPr>
            </w:pPr>
            <w:r w:rsidRPr="00CA46C7">
              <w:rPr>
                <w:szCs w:val="22"/>
                <w:lang w:val="sr-Latn-RS"/>
              </w:rPr>
              <w:t>482/2104 (22,9)</w:t>
            </w:r>
          </w:p>
        </w:tc>
        <w:tc>
          <w:tcPr>
            <w:tcW w:w="1159" w:type="pct"/>
            <w:tcBorders>
              <w:top w:val="single" w:sz="4" w:space="0" w:color="auto"/>
              <w:left w:val="single" w:sz="4" w:space="0" w:color="auto"/>
              <w:bottom w:val="single" w:sz="4" w:space="0" w:color="auto"/>
              <w:right w:val="single" w:sz="4" w:space="0" w:color="auto"/>
            </w:tcBorders>
            <w:hideMark/>
          </w:tcPr>
          <w:p w14:paraId="6AE831A5" w14:textId="77777777" w:rsidR="00E81CBA" w:rsidRPr="00CA46C7" w:rsidRDefault="00E81CBA" w:rsidP="00EA0376">
            <w:pPr>
              <w:jc w:val="center"/>
              <w:rPr>
                <w:lang w:val="sr-Latn-RS"/>
              </w:rPr>
            </w:pPr>
            <w:r w:rsidRPr="00CA46C7">
              <w:rPr>
                <w:szCs w:val="22"/>
                <w:lang w:val="sr-Latn-RS"/>
              </w:rPr>
              <w:t>1110/4321 (25,7)</w:t>
            </w:r>
          </w:p>
        </w:tc>
        <w:tc>
          <w:tcPr>
            <w:tcW w:w="1046" w:type="pct"/>
            <w:tcBorders>
              <w:top w:val="single" w:sz="4" w:space="0" w:color="auto"/>
              <w:left w:val="single" w:sz="4" w:space="0" w:color="auto"/>
              <w:bottom w:val="single" w:sz="4" w:space="0" w:color="auto"/>
              <w:right w:val="single" w:sz="4" w:space="0" w:color="auto"/>
            </w:tcBorders>
            <w:hideMark/>
          </w:tcPr>
          <w:p w14:paraId="68C57203" w14:textId="77777777" w:rsidR="00E81CBA" w:rsidRPr="00CA46C7" w:rsidRDefault="00E81CBA" w:rsidP="00EA0376">
            <w:pPr>
              <w:jc w:val="center"/>
              <w:rPr>
                <w:lang w:val="sr-Latn-RS"/>
              </w:rPr>
            </w:pPr>
            <w:r w:rsidRPr="00CA46C7">
              <w:rPr>
                <w:szCs w:val="22"/>
                <w:lang w:val="sr-Latn-RS"/>
              </w:rPr>
              <w:t>0,83 (0,75-0,93)</w:t>
            </w:r>
          </w:p>
        </w:tc>
      </w:tr>
      <w:tr w:rsidR="00CA46C7" w:rsidRPr="00CA46C7" w14:paraId="4E215A81" w14:textId="77777777" w:rsidTr="00EA0376">
        <w:trPr>
          <w:jc w:val="center"/>
        </w:trPr>
        <w:tc>
          <w:tcPr>
            <w:tcW w:w="1679" w:type="pct"/>
            <w:tcBorders>
              <w:top w:val="single" w:sz="4" w:space="0" w:color="auto"/>
              <w:left w:val="single" w:sz="4" w:space="0" w:color="auto"/>
              <w:bottom w:val="single" w:sz="4" w:space="0" w:color="auto"/>
              <w:right w:val="single" w:sz="4" w:space="0" w:color="auto"/>
            </w:tcBorders>
            <w:hideMark/>
          </w:tcPr>
          <w:p w14:paraId="01BF34A2" w14:textId="16B7CA13" w:rsidR="00E81CBA" w:rsidRPr="00CA46C7" w:rsidRDefault="00E81CBA" w:rsidP="00EA0376">
            <w:pPr>
              <w:rPr>
                <w:b/>
                <w:bCs/>
                <w:lang w:val="sr-Latn-RS"/>
              </w:rPr>
            </w:pPr>
            <w:r w:rsidRPr="00CA46C7">
              <w:rPr>
                <w:b/>
                <w:bCs/>
                <w:szCs w:val="22"/>
                <w:lang w:val="sr-Latn-RS"/>
              </w:rPr>
              <w:t>Sekundarni</w:t>
            </w:r>
            <w:r w:rsidR="00BB1690" w:rsidRPr="00CA46C7">
              <w:rPr>
                <w:b/>
                <w:bCs/>
                <w:szCs w:val="22"/>
                <w:lang w:val="sr-Latn-RS"/>
              </w:rPr>
              <w:t xml:space="preserve"> parametar praćenja</w:t>
            </w:r>
          </w:p>
        </w:tc>
        <w:tc>
          <w:tcPr>
            <w:tcW w:w="1116" w:type="pct"/>
            <w:tcBorders>
              <w:top w:val="single" w:sz="4" w:space="0" w:color="auto"/>
              <w:left w:val="single" w:sz="4" w:space="0" w:color="auto"/>
              <w:bottom w:val="single" w:sz="4" w:space="0" w:color="auto"/>
              <w:right w:val="single" w:sz="4" w:space="0" w:color="auto"/>
            </w:tcBorders>
          </w:tcPr>
          <w:p w14:paraId="1F52D809" w14:textId="77777777" w:rsidR="00E81CBA" w:rsidRPr="00CA46C7" w:rsidRDefault="00E81CBA" w:rsidP="00EA0376">
            <w:pPr>
              <w:rPr>
                <w:lang w:val="sr-Latn-RS"/>
              </w:rPr>
            </w:pPr>
          </w:p>
        </w:tc>
        <w:tc>
          <w:tcPr>
            <w:tcW w:w="1159" w:type="pct"/>
            <w:tcBorders>
              <w:top w:val="single" w:sz="4" w:space="0" w:color="auto"/>
              <w:left w:val="single" w:sz="4" w:space="0" w:color="auto"/>
              <w:bottom w:val="single" w:sz="4" w:space="0" w:color="auto"/>
              <w:right w:val="single" w:sz="4" w:space="0" w:color="auto"/>
            </w:tcBorders>
          </w:tcPr>
          <w:p w14:paraId="4836990E" w14:textId="77777777" w:rsidR="00E81CBA" w:rsidRPr="00CA46C7" w:rsidRDefault="00E81CBA" w:rsidP="00EA0376">
            <w:pPr>
              <w:rPr>
                <w:lang w:val="sr-Latn-RS"/>
              </w:rPr>
            </w:pPr>
          </w:p>
        </w:tc>
        <w:tc>
          <w:tcPr>
            <w:tcW w:w="1046" w:type="pct"/>
            <w:tcBorders>
              <w:top w:val="single" w:sz="4" w:space="0" w:color="auto"/>
              <w:left w:val="single" w:sz="4" w:space="0" w:color="auto"/>
              <w:bottom w:val="single" w:sz="4" w:space="0" w:color="auto"/>
              <w:right w:val="single" w:sz="4" w:space="0" w:color="auto"/>
            </w:tcBorders>
          </w:tcPr>
          <w:p w14:paraId="719A7903" w14:textId="77777777" w:rsidR="00E81CBA" w:rsidRPr="00CA46C7" w:rsidRDefault="00E81CBA" w:rsidP="00EA0376">
            <w:pPr>
              <w:rPr>
                <w:lang w:val="sr-Latn-RS"/>
              </w:rPr>
            </w:pPr>
          </w:p>
        </w:tc>
      </w:tr>
      <w:tr w:rsidR="00CA46C7" w:rsidRPr="00CA46C7" w14:paraId="02882AF5" w14:textId="77777777" w:rsidTr="00EA0376">
        <w:trPr>
          <w:jc w:val="center"/>
        </w:trPr>
        <w:tc>
          <w:tcPr>
            <w:tcW w:w="1679" w:type="pct"/>
            <w:tcBorders>
              <w:top w:val="single" w:sz="4" w:space="0" w:color="auto"/>
              <w:left w:val="single" w:sz="4" w:space="0" w:color="auto"/>
              <w:bottom w:val="single" w:sz="4" w:space="0" w:color="auto"/>
              <w:right w:val="single" w:sz="4" w:space="0" w:color="auto"/>
            </w:tcBorders>
            <w:hideMark/>
          </w:tcPr>
          <w:p w14:paraId="7099EEC9" w14:textId="75FE270F" w:rsidR="00E81CBA" w:rsidRPr="00CA46C7" w:rsidRDefault="00E81CBA" w:rsidP="00EA0376">
            <w:pPr>
              <w:rPr>
                <w:lang w:val="sr-Latn-RS"/>
              </w:rPr>
            </w:pPr>
            <w:r w:rsidRPr="00CA46C7">
              <w:rPr>
                <w:szCs w:val="22"/>
                <w:lang w:val="sr-Latn-RS"/>
              </w:rPr>
              <w:t>Otpust iz bolnice u</w:t>
            </w:r>
            <w:r w:rsidR="007A0BAD" w:rsidRPr="00CA46C7">
              <w:rPr>
                <w:szCs w:val="22"/>
                <w:lang w:val="sr-Latn-RS"/>
              </w:rPr>
              <w:t>nutar</w:t>
            </w:r>
            <w:r w:rsidRPr="00CA46C7">
              <w:rPr>
                <w:szCs w:val="22"/>
                <w:lang w:val="sr-Latn-RS"/>
              </w:rPr>
              <w:t xml:space="preserve"> 28 dana</w:t>
            </w:r>
          </w:p>
        </w:tc>
        <w:tc>
          <w:tcPr>
            <w:tcW w:w="1116" w:type="pct"/>
            <w:tcBorders>
              <w:top w:val="single" w:sz="4" w:space="0" w:color="auto"/>
              <w:left w:val="single" w:sz="4" w:space="0" w:color="auto"/>
              <w:bottom w:val="single" w:sz="4" w:space="0" w:color="auto"/>
              <w:right w:val="single" w:sz="4" w:space="0" w:color="auto"/>
            </w:tcBorders>
            <w:hideMark/>
          </w:tcPr>
          <w:p w14:paraId="5C6A92BF" w14:textId="77777777" w:rsidR="00E81CBA" w:rsidRPr="00CA46C7" w:rsidRDefault="00E81CBA" w:rsidP="00EA0376">
            <w:pPr>
              <w:jc w:val="center"/>
              <w:rPr>
                <w:lang w:val="sr-Latn-RS"/>
              </w:rPr>
            </w:pPr>
            <w:r w:rsidRPr="00CA46C7">
              <w:rPr>
                <w:szCs w:val="22"/>
                <w:lang w:val="sr-Latn-RS"/>
              </w:rPr>
              <w:t>1413/2104 (67,2)</w:t>
            </w:r>
          </w:p>
        </w:tc>
        <w:tc>
          <w:tcPr>
            <w:tcW w:w="1159" w:type="pct"/>
            <w:tcBorders>
              <w:top w:val="single" w:sz="4" w:space="0" w:color="auto"/>
              <w:left w:val="single" w:sz="4" w:space="0" w:color="auto"/>
              <w:bottom w:val="single" w:sz="4" w:space="0" w:color="auto"/>
              <w:right w:val="single" w:sz="4" w:space="0" w:color="auto"/>
            </w:tcBorders>
            <w:hideMark/>
          </w:tcPr>
          <w:p w14:paraId="7F8CA1CB" w14:textId="77777777" w:rsidR="00E81CBA" w:rsidRPr="00CA46C7" w:rsidRDefault="00E81CBA" w:rsidP="00EA0376">
            <w:pPr>
              <w:jc w:val="center"/>
              <w:rPr>
                <w:lang w:val="sr-Latn-RS"/>
              </w:rPr>
            </w:pPr>
            <w:r w:rsidRPr="00CA46C7">
              <w:rPr>
                <w:szCs w:val="22"/>
                <w:lang w:val="sr-Latn-RS"/>
              </w:rPr>
              <w:t>2745/4321 (63,5)</w:t>
            </w:r>
          </w:p>
        </w:tc>
        <w:tc>
          <w:tcPr>
            <w:tcW w:w="1046" w:type="pct"/>
            <w:tcBorders>
              <w:top w:val="single" w:sz="4" w:space="0" w:color="auto"/>
              <w:left w:val="single" w:sz="4" w:space="0" w:color="auto"/>
              <w:bottom w:val="single" w:sz="4" w:space="0" w:color="auto"/>
              <w:right w:val="single" w:sz="4" w:space="0" w:color="auto"/>
            </w:tcBorders>
            <w:hideMark/>
          </w:tcPr>
          <w:p w14:paraId="5127E4FA" w14:textId="77777777" w:rsidR="00E81CBA" w:rsidRPr="00CA46C7" w:rsidRDefault="00E81CBA" w:rsidP="00EA0376">
            <w:pPr>
              <w:jc w:val="center"/>
              <w:rPr>
                <w:lang w:val="sr-Latn-RS"/>
              </w:rPr>
            </w:pPr>
            <w:r w:rsidRPr="00CA46C7">
              <w:rPr>
                <w:szCs w:val="22"/>
                <w:lang w:val="sr-Latn-RS"/>
              </w:rPr>
              <w:t>1,10 (1,03-1,17)</w:t>
            </w:r>
          </w:p>
        </w:tc>
      </w:tr>
      <w:tr w:rsidR="00CA46C7" w:rsidRPr="00CA46C7" w14:paraId="042EF231" w14:textId="77777777" w:rsidTr="00EA0376">
        <w:trPr>
          <w:jc w:val="center"/>
        </w:trPr>
        <w:tc>
          <w:tcPr>
            <w:tcW w:w="1679" w:type="pct"/>
            <w:tcBorders>
              <w:top w:val="single" w:sz="4" w:space="0" w:color="auto"/>
              <w:left w:val="single" w:sz="4" w:space="0" w:color="auto"/>
              <w:bottom w:val="single" w:sz="4" w:space="0" w:color="auto"/>
              <w:right w:val="single" w:sz="4" w:space="0" w:color="auto"/>
            </w:tcBorders>
            <w:hideMark/>
          </w:tcPr>
          <w:p w14:paraId="3CE4AE34" w14:textId="77777777" w:rsidR="00E81CBA" w:rsidRPr="00CA46C7" w:rsidRDefault="00E81CBA" w:rsidP="00EA0376">
            <w:pPr>
              <w:rPr>
                <w:lang w:val="sr-Latn-RS"/>
              </w:rPr>
            </w:pPr>
            <w:r w:rsidRPr="00CA46C7">
              <w:rPr>
                <w:szCs w:val="22"/>
                <w:lang w:val="sr-Latn-RS"/>
              </w:rPr>
              <w:t>Invazivna mehanička ventilacija ili smrt</w:t>
            </w:r>
            <w:r w:rsidRPr="00CA46C7">
              <w:rPr>
                <w:szCs w:val="22"/>
                <w:vertAlign w:val="superscript"/>
                <w:lang w:val="sr-Latn-RS"/>
              </w:rPr>
              <w:t>†</w:t>
            </w:r>
          </w:p>
        </w:tc>
        <w:tc>
          <w:tcPr>
            <w:tcW w:w="1116" w:type="pct"/>
            <w:tcBorders>
              <w:top w:val="single" w:sz="4" w:space="0" w:color="auto"/>
              <w:left w:val="single" w:sz="4" w:space="0" w:color="auto"/>
              <w:bottom w:val="single" w:sz="4" w:space="0" w:color="auto"/>
              <w:right w:val="single" w:sz="4" w:space="0" w:color="auto"/>
            </w:tcBorders>
            <w:hideMark/>
          </w:tcPr>
          <w:p w14:paraId="2BFBD963" w14:textId="77777777" w:rsidR="00E81CBA" w:rsidRPr="00CA46C7" w:rsidRDefault="00E81CBA" w:rsidP="00EA0376">
            <w:pPr>
              <w:jc w:val="center"/>
              <w:rPr>
                <w:lang w:val="sr-Latn-RS"/>
              </w:rPr>
            </w:pPr>
            <w:r w:rsidRPr="00CA46C7">
              <w:rPr>
                <w:szCs w:val="22"/>
                <w:lang w:val="sr-Latn-RS"/>
              </w:rPr>
              <w:t>456/1780 (25,6)</w:t>
            </w:r>
          </w:p>
        </w:tc>
        <w:tc>
          <w:tcPr>
            <w:tcW w:w="1159" w:type="pct"/>
            <w:tcBorders>
              <w:top w:val="single" w:sz="4" w:space="0" w:color="auto"/>
              <w:left w:val="single" w:sz="4" w:space="0" w:color="auto"/>
              <w:bottom w:val="single" w:sz="4" w:space="0" w:color="auto"/>
              <w:right w:val="single" w:sz="4" w:space="0" w:color="auto"/>
            </w:tcBorders>
            <w:hideMark/>
          </w:tcPr>
          <w:p w14:paraId="77CF62EF" w14:textId="77777777" w:rsidR="00E81CBA" w:rsidRPr="00CA46C7" w:rsidRDefault="00E81CBA" w:rsidP="00EA0376">
            <w:pPr>
              <w:jc w:val="center"/>
              <w:rPr>
                <w:lang w:val="sr-Latn-RS"/>
              </w:rPr>
            </w:pPr>
            <w:r w:rsidRPr="00CA46C7">
              <w:rPr>
                <w:szCs w:val="22"/>
                <w:lang w:val="sr-Latn-RS"/>
              </w:rPr>
              <w:t>994/3638 (27,3)</w:t>
            </w:r>
          </w:p>
        </w:tc>
        <w:tc>
          <w:tcPr>
            <w:tcW w:w="1046" w:type="pct"/>
            <w:tcBorders>
              <w:top w:val="single" w:sz="4" w:space="0" w:color="auto"/>
              <w:left w:val="single" w:sz="4" w:space="0" w:color="auto"/>
              <w:bottom w:val="single" w:sz="4" w:space="0" w:color="auto"/>
              <w:right w:val="single" w:sz="4" w:space="0" w:color="auto"/>
            </w:tcBorders>
            <w:hideMark/>
          </w:tcPr>
          <w:p w14:paraId="6A135EF6" w14:textId="77777777" w:rsidR="00E81CBA" w:rsidRPr="00CA46C7" w:rsidRDefault="00E81CBA" w:rsidP="00EA0376">
            <w:pPr>
              <w:jc w:val="center"/>
              <w:rPr>
                <w:lang w:val="sr-Latn-RS"/>
              </w:rPr>
            </w:pPr>
            <w:r w:rsidRPr="00CA46C7">
              <w:rPr>
                <w:szCs w:val="22"/>
                <w:lang w:val="sr-Latn-RS"/>
              </w:rPr>
              <w:t>0,92 (0,84-1,01)</w:t>
            </w:r>
          </w:p>
        </w:tc>
      </w:tr>
      <w:tr w:rsidR="00CA46C7" w:rsidRPr="00CA46C7" w14:paraId="2610D8F4" w14:textId="77777777" w:rsidTr="00EA0376">
        <w:trPr>
          <w:jc w:val="center"/>
        </w:trPr>
        <w:tc>
          <w:tcPr>
            <w:tcW w:w="1679" w:type="pct"/>
            <w:tcBorders>
              <w:top w:val="single" w:sz="4" w:space="0" w:color="auto"/>
              <w:left w:val="single" w:sz="4" w:space="0" w:color="auto"/>
              <w:bottom w:val="single" w:sz="4" w:space="0" w:color="auto"/>
              <w:right w:val="single" w:sz="4" w:space="0" w:color="auto"/>
            </w:tcBorders>
            <w:hideMark/>
          </w:tcPr>
          <w:p w14:paraId="180DE7B8" w14:textId="77777777" w:rsidR="00E81CBA" w:rsidRPr="00CA46C7" w:rsidRDefault="00E81CBA" w:rsidP="00EA0376">
            <w:pPr>
              <w:rPr>
                <w:lang w:val="sr-Latn-RS"/>
              </w:rPr>
            </w:pPr>
            <w:r w:rsidRPr="00CA46C7">
              <w:rPr>
                <w:szCs w:val="22"/>
                <w:lang w:val="sr-Latn-RS"/>
              </w:rPr>
              <w:lastRenderedPageBreak/>
              <w:t xml:space="preserve">    Invazivna mehanička ventilacija</w:t>
            </w:r>
          </w:p>
        </w:tc>
        <w:tc>
          <w:tcPr>
            <w:tcW w:w="1116" w:type="pct"/>
            <w:tcBorders>
              <w:top w:val="single" w:sz="4" w:space="0" w:color="auto"/>
              <w:left w:val="single" w:sz="4" w:space="0" w:color="auto"/>
              <w:bottom w:val="single" w:sz="4" w:space="0" w:color="auto"/>
              <w:right w:val="single" w:sz="4" w:space="0" w:color="auto"/>
            </w:tcBorders>
            <w:hideMark/>
          </w:tcPr>
          <w:p w14:paraId="687F2DDF" w14:textId="77777777" w:rsidR="00E81CBA" w:rsidRPr="00CA46C7" w:rsidRDefault="00E81CBA" w:rsidP="00EA0376">
            <w:pPr>
              <w:jc w:val="center"/>
              <w:rPr>
                <w:lang w:val="sr-Latn-RS"/>
              </w:rPr>
            </w:pPr>
            <w:r w:rsidRPr="00CA46C7">
              <w:rPr>
                <w:szCs w:val="22"/>
                <w:lang w:val="sr-Latn-RS"/>
              </w:rPr>
              <w:t>102/1780 (5,7)</w:t>
            </w:r>
          </w:p>
        </w:tc>
        <w:tc>
          <w:tcPr>
            <w:tcW w:w="1159" w:type="pct"/>
            <w:tcBorders>
              <w:top w:val="single" w:sz="4" w:space="0" w:color="auto"/>
              <w:left w:val="single" w:sz="4" w:space="0" w:color="auto"/>
              <w:bottom w:val="single" w:sz="4" w:space="0" w:color="auto"/>
              <w:right w:val="single" w:sz="4" w:space="0" w:color="auto"/>
            </w:tcBorders>
            <w:hideMark/>
          </w:tcPr>
          <w:p w14:paraId="720FAE68" w14:textId="77777777" w:rsidR="00E81CBA" w:rsidRPr="00CA46C7" w:rsidRDefault="00E81CBA" w:rsidP="00EA0376">
            <w:pPr>
              <w:jc w:val="center"/>
              <w:rPr>
                <w:lang w:val="sr-Latn-RS"/>
              </w:rPr>
            </w:pPr>
            <w:r w:rsidRPr="00CA46C7">
              <w:rPr>
                <w:szCs w:val="22"/>
                <w:lang w:val="sr-Latn-RS"/>
              </w:rPr>
              <w:t>285/3638 (7,8)</w:t>
            </w:r>
          </w:p>
        </w:tc>
        <w:tc>
          <w:tcPr>
            <w:tcW w:w="1046" w:type="pct"/>
            <w:tcBorders>
              <w:top w:val="single" w:sz="4" w:space="0" w:color="auto"/>
              <w:left w:val="single" w:sz="4" w:space="0" w:color="auto"/>
              <w:bottom w:val="single" w:sz="4" w:space="0" w:color="auto"/>
              <w:right w:val="single" w:sz="4" w:space="0" w:color="auto"/>
            </w:tcBorders>
            <w:hideMark/>
          </w:tcPr>
          <w:p w14:paraId="5EA2C949" w14:textId="77777777" w:rsidR="00E81CBA" w:rsidRPr="00CA46C7" w:rsidRDefault="00E81CBA" w:rsidP="00EA0376">
            <w:pPr>
              <w:jc w:val="center"/>
              <w:rPr>
                <w:lang w:val="sr-Latn-RS"/>
              </w:rPr>
            </w:pPr>
            <w:r w:rsidRPr="00CA46C7">
              <w:rPr>
                <w:szCs w:val="22"/>
                <w:lang w:val="sr-Latn-RS"/>
              </w:rPr>
              <w:t>0,77 (0,62-0,95)</w:t>
            </w:r>
          </w:p>
        </w:tc>
      </w:tr>
      <w:tr w:rsidR="00CA46C7" w:rsidRPr="00CA46C7" w14:paraId="61235B17" w14:textId="77777777" w:rsidTr="00EA0376">
        <w:trPr>
          <w:jc w:val="center"/>
        </w:trPr>
        <w:tc>
          <w:tcPr>
            <w:tcW w:w="1679" w:type="pct"/>
            <w:tcBorders>
              <w:top w:val="single" w:sz="4" w:space="0" w:color="auto"/>
              <w:left w:val="single" w:sz="4" w:space="0" w:color="auto"/>
              <w:bottom w:val="single" w:sz="4" w:space="0" w:color="auto"/>
              <w:right w:val="single" w:sz="4" w:space="0" w:color="auto"/>
            </w:tcBorders>
            <w:hideMark/>
          </w:tcPr>
          <w:p w14:paraId="6F5FBD8A" w14:textId="77777777" w:rsidR="00E81CBA" w:rsidRPr="00CA46C7" w:rsidRDefault="00E81CBA" w:rsidP="00EA0376">
            <w:pPr>
              <w:rPr>
                <w:lang w:val="sr-Latn-RS"/>
              </w:rPr>
            </w:pPr>
            <w:r w:rsidRPr="00CA46C7">
              <w:rPr>
                <w:szCs w:val="22"/>
                <w:lang w:val="sr-Latn-RS"/>
              </w:rPr>
              <w:t xml:space="preserve">    Smrt</w:t>
            </w:r>
          </w:p>
        </w:tc>
        <w:tc>
          <w:tcPr>
            <w:tcW w:w="1116" w:type="pct"/>
            <w:tcBorders>
              <w:top w:val="single" w:sz="4" w:space="0" w:color="auto"/>
              <w:left w:val="single" w:sz="4" w:space="0" w:color="auto"/>
              <w:bottom w:val="single" w:sz="4" w:space="0" w:color="auto"/>
              <w:right w:val="single" w:sz="4" w:space="0" w:color="auto"/>
            </w:tcBorders>
            <w:hideMark/>
          </w:tcPr>
          <w:p w14:paraId="46F73A1D" w14:textId="77777777" w:rsidR="00E81CBA" w:rsidRPr="00CA46C7" w:rsidRDefault="00E81CBA" w:rsidP="00EA0376">
            <w:pPr>
              <w:jc w:val="center"/>
              <w:rPr>
                <w:lang w:val="sr-Latn-RS"/>
              </w:rPr>
            </w:pPr>
            <w:r w:rsidRPr="00CA46C7">
              <w:rPr>
                <w:szCs w:val="22"/>
                <w:lang w:val="sr-Latn-RS"/>
              </w:rPr>
              <w:t>387/1780 (21,7)</w:t>
            </w:r>
          </w:p>
        </w:tc>
        <w:tc>
          <w:tcPr>
            <w:tcW w:w="1159" w:type="pct"/>
            <w:tcBorders>
              <w:top w:val="single" w:sz="4" w:space="0" w:color="auto"/>
              <w:left w:val="single" w:sz="4" w:space="0" w:color="auto"/>
              <w:bottom w:val="single" w:sz="4" w:space="0" w:color="auto"/>
              <w:right w:val="single" w:sz="4" w:space="0" w:color="auto"/>
            </w:tcBorders>
            <w:hideMark/>
          </w:tcPr>
          <w:p w14:paraId="157D426E" w14:textId="77777777" w:rsidR="00E81CBA" w:rsidRPr="00CA46C7" w:rsidRDefault="00E81CBA" w:rsidP="00EA0376">
            <w:pPr>
              <w:jc w:val="center"/>
              <w:rPr>
                <w:lang w:val="sr-Latn-RS"/>
              </w:rPr>
            </w:pPr>
            <w:r w:rsidRPr="00CA46C7">
              <w:rPr>
                <w:szCs w:val="22"/>
                <w:lang w:val="sr-Latn-RS"/>
              </w:rPr>
              <w:t>827/3638 (22,7)</w:t>
            </w:r>
          </w:p>
        </w:tc>
        <w:tc>
          <w:tcPr>
            <w:tcW w:w="1046" w:type="pct"/>
            <w:tcBorders>
              <w:top w:val="single" w:sz="4" w:space="0" w:color="auto"/>
              <w:left w:val="single" w:sz="4" w:space="0" w:color="auto"/>
              <w:bottom w:val="single" w:sz="4" w:space="0" w:color="auto"/>
              <w:right w:val="single" w:sz="4" w:space="0" w:color="auto"/>
            </w:tcBorders>
            <w:hideMark/>
          </w:tcPr>
          <w:p w14:paraId="016A2BEA" w14:textId="77777777" w:rsidR="00E81CBA" w:rsidRPr="00CA46C7" w:rsidRDefault="00E81CBA" w:rsidP="00EA0376">
            <w:pPr>
              <w:jc w:val="center"/>
              <w:rPr>
                <w:lang w:val="sr-Latn-RS"/>
              </w:rPr>
            </w:pPr>
            <w:r w:rsidRPr="00CA46C7">
              <w:rPr>
                <w:szCs w:val="22"/>
                <w:lang w:val="sr-Latn-RS"/>
              </w:rPr>
              <w:t>0,93 (0,84-1,03)</w:t>
            </w:r>
          </w:p>
        </w:tc>
      </w:tr>
    </w:tbl>
    <w:p w14:paraId="246A6C35" w14:textId="161A7138" w:rsidR="00E81CBA" w:rsidRPr="00EA0376" w:rsidRDefault="00E81CBA" w:rsidP="00EA0376">
      <w:pPr>
        <w:rPr>
          <w:sz w:val="20"/>
          <w:szCs w:val="22"/>
          <w:lang w:val="sr-Latn-RS"/>
        </w:rPr>
      </w:pPr>
      <w:r w:rsidRPr="00EA0376">
        <w:rPr>
          <w:sz w:val="20"/>
          <w:szCs w:val="22"/>
          <w:vertAlign w:val="superscript"/>
          <w:lang w:val="sr-Latn-RS"/>
        </w:rPr>
        <w:t>*</w:t>
      </w:r>
      <w:r w:rsidRPr="00EA0376">
        <w:rPr>
          <w:sz w:val="20"/>
          <w:szCs w:val="22"/>
          <w:lang w:val="sr-Latn-RS"/>
        </w:rPr>
        <w:t xml:space="preserve"> Odnos</w:t>
      </w:r>
      <w:r w:rsidR="007A0BAD" w:rsidRPr="00EA0376">
        <w:rPr>
          <w:sz w:val="20"/>
          <w:szCs w:val="22"/>
          <w:lang w:val="sr-Latn-RS"/>
        </w:rPr>
        <w:t>i</w:t>
      </w:r>
      <w:r w:rsidRPr="00EA0376">
        <w:rPr>
          <w:sz w:val="20"/>
          <w:szCs w:val="22"/>
          <w:lang w:val="sr-Latn-RS"/>
        </w:rPr>
        <w:t xml:space="preserve"> </w:t>
      </w:r>
      <w:r w:rsidR="007A0BAD" w:rsidRPr="00EA0376">
        <w:rPr>
          <w:sz w:val="20"/>
          <w:szCs w:val="22"/>
          <w:lang w:val="sr-Latn-RS"/>
        </w:rPr>
        <w:t>stopa su</w:t>
      </w:r>
      <w:r w:rsidRPr="00EA0376">
        <w:rPr>
          <w:sz w:val="20"/>
          <w:szCs w:val="22"/>
          <w:lang w:val="sr-Latn-RS"/>
        </w:rPr>
        <w:t xml:space="preserve"> prilagođen</w:t>
      </w:r>
      <w:r w:rsidR="007A0BAD" w:rsidRPr="00EA0376">
        <w:rPr>
          <w:sz w:val="20"/>
          <w:szCs w:val="22"/>
          <w:lang w:val="sr-Latn-RS"/>
        </w:rPr>
        <w:t>i</w:t>
      </w:r>
      <w:r w:rsidRPr="00EA0376">
        <w:rPr>
          <w:sz w:val="20"/>
          <w:szCs w:val="22"/>
          <w:lang w:val="sr-Latn-RS"/>
        </w:rPr>
        <w:t xml:space="preserve"> </w:t>
      </w:r>
      <w:r w:rsidR="007A0BAD" w:rsidRPr="00EA0376">
        <w:rPr>
          <w:sz w:val="20"/>
          <w:szCs w:val="22"/>
          <w:lang w:val="sr-Latn-RS"/>
        </w:rPr>
        <w:t xml:space="preserve">za </w:t>
      </w:r>
      <w:r w:rsidRPr="00EA0376">
        <w:rPr>
          <w:sz w:val="20"/>
          <w:szCs w:val="22"/>
          <w:lang w:val="sr-Latn-RS"/>
        </w:rPr>
        <w:t>godin</w:t>
      </w:r>
      <w:r w:rsidR="007A0BAD" w:rsidRPr="00EA0376">
        <w:rPr>
          <w:sz w:val="20"/>
          <w:szCs w:val="22"/>
          <w:lang w:val="sr-Latn-RS"/>
        </w:rPr>
        <w:t>e</w:t>
      </w:r>
      <w:r w:rsidRPr="00EA0376">
        <w:rPr>
          <w:sz w:val="20"/>
          <w:szCs w:val="22"/>
          <w:lang w:val="sr-Latn-RS"/>
        </w:rPr>
        <w:t xml:space="preserve"> života u odnosu na </w:t>
      </w:r>
      <w:r w:rsidR="007A0BAD" w:rsidRPr="00EA0376">
        <w:rPr>
          <w:sz w:val="20"/>
          <w:szCs w:val="22"/>
          <w:lang w:val="sr-Latn-RS"/>
        </w:rPr>
        <w:t>ishode</w:t>
      </w:r>
      <w:r w:rsidRPr="00EA0376">
        <w:rPr>
          <w:sz w:val="20"/>
          <w:szCs w:val="22"/>
          <w:lang w:val="sr-Latn-RS"/>
        </w:rPr>
        <w:t xml:space="preserve"> mortalitet</w:t>
      </w:r>
      <w:r w:rsidR="007A0BAD" w:rsidRPr="00EA0376">
        <w:rPr>
          <w:sz w:val="20"/>
          <w:szCs w:val="22"/>
          <w:lang w:val="sr-Latn-RS"/>
        </w:rPr>
        <w:t>a</w:t>
      </w:r>
      <w:r w:rsidRPr="00EA0376">
        <w:rPr>
          <w:sz w:val="20"/>
          <w:szCs w:val="22"/>
          <w:lang w:val="sr-Latn-RS"/>
        </w:rPr>
        <w:t xml:space="preserve"> </w:t>
      </w:r>
      <w:r w:rsidR="007A0BAD" w:rsidRPr="00EA0376">
        <w:rPr>
          <w:sz w:val="20"/>
          <w:szCs w:val="22"/>
          <w:lang w:val="sr-Latn-RS"/>
        </w:rPr>
        <w:t>unutar</w:t>
      </w:r>
      <w:r w:rsidRPr="00EA0376">
        <w:rPr>
          <w:sz w:val="20"/>
          <w:szCs w:val="22"/>
          <w:lang w:val="sr-Latn-RS"/>
        </w:rPr>
        <w:t xml:space="preserve"> 28 dana i otpust</w:t>
      </w:r>
      <w:r w:rsidR="007A0BAD" w:rsidRPr="00EA0376">
        <w:rPr>
          <w:sz w:val="20"/>
          <w:szCs w:val="22"/>
          <w:lang w:val="sr-Latn-RS"/>
        </w:rPr>
        <w:t>a</w:t>
      </w:r>
      <w:r w:rsidRPr="00EA0376">
        <w:rPr>
          <w:sz w:val="20"/>
          <w:szCs w:val="22"/>
          <w:lang w:val="sr-Latn-RS"/>
        </w:rPr>
        <w:t xml:space="preserve"> iz bolnice</w:t>
      </w:r>
      <w:r w:rsidR="007A0BAD" w:rsidRPr="00EA0376">
        <w:rPr>
          <w:sz w:val="20"/>
          <w:szCs w:val="22"/>
          <w:lang w:val="sr-Latn-RS"/>
        </w:rPr>
        <w:t xml:space="preserve"> unutar 28 dana</w:t>
      </w:r>
      <w:r w:rsidRPr="00EA0376">
        <w:rPr>
          <w:sz w:val="20"/>
          <w:szCs w:val="22"/>
          <w:lang w:val="sr-Latn-RS"/>
        </w:rPr>
        <w:t>. Odnos</w:t>
      </w:r>
      <w:r w:rsidR="007A0BAD" w:rsidRPr="00EA0376">
        <w:rPr>
          <w:sz w:val="20"/>
          <w:szCs w:val="22"/>
          <w:lang w:val="sr-Latn-RS"/>
        </w:rPr>
        <w:t>i</w:t>
      </w:r>
      <w:r w:rsidRPr="00EA0376">
        <w:rPr>
          <w:sz w:val="20"/>
          <w:szCs w:val="22"/>
          <w:lang w:val="sr-Latn-RS"/>
        </w:rPr>
        <w:t xml:space="preserve"> rizika </w:t>
      </w:r>
      <w:r w:rsidR="007A0BAD" w:rsidRPr="00EA0376">
        <w:rPr>
          <w:sz w:val="20"/>
          <w:szCs w:val="22"/>
          <w:lang w:val="sr-Latn-RS"/>
        </w:rPr>
        <w:t xml:space="preserve">su </w:t>
      </w:r>
      <w:r w:rsidRPr="00EA0376">
        <w:rPr>
          <w:sz w:val="20"/>
          <w:szCs w:val="22"/>
          <w:lang w:val="sr-Latn-RS"/>
        </w:rPr>
        <w:t>prilagođen</w:t>
      </w:r>
      <w:r w:rsidR="007A0BAD" w:rsidRPr="00EA0376">
        <w:rPr>
          <w:sz w:val="20"/>
          <w:szCs w:val="22"/>
          <w:lang w:val="sr-Latn-RS"/>
        </w:rPr>
        <w:t>i</w:t>
      </w:r>
      <w:r w:rsidRPr="00EA0376">
        <w:rPr>
          <w:sz w:val="20"/>
          <w:szCs w:val="22"/>
          <w:lang w:val="sr-Latn-RS"/>
        </w:rPr>
        <w:t xml:space="preserve"> </w:t>
      </w:r>
      <w:r w:rsidR="007A0BAD" w:rsidRPr="00EA0376">
        <w:rPr>
          <w:sz w:val="20"/>
          <w:szCs w:val="22"/>
          <w:lang w:val="sr-Latn-RS"/>
        </w:rPr>
        <w:t xml:space="preserve">za </w:t>
      </w:r>
      <w:r w:rsidRPr="00EA0376">
        <w:rPr>
          <w:sz w:val="20"/>
          <w:szCs w:val="22"/>
          <w:lang w:val="sr-Latn-RS"/>
        </w:rPr>
        <w:t>godin</w:t>
      </w:r>
      <w:r w:rsidR="007A0BAD" w:rsidRPr="00EA0376">
        <w:rPr>
          <w:sz w:val="20"/>
          <w:szCs w:val="22"/>
          <w:lang w:val="sr-Latn-RS"/>
        </w:rPr>
        <w:t>e</w:t>
      </w:r>
      <w:r w:rsidRPr="00EA0376">
        <w:rPr>
          <w:sz w:val="20"/>
          <w:szCs w:val="22"/>
          <w:lang w:val="sr-Latn-RS"/>
        </w:rPr>
        <w:t xml:space="preserve"> života u odnosu na</w:t>
      </w:r>
      <w:r w:rsidR="007A0BAD" w:rsidRPr="00EA0376">
        <w:rPr>
          <w:sz w:val="20"/>
          <w:szCs w:val="22"/>
          <w:lang w:val="sr-Latn-RS"/>
        </w:rPr>
        <w:t xml:space="preserve"> ishod primanja invazivne </w:t>
      </w:r>
      <w:r w:rsidRPr="00EA0376">
        <w:rPr>
          <w:sz w:val="20"/>
          <w:szCs w:val="22"/>
          <w:lang w:val="sr-Latn-RS"/>
        </w:rPr>
        <w:t>mehaničk</w:t>
      </w:r>
      <w:r w:rsidR="007A0BAD" w:rsidRPr="00EA0376">
        <w:rPr>
          <w:sz w:val="20"/>
          <w:szCs w:val="22"/>
          <w:lang w:val="sr-Latn-RS"/>
        </w:rPr>
        <w:t>e</w:t>
      </w:r>
      <w:r w:rsidRPr="00EA0376">
        <w:rPr>
          <w:sz w:val="20"/>
          <w:szCs w:val="22"/>
          <w:lang w:val="sr-Latn-RS"/>
        </w:rPr>
        <w:t xml:space="preserve"> ventilacij</w:t>
      </w:r>
      <w:r w:rsidR="007A0BAD" w:rsidRPr="00EA0376">
        <w:rPr>
          <w:sz w:val="20"/>
          <w:szCs w:val="22"/>
          <w:lang w:val="sr-Latn-RS"/>
        </w:rPr>
        <w:t>e</w:t>
      </w:r>
      <w:r w:rsidRPr="00EA0376">
        <w:rPr>
          <w:sz w:val="20"/>
          <w:szCs w:val="22"/>
          <w:lang w:val="sr-Latn-RS"/>
        </w:rPr>
        <w:t xml:space="preserve"> ili smrt</w:t>
      </w:r>
      <w:r w:rsidR="007A0BAD" w:rsidRPr="00EA0376">
        <w:rPr>
          <w:sz w:val="20"/>
          <w:szCs w:val="22"/>
          <w:lang w:val="sr-Latn-RS"/>
        </w:rPr>
        <w:t>i</w:t>
      </w:r>
      <w:r w:rsidRPr="00EA0376">
        <w:rPr>
          <w:sz w:val="20"/>
          <w:szCs w:val="22"/>
          <w:lang w:val="sr-Latn-RS"/>
        </w:rPr>
        <w:t xml:space="preserve"> i</w:t>
      </w:r>
      <w:r w:rsidR="007A0BAD" w:rsidRPr="00EA0376">
        <w:rPr>
          <w:sz w:val="20"/>
          <w:szCs w:val="22"/>
          <w:lang w:val="sr-Latn-RS"/>
        </w:rPr>
        <w:t xml:space="preserve"> njenih </w:t>
      </w:r>
      <w:r w:rsidRPr="00EA0376">
        <w:rPr>
          <w:sz w:val="20"/>
          <w:szCs w:val="22"/>
          <w:lang w:val="sr-Latn-RS"/>
        </w:rPr>
        <w:t>subkomponent</w:t>
      </w:r>
      <w:r w:rsidR="007A0BAD" w:rsidRPr="00EA0376">
        <w:rPr>
          <w:sz w:val="20"/>
          <w:szCs w:val="22"/>
          <w:lang w:val="sr-Latn-RS"/>
        </w:rPr>
        <w:t>i</w:t>
      </w:r>
      <w:r w:rsidRPr="00EA0376">
        <w:rPr>
          <w:sz w:val="20"/>
          <w:szCs w:val="22"/>
          <w:lang w:val="sr-Latn-RS"/>
        </w:rPr>
        <w:t>.</w:t>
      </w:r>
    </w:p>
    <w:p w14:paraId="21C5ECF2" w14:textId="1B93C05B" w:rsidR="00E81CBA" w:rsidRPr="00EA0376" w:rsidRDefault="00E81CBA" w:rsidP="00EA0376">
      <w:pPr>
        <w:rPr>
          <w:sz w:val="20"/>
          <w:szCs w:val="22"/>
          <w:lang w:val="sr-Latn-RS"/>
        </w:rPr>
      </w:pPr>
      <w:r w:rsidRPr="00EA0376">
        <w:rPr>
          <w:sz w:val="20"/>
          <w:szCs w:val="22"/>
          <w:vertAlign w:val="superscript"/>
          <w:lang w:val="sr-Latn-RS"/>
        </w:rPr>
        <w:t>†</w:t>
      </w:r>
      <w:r w:rsidRPr="00EA0376">
        <w:rPr>
          <w:sz w:val="20"/>
          <w:szCs w:val="22"/>
          <w:lang w:val="sr-Latn-RS"/>
        </w:rPr>
        <w:t xml:space="preserve"> Iz ove kategorije su isključeni pacijenti koji su u </w:t>
      </w:r>
      <w:r w:rsidR="009C69B2" w:rsidRPr="00EA0376">
        <w:rPr>
          <w:sz w:val="20"/>
          <w:szCs w:val="22"/>
          <w:lang w:val="sr-Latn-RS"/>
        </w:rPr>
        <w:t xml:space="preserve">trenutku </w:t>
      </w:r>
      <w:r w:rsidRPr="00EA0376">
        <w:rPr>
          <w:sz w:val="20"/>
          <w:szCs w:val="22"/>
          <w:lang w:val="sr-Latn-RS"/>
        </w:rPr>
        <w:t>randomizacije već bili na invazivnoj mehaničkoj ventilaciji.</w:t>
      </w:r>
    </w:p>
    <w:p w14:paraId="0E472154" w14:textId="77777777" w:rsidR="00BB1690" w:rsidRPr="00CA46C7" w:rsidRDefault="00BB1690" w:rsidP="00EA0376">
      <w:pPr>
        <w:rPr>
          <w:szCs w:val="22"/>
          <w:lang w:val="sr-Latn-RS"/>
        </w:rPr>
      </w:pPr>
    </w:p>
    <w:p w14:paraId="7A767ADF" w14:textId="3A8F4BC8" w:rsidR="00E81CBA" w:rsidRPr="00CA46C7" w:rsidRDefault="00E81CBA" w:rsidP="00EA0376">
      <w:pPr>
        <w:rPr>
          <w:szCs w:val="22"/>
          <w:u w:val="single"/>
          <w:lang w:val="sr-Latn-RS"/>
        </w:rPr>
      </w:pPr>
      <w:r w:rsidRPr="00CA46C7">
        <w:rPr>
          <w:szCs w:val="22"/>
          <w:u w:val="single"/>
          <w:lang w:val="sr-Latn-RS"/>
        </w:rPr>
        <w:t>Bezb</w:t>
      </w:r>
      <w:r w:rsidR="00BF1785" w:rsidRPr="00CA46C7">
        <w:rPr>
          <w:szCs w:val="22"/>
          <w:u w:val="single"/>
          <w:lang w:val="sr-Latn-RS"/>
        </w:rPr>
        <w:t>j</w:t>
      </w:r>
      <w:r w:rsidRPr="00CA46C7">
        <w:rPr>
          <w:szCs w:val="22"/>
          <w:u w:val="single"/>
          <w:lang w:val="sr-Latn-RS"/>
        </w:rPr>
        <w:t>ednost</w:t>
      </w:r>
    </w:p>
    <w:p w14:paraId="2E54C84E" w14:textId="359C18CA" w:rsidR="00E81CBA" w:rsidRPr="00CA46C7" w:rsidRDefault="00E81CBA" w:rsidP="00EA0376">
      <w:pPr>
        <w:rPr>
          <w:szCs w:val="22"/>
          <w:lang w:val="sr-Latn-RS"/>
        </w:rPr>
      </w:pPr>
      <w:r w:rsidRPr="00CA46C7">
        <w:rPr>
          <w:szCs w:val="22"/>
          <w:lang w:val="sr-Latn-RS"/>
        </w:rPr>
        <w:t>Zab</w:t>
      </w:r>
      <w:r w:rsidR="00BF1785" w:rsidRPr="00CA46C7">
        <w:rPr>
          <w:szCs w:val="22"/>
          <w:lang w:val="sr-Latn-RS"/>
        </w:rPr>
        <w:t>i</w:t>
      </w:r>
      <w:r w:rsidRPr="00CA46C7">
        <w:rPr>
          <w:szCs w:val="22"/>
          <w:lang w:val="sr-Latn-RS"/>
        </w:rPr>
        <w:t>l</w:t>
      </w:r>
      <w:r w:rsidR="00BF1785" w:rsidRPr="00CA46C7">
        <w:rPr>
          <w:szCs w:val="22"/>
          <w:lang w:val="sr-Latn-RS"/>
        </w:rPr>
        <w:t>j</w:t>
      </w:r>
      <w:r w:rsidRPr="00CA46C7">
        <w:rPr>
          <w:szCs w:val="22"/>
          <w:lang w:val="sr-Latn-RS"/>
        </w:rPr>
        <w:t>ežena su 4 ozbiljna neželjena događaja (</w:t>
      </w:r>
      <w:r w:rsidR="009C69B2" w:rsidRPr="00CA46C7">
        <w:rPr>
          <w:szCs w:val="22"/>
          <w:lang w:val="sr-Latn-RS"/>
        </w:rPr>
        <w:t xml:space="preserve">engl. </w:t>
      </w:r>
      <w:r w:rsidR="009C69B2" w:rsidRPr="00CA46C7">
        <w:rPr>
          <w:i/>
          <w:szCs w:val="22"/>
          <w:lang w:val="sr-Latn-RS"/>
        </w:rPr>
        <w:t>Serious adverse events</w:t>
      </w:r>
      <w:r w:rsidR="009C69B2" w:rsidRPr="00CA46C7">
        <w:rPr>
          <w:szCs w:val="22"/>
          <w:lang w:val="sr-Latn-RS"/>
        </w:rPr>
        <w:t xml:space="preserve">, </w:t>
      </w:r>
      <w:r w:rsidRPr="00CA46C7">
        <w:rPr>
          <w:szCs w:val="22"/>
          <w:lang w:val="sr-Latn-RS"/>
        </w:rPr>
        <w:t xml:space="preserve">SAE) povezana sa </w:t>
      </w:r>
      <w:r w:rsidR="009C69B2" w:rsidRPr="00CA46C7">
        <w:rPr>
          <w:szCs w:val="22"/>
          <w:lang w:val="sr-Latn-RS"/>
        </w:rPr>
        <w:t>prim</w:t>
      </w:r>
      <w:r w:rsidR="00BF1785" w:rsidRPr="00CA46C7">
        <w:rPr>
          <w:szCs w:val="22"/>
          <w:lang w:val="sr-Latn-RS"/>
        </w:rPr>
        <w:t>j</w:t>
      </w:r>
      <w:r w:rsidR="009C69B2" w:rsidRPr="00CA46C7">
        <w:rPr>
          <w:szCs w:val="22"/>
          <w:lang w:val="sr-Latn-RS"/>
        </w:rPr>
        <w:t>enom l</w:t>
      </w:r>
      <w:r w:rsidR="00BF1785" w:rsidRPr="00CA46C7">
        <w:rPr>
          <w:szCs w:val="22"/>
          <w:lang w:val="sr-Latn-RS"/>
        </w:rPr>
        <w:t>ij</w:t>
      </w:r>
      <w:r w:rsidR="009C69B2" w:rsidRPr="00CA46C7">
        <w:rPr>
          <w:szCs w:val="22"/>
          <w:lang w:val="sr-Latn-RS"/>
        </w:rPr>
        <w:t>eka u studiji</w:t>
      </w:r>
      <w:r w:rsidRPr="00CA46C7">
        <w:rPr>
          <w:szCs w:val="22"/>
          <w:lang w:val="sr-Latn-RS"/>
        </w:rPr>
        <w:t xml:space="preserve">: dva </w:t>
      </w:r>
      <w:r w:rsidR="009C69B2" w:rsidRPr="00CA46C7">
        <w:rPr>
          <w:szCs w:val="22"/>
          <w:lang w:val="sr-Latn-RS"/>
        </w:rPr>
        <w:t>SAE</w:t>
      </w:r>
      <w:r w:rsidRPr="00CA46C7">
        <w:rPr>
          <w:szCs w:val="22"/>
          <w:lang w:val="sr-Latn-RS"/>
        </w:rPr>
        <w:t xml:space="preserve"> su bila hiperglikemija, jedan </w:t>
      </w:r>
      <w:r w:rsidR="009C69B2" w:rsidRPr="00CA46C7">
        <w:rPr>
          <w:szCs w:val="22"/>
          <w:lang w:val="sr-Latn-RS"/>
        </w:rPr>
        <w:t xml:space="preserve">SAE </w:t>
      </w:r>
      <w:r w:rsidRPr="00CA46C7">
        <w:rPr>
          <w:szCs w:val="22"/>
          <w:lang w:val="sr-Latn-RS"/>
        </w:rPr>
        <w:t xml:space="preserve">je bio steroidima indukovana psihoza, a jedan </w:t>
      </w:r>
      <w:r w:rsidR="009C69B2" w:rsidRPr="00CA46C7">
        <w:rPr>
          <w:szCs w:val="22"/>
          <w:lang w:val="sr-Latn-RS"/>
        </w:rPr>
        <w:t xml:space="preserve">SAE je bio </w:t>
      </w:r>
      <w:r w:rsidRPr="00CA46C7">
        <w:rPr>
          <w:szCs w:val="22"/>
          <w:lang w:val="sr-Latn-RS"/>
        </w:rPr>
        <w:t>krvarenje iz gornjih d</w:t>
      </w:r>
      <w:r w:rsidR="00BF1785" w:rsidRPr="00CA46C7">
        <w:rPr>
          <w:szCs w:val="22"/>
          <w:lang w:val="sr-Latn-RS"/>
        </w:rPr>
        <w:t>j</w:t>
      </w:r>
      <w:r w:rsidRPr="00CA46C7">
        <w:rPr>
          <w:szCs w:val="22"/>
          <w:lang w:val="sr-Latn-RS"/>
        </w:rPr>
        <w:t xml:space="preserve">elova </w:t>
      </w:r>
      <w:r w:rsidR="009C69B2" w:rsidRPr="00CA46C7">
        <w:rPr>
          <w:szCs w:val="22"/>
          <w:lang w:val="sr-Latn-RS"/>
        </w:rPr>
        <w:t>gastrointestinalnog trakta</w:t>
      </w:r>
      <w:r w:rsidRPr="00CA46C7">
        <w:rPr>
          <w:szCs w:val="22"/>
          <w:lang w:val="sr-Latn-RS"/>
        </w:rPr>
        <w:t>. Svi neželjeni događaji su sanirani.</w:t>
      </w:r>
    </w:p>
    <w:p w14:paraId="406FD559" w14:textId="77777777" w:rsidR="00BB1690" w:rsidRPr="00CA46C7" w:rsidRDefault="00BB1690" w:rsidP="00EA0376">
      <w:pPr>
        <w:rPr>
          <w:szCs w:val="22"/>
          <w:lang w:val="sr-Latn-RS"/>
        </w:rPr>
      </w:pPr>
    </w:p>
    <w:p w14:paraId="5488376D" w14:textId="0BE6D9C0" w:rsidR="00BB1690" w:rsidRDefault="00E81CBA" w:rsidP="00EA0376">
      <w:pPr>
        <w:rPr>
          <w:szCs w:val="22"/>
          <w:u w:val="single"/>
          <w:lang w:val="sr-Latn-RS"/>
        </w:rPr>
      </w:pPr>
      <w:r w:rsidRPr="00CA46C7">
        <w:rPr>
          <w:szCs w:val="22"/>
          <w:u w:val="single"/>
          <w:lang w:val="sr-Latn-RS"/>
        </w:rPr>
        <w:t>Analiza podgrupa</w:t>
      </w:r>
    </w:p>
    <w:p w14:paraId="323C64DB" w14:textId="77777777" w:rsidR="00EA0376" w:rsidRPr="00CA46C7" w:rsidRDefault="00EA0376" w:rsidP="00EA0376">
      <w:pPr>
        <w:rPr>
          <w:szCs w:val="22"/>
          <w:u w:val="single"/>
          <w:lang w:val="sr-Latn-RS"/>
        </w:rPr>
      </w:pPr>
      <w:bookmarkStart w:id="0" w:name="_GoBack"/>
      <w:bookmarkEnd w:id="0"/>
    </w:p>
    <w:p w14:paraId="4E4CBC6A" w14:textId="6162F366" w:rsidR="00E81CBA" w:rsidRPr="00CA46C7" w:rsidRDefault="00E81CBA" w:rsidP="00EA0376">
      <w:pPr>
        <w:rPr>
          <w:b/>
          <w:bCs/>
          <w:szCs w:val="22"/>
          <w:vertAlign w:val="superscript"/>
          <w:lang w:val="sr-Latn-RS"/>
        </w:rPr>
      </w:pPr>
      <w:r w:rsidRPr="00CA46C7">
        <w:rPr>
          <w:b/>
          <w:bCs/>
          <w:szCs w:val="22"/>
          <w:lang w:val="sr-Latn-RS"/>
        </w:rPr>
        <w:t xml:space="preserve">Uticaj deksametazona na mortalitet </w:t>
      </w:r>
      <w:r w:rsidR="009C69B2" w:rsidRPr="00CA46C7">
        <w:rPr>
          <w:b/>
          <w:bCs/>
          <w:szCs w:val="22"/>
          <w:lang w:val="sr-Latn-RS"/>
        </w:rPr>
        <w:t xml:space="preserve">unutar </w:t>
      </w:r>
      <w:r w:rsidRPr="00CA46C7">
        <w:rPr>
          <w:b/>
          <w:bCs/>
          <w:szCs w:val="22"/>
          <w:lang w:val="sr-Latn-RS"/>
        </w:rPr>
        <w:t xml:space="preserve">28 dana, prema godinama života i </w:t>
      </w:r>
      <w:r w:rsidR="009C69B2" w:rsidRPr="00CA46C7">
        <w:rPr>
          <w:b/>
          <w:bCs/>
          <w:szCs w:val="22"/>
          <w:lang w:val="sr-Latn-RS"/>
        </w:rPr>
        <w:t xml:space="preserve">respiratornoj potpori </w:t>
      </w:r>
      <w:r w:rsidRPr="00CA46C7">
        <w:rPr>
          <w:b/>
          <w:bCs/>
          <w:szCs w:val="22"/>
          <w:lang w:val="sr-Latn-RS"/>
        </w:rPr>
        <w:t xml:space="preserve">u </w:t>
      </w:r>
      <w:r w:rsidR="009C69B2" w:rsidRPr="00CA46C7">
        <w:rPr>
          <w:b/>
          <w:bCs/>
          <w:szCs w:val="22"/>
          <w:lang w:val="sr-Latn-RS"/>
        </w:rPr>
        <w:t xml:space="preserve">trenutku </w:t>
      </w:r>
      <w:r w:rsidRPr="00CA46C7">
        <w:rPr>
          <w:b/>
          <w:bCs/>
          <w:szCs w:val="22"/>
          <w:lang w:val="sr-Latn-RS"/>
        </w:rPr>
        <w:t>randomizacije</w:t>
      </w:r>
      <w:r w:rsidRPr="00CA46C7">
        <w:rPr>
          <w:b/>
          <w:bCs/>
          <w:szCs w:val="22"/>
          <w:vertAlign w:val="superscript"/>
          <w:lang w:val="sr-Latn-RS"/>
        </w:rPr>
        <w:t>2</w:t>
      </w:r>
    </w:p>
    <w:p w14:paraId="21FBDE64" w14:textId="225B3B25" w:rsidR="00BB1690" w:rsidRPr="00CA46C7" w:rsidRDefault="00BB1690" w:rsidP="00EA0376">
      <w:pPr>
        <w:rPr>
          <w:b/>
          <w:bCs/>
          <w:szCs w:val="22"/>
          <w:vertAlign w:val="superscript"/>
          <w:lang w:val="sr-Latn-RS"/>
        </w:rPr>
      </w:pPr>
    </w:p>
    <w:tbl>
      <w:tblPr>
        <w:tblW w:w="5000" w:type="pct"/>
        <w:tblCellMar>
          <w:left w:w="50" w:type="dxa"/>
          <w:right w:w="58" w:type="dxa"/>
        </w:tblCellMar>
        <w:tblLook w:val="04A0" w:firstRow="1" w:lastRow="0" w:firstColumn="1" w:lastColumn="0" w:noHBand="0" w:noVBand="1"/>
      </w:tblPr>
      <w:tblGrid>
        <w:gridCol w:w="1388"/>
        <w:gridCol w:w="1942"/>
        <w:gridCol w:w="1817"/>
        <w:gridCol w:w="1718"/>
        <w:gridCol w:w="700"/>
        <w:gridCol w:w="1614"/>
      </w:tblGrid>
      <w:tr w:rsidR="00CA46C7" w:rsidRPr="00CA46C7" w14:paraId="7E50C35D" w14:textId="77777777" w:rsidTr="00EA0376">
        <w:trPr>
          <w:trHeight w:val="240"/>
        </w:trPr>
        <w:tc>
          <w:tcPr>
            <w:tcW w:w="757" w:type="pct"/>
            <w:tcBorders>
              <w:top w:val="single" w:sz="4" w:space="0" w:color="000000"/>
              <w:left w:val="single" w:sz="4" w:space="0" w:color="000000"/>
              <w:bottom w:val="single" w:sz="4" w:space="0" w:color="000000"/>
              <w:right w:val="single" w:sz="4" w:space="0" w:color="000000"/>
            </w:tcBorders>
            <w:shd w:val="clear" w:color="auto" w:fill="auto"/>
          </w:tcPr>
          <w:p w14:paraId="70E50A71" w14:textId="77777777" w:rsidR="00E81CBA" w:rsidRPr="00CA46C7" w:rsidRDefault="00E81CBA" w:rsidP="00EA0376">
            <w:pPr>
              <w:rPr>
                <w:b/>
                <w:bCs/>
                <w:noProof/>
                <w:szCs w:val="22"/>
                <w:lang w:val="sr-Latn-RS"/>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tcPr>
          <w:p w14:paraId="1DCE8C63" w14:textId="77777777" w:rsidR="00E81CBA" w:rsidRPr="00CA46C7" w:rsidRDefault="00E81CBA" w:rsidP="00EA0376">
            <w:pPr>
              <w:rPr>
                <w:b/>
                <w:bCs/>
                <w:noProof/>
                <w:szCs w:val="22"/>
                <w:lang w:val="sr-Latn-RS"/>
              </w:rPr>
            </w:pPr>
            <w:r w:rsidRPr="00CA46C7">
              <w:rPr>
                <w:b/>
                <w:bCs/>
                <w:noProof/>
                <w:szCs w:val="22"/>
                <w:lang w:val="sr-Latn-RS"/>
              </w:rPr>
              <w:t xml:space="preserve">Deksametazon </w:t>
            </w:r>
          </w:p>
        </w:tc>
        <w:tc>
          <w:tcPr>
            <w:tcW w:w="991" w:type="pct"/>
            <w:tcBorders>
              <w:top w:val="single" w:sz="4" w:space="0" w:color="000000"/>
              <w:left w:val="single" w:sz="4" w:space="0" w:color="000000"/>
              <w:bottom w:val="single" w:sz="4" w:space="0" w:color="000000"/>
              <w:right w:val="single" w:sz="4" w:space="0" w:color="000000"/>
            </w:tcBorders>
            <w:shd w:val="clear" w:color="auto" w:fill="auto"/>
          </w:tcPr>
          <w:p w14:paraId="17EC64D8" w14:textId="282FC097" w:rsidR="00E81CBA" w:rsidRPr="00CA46C7" w:rsidRDefault="00E31D66" w:rsidP="00EA0376">
            <w:pPr>
              <w:rPr>
                <w:b/>
                <w:bCs/>
                <w:noProof/>
                <w:szCs w:val="22"/>
                <w:lang w:val="sr-Latn-RS"/>
              </w:rPr>
            </w:pPr>
            <w:r w:rsidRPr="00CA46C7">
              <w:rPr>
                <w:b/>
                <w:bCs/>
                <w:noProof/>
                <w:szCs w:val="22"/>
                <w:lang w:val="sr-Latn-RS"/>
              </w:rPr>
              <w:t xml:space="preserve">Uobičajena </w:t>
            </w:r>
            <w:r w:rsidR="00E81CBA" w:rsidRPr="00CA46C7">
              <w:rPr>
                <w:b/>
                <w:bCs/>
                <w:noProof/>
                <w:szCs w:val="22"/>
                <w:lang w:val="sr-Latn-RS"/>
              </w:rPr>
              <w:t xml:space="preserve">terapija </w:t>
            </w:r>
          </w:p>
        </w:tc>
        <w:tc>
          <w:tcPr>
            <w:tcW w:w="131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ACBFD2F" w14:textId="3F17A85A" w:rsidR="00E81CBA" w:rsidRPr="00CA46C7" w:rsidRDefault="00E81CBA" w:rsidP="00EA0376">
            <w:pPr>
              <w:rPr>
                <w:b/>
                <w:bCs/>
                <w:noProof/>
                <w:szCs w:val="22"/>
                <w:lang w:val="sr-Latn-RS"/>
              </w:rPr>
            </w:pPr>
            <w:r w:rsidRPr="00CA46C7">
              <w:rPr>
                <w:b/>
                <w:bCs/>
                <w:noProof/>
                <w:szCs w:val="22"/>
                <w:lang w:val="sr-Latn-RS"/>
              </w:rPr>
              <w:t xml:space="preserve">        </w:t>
            </w:r>
            <w:r w:rsidR="00EA0376">
              <w:rPr>
                <w:b/>
                <w:bCs/>
                <w:noProof/>
                <w:szCs w:val="22"/>
                <w:lang w:val="sr-Latn-RS"/>
              </w:rPr>
              <w:pict w14:anchorId="6BA4A509">
                <v:shape id="_x0000_i1094" type="#_x0000_t75" style="width:115.5pt;height:233.25pt;visibility:visible;mso-wrap-style:square">
                  <v:imagedata r:id="rId12" o:title=""/>
                </v:shape>
              </w:pict>
            </w:r>
          </w:p>
        </w:tc>
        <w:tc>
          <w:tcPr>
            <w:tcW w:w="880" w:type="pct"/>
            <w:tcBorders>
              <w:top w:val="single" w:sz="4" w:space="0" w:color="000000"/>
              <w:left w:val="single" w:sz="4" w:space="0" w:color="000000"/>
              <w:bottom w:val="single" w:sz="4" w:space="0" w:color="000000"/>
              <w:right w:val="single" w:sz="4" w:space="0" w:color="000000"/>
            </w:tcBorders>
            <w:shd w:val="clear" w:color="auto" w:fill="auto"/>
          </w:tcPr>
          <w:p w14:paraId="0EBCDC01" w14:textId="77777777" w:rsidR="00E81CBA" w:rsidRPr="00CA46C7" w:rsidRDefault="00E81CBA" w:rsidP="00EA0376">
            <w:pPr>
              <w:rPr>
                <w:b/>
                <w:bCs/>
                <w:noProof/>
                <w:szCs w:val="22"/>
                <w:lang w:val="sr-Latn-RS"/>
              </w:rPr>
            </w:pPr>
            <w:r w:rsidRPr="00CA46C7">
              <w:rPr>
                <w:b/>
                <w:bCs/>
                <w:noProof/>
                <w:szCs w:val="22"/>
                <w:lang w:val="sr-Latn-RS"/>
              </w:rPr>
              <w:t xml:space="preserve">RR (95% Cl) </w:t>
            </w:r>
          </w:p>
        </w:tc>
      </w:tr>
      <w:tr w:rsidR="00CA46C7" w:rsidRPr="00CA46C7" w14:paraId="21CCDAD0" w14:textId="77777777" w:rsidTr="00EA0376">
        <w:trPr>
          <w:trHeight w:val="240"/>
        </w:trPr>
        <w:tc>
          <w:tcPr>
            <w:tcW w:w="2807" w:type="pct"/>
            <w:gridSpan w:val="3"/>
            <w:tcBorders>
              <w:top w:val="single" w:sz="4" w:space="0" w:color="000000"/>
              <w:left w:val="single" w:sz="4" w:space="0" w:color="000000"/>
              <w:bottom w:val="single" w:sz="4" w:space="0" w:color="000000"/>
              <w:right w:val="single" w:sz="4" w:space="0" w:color="000000"/>
            </w:tcBorders>
            <w:shd w:val="clear" w:color="auto" w:fill="auto"/>
          </w:tcPr>
          <w:p w14:paraId="7B63BF0B" w14:textId="19CA1529" w:rsidR="00E81CBA" w:rsidRPr="00CA46C7" w:rsidRDefault="00E81CBA" w:rsidP="00EA0376">
            <w:pPr>
              <w:rPr>
                <w:b/>
                <w:bCs/>
                <w:noProof/>
                <w:szCs w:val="22"/>
                <w:lang w:val="sr-Latn-RS"/>
              </w:rPr>
            </w:pPr>
            <w:r w:rsidRPr="00CA46C7">
              <w:rPr>
                <w:b/>
                <w:bCs/>
                <w:noProof/>
                <w:szCs w:val="22"/>
                <w:lang w:val="sr-Latn-RS"/>
              </w:rPr>
              <w:t>Bez kiseonika (χ</w:t>
            </w:r>
            <w:r w:rsidRPr="00CA46C7">
              <w:rPr>
                <w:b/>
                <w:bCs/>
                <w:noProof/>
                <w:szCs w:val="22"/>
                <w:vertAlign w:val="subscript"/>
                <w:lang w:val="sr-Latn-RS"/>
              </w:rPr>
              <w:t>1</w:t>
            </w:r>
            <w:r w:rsidRPr="00CA46C7">
              <w:rPr>
                <w:b/>
                <w:bCs/>
                <w:noProof/>
                <w:szCs w:val="22"/>
                <w:vertAlign w:val="superscript"/>
                <w:lang w:val="sr-Latn-RS"/>
              </w:rPr>
              <w:t>2</w:t>
            </w:r>
            <w:r w:rsidRPr="00CA46C7">
              <w:rPr>
                <w:b/>
                <w:bCs/>
                <w:noProof/>
                <w:szCs w:val="22"/>
                <w:lang w:val="sr-Latn-RS"/>
              </w:rPr>
              <w:t xml:space="preserve">= 0,70; p=0,40) </w:t>
            </w:r>
          </w:p>
        </w:tc>
        <w:tc>
          <w:tcPr>
            <w:tcW w:w="1313" w:type="pct"/>
            <w:gridSpan w:val="2"/>
            <w:vMerge/>
            <w:tcBorders>
              <w:top w:val="nil"/>
              <w:left w:val="single" w:sz="4" w:space="0" w:color="000000"/>
              <w:bottom w:val="nil"/>
              <w:right w:val="single" w:sz="4" w:space="0" w:color="000000"/>
            </w:tcBorders>
            <w:shd w:val="clear" w:color="auto" w:fill="auto"/>
          </w:tcPr>
          <w:p w14:paraId="3CA4F75E" w14:textId="77777777" w:rsidR="00E81CBA" w:rsidRPr="00CA46C7" w:rsidRDefault="00E81CBA" w:rsidP="00EA0376">
            <w:pPr>
              <w:rPr>
                <w:noProof/>
                <w:szCs w:val="22"/>
                <w:lang w:val="sr-Latn-RS"/>
              </w:rPr>
            </w:pPr>
          </w:p>
        </w:tc>
        <w:tc>
          <w:tcPr>
            <w:tcW w:w="880" w:type="pct"/>
            <w:tcBorders>
              <w:top w:val="single" w:sz="4" w:space="0" w:color="000000"/>
              <w:left w:val="single" w:sz="4" w:space="0" w:color="000000"/>
              <w:bottom w:val="single" w:sz="4" w:space="0" w:color="000000"/>
              <w:right w:val="single" w:sz="4" w:space="0" w:color="000000"/>
            </w:tcBorders>
            <w:shd w:val="clear" w:color="auto" w:fill="auto"/>
          </w:tcPr>
          <w:p w14:paraId="1FB29A0E" w14:textId="77777777" w:rsidR="00E81CBA" w:rsidRPr="00CA46C7" w:rsidRDefault="00E81CBA" w:rsidP="00EA0376">
            <w:pPr>
              <w:rPr>
                <w:noProof/>
                <w:szCs w:val="22"/>
                <w:lang w:val="sr-Latn-RS"/>
              </w:rPr>
            </w:pPr>
            <w:r w:rsidRPr="00CA46C7">
              <w:rPr>
                <w:noProof/>
                <w:szCs w:val="22"/>
                <w:lang w:val="sr-Latn-RS"/>
              </w:rPr>
              <w:t xml:space="preserve"> </w:t>
            </w:r>
          </w:p>
        </w:tc>
      </w:tr>
      <w:tr w:rsidR="00CA46C7" w:rsidRPr="00CA46C7" w14:paraId="1651E904" w14:textId="77777777" w:rsidTr="00EA0376">
        <w:trPr>
          <w:trHeight w:val="934"/>
        </w:trPr>
        <w:tc>
          <w:tcPr>
            <w:tcW w:w="757" w:type="pct"/>
            <w:tcBorders>
              <w:top w:val="single" w:sz="4" w:space="0" w:color="000000"/>
              <w:left w:val="single" w:sz="4" w:space="0" w:color="000000"/>
              <w:bottom w:val="single" w:sz="4" w:space="0" w:color="000000"/>
              <w:right w:val="single" w:sz="4" w:space="0" w:color="000000"/>
            </w:tcBorders>
            <w:shd w:val="clear" w:color="auto" w:fill="auto"/>
          </w:tcPr>
          <w:p w14:paraId="4AF31B3A" w14:textId="77777777" w:rsidR="00E81CBA" w:rsidRPr="00CA46C7" w:rsidRDefault="00E81CBA" w:rsidP="00EA0376">
            <w:pPr>
              <w:rPr>
                <w:noProof/>
                <w:szCs w:val="22"/>
                <w:lang w:val="sr-Latn-RS"/>
              </w:rPr>
            </w:pPr>
            <w:r w:rsidRPr="00CA46C7">
              <w:rPr>
                <w:noProof/>
                <w:szCs w:val="22"/>
                <w:lang w:val="sr-Latn-RS"/>
              </w:rPr>
              <w:t>&lt;70</w:t>
            </w:r>
          </w:p>
          <w:p w14:paraId="6B686CB7" w14:textId="77777777" w:rsidR="00E81CBA" w:rsidRPr="00CA46C7" w:rsidRDefault="00E81CBA" w:rsidP="00EA0376">
            <w:pPr>
              <w:rPr>
                <w:noProof/>
                <w:szCs w:val="22"/>
                <w:lang w:val="sr-Latn-RS"/>
              </w:rPr>
            </w:pPr>
            <w:r w:rsidRPr="00CA46C7">
              <w:rPr>
                <w:noProof/>
                <w:szCs w:val="22"/>
                <w:lang w:val="sr-Latn-RS"/>
              </w:rPr>
              <w:t>≥70, &lt;80</w:t>
            </w:r>
          </w:p>
          <w:p w14:paraId="201F90DC" w14:textId="77777777" w:rsidR="00E81CBA" w:rsidRPr="00CA46C7" w:rsidRDefault="00E81CBA" w:rsidP="00EA0376">
            <w:pPr>
              <w:rPr>
                <w:noProof/>
                <w:szCs w:val="22"/>
                <w:lang w:val="sr-Latn-RS"/>
              </w:rPr>
            </w:pPr>
            <w:r w:rsidRPr="00CA46C7">
              <w:rPr>
                <w:noProof/>
                <w:szCs w:val="22"/>
                <w:lang w:val="sr-Latn-RS"/>
              </w:rPr>
              <w:t>≥80</w:t>
            </w:r>
          </w:p>
          <w:p w14:paraId="7604FC72" w14:textId="77777777" w:rsidR="00E81CBA" w:rsidRPr="00CA46C7" w:rsidRDefault="00E81CBA" w:rsidP="00EA0376">
            <w:pPr>
              <w:rPr>
                <w:b/>
                <w:bCs/>
                <w:noProof/>
                <w:szCs w:val="22"/>
                <w:lang w:val="sr-Latn-RS"/>
              </w:rPr>
            </w:pPr>
            <w:r w:rsidRPr="00CA46C7">
              <w:rPr>
                <w:b/>
                <w:bCs/>
                <w:noProof/>
                <w:szCs w:val="22"/>
                <w:lang w:val="sr-Latn-RS"/>
              </w:rPr>
              <w:t xml:space="preserve">Međuzbir </w:t>
            </w:r>
          </w:p>
        </w:tc>
        <w:tc>
          <w:tcPr>
            <w:tcW w:w="1059" w:type="pct"/>
            <w:tcBorders>
              <w:top w:val="single" w:sz="4" w:space="0" w:color="000000"/>
              <w:left w:val="single" w:sz="4" w:space="0" w:color="000000"/>
              <w:bottom w:val="single" w:sz="4" w:space="0" w:color="000000"/>
              <w:right w:val="single" w:sz="4" w:space="0" w:color="000000"/>
            </w:tcBorders>
            <w:shd w:val="clear" w:color="auto" w:fill="auto"/>
          </w:tcPr>
          <w:p w14:paraId="385587EB" w14:textId="77777777" w:rsidR="00E81CBA" w:rsidRPr="00CA46C7" w:rsidRDefault="00E81CBA" w:rsidP="00EA0376">
            <w:pPr>
              <w:rPr>
                <w:noProof/>
                <w:szCs w:val="22"/>
                <w:lang w:val="sr-Latn-RS"/>
              </w:rPr>
            </w:pPr>
            <w:r w:rsidRPr="00CA46C7">
              <w:rPr>
                <w:noProof/>
                <w:szCs w:val="22"/>
                <w:lang w:val="sr-Latn-RS"/>
              </w:rPr>
              <w:t xml:space="preserve">10/197 (5,1%) </w:t>
            </w:r>
          </w:p>
          <w:p w14:paraId="444C086E" w14:textId="77777777" w:rsidR="00E81CBA" w:rsidRPr="00CA46C7" w:rsidRDefault="00E81CBA" w:rsidP="00EA0376">
            <w:pPr>
              <w:rPr>
                <w:noProof/>
                <w:szCs w:val="22"/>
                <w:lang w:val="sr-Latn-RS"/>
              </w:rPr>
            </w:pPr>
            <w:r w:rsidRPr="00CA46C7">
              <w:rPr>
                <w:noProof/>
                <w:szCs w:val="22"/>
                <w:lang w:val="sr-Latn-RS"/>
              </w:rPr>
              <w:t xml:space="preserve">25/114 (21,9%) </w:t>
            </w:r>
          </w:p>
          <w:p w14:paraId="33EC376F" w14:textId="77777777" w:rsidR="00E81CBA" w:rsidRPr="00CA46C7" w:rsidRDefault="00E81CBA" w:rsidP="00EA0376">
            <w:pPr>
              <w:rPr>
                <w:noProof/>
                <w:szCs w:val="22"/>
                <w:lang w:val="sr-Latn-RS"/>
              </w:rPr>
            </w:pPr>
            <w:r w:rsidRPr="00CA46C7">
              <w:rPr>
                <w:noProof/>
                <w:szCs w:val="22"/>
                <w:lang w:val="sr-Latn-RS"/>
              </w:rPr>
              <w:t xml:space="preserve">54/190 (28,4%) </w:t>
            </w:r>
          </w:p>
          <w:p w14:paraId="08175E24" w14:textId="77777777" w:rsidR="00E81CBA" w:rsidRPr="00CA46C7" w:rsidRDefault="00E81CBA" w:rsidP="00EA0376">
            <w:pPr>
              <w:rPr>
                <w:b/>
                <w:bCs/>
                <w:noProof/>
                <w:szCs w:val="22"/>
                <w:lang w:val="sr-Latn-RS"/>
              </w:rPr>
            </w:pPr>
            <w:r w:rsidRPr="00CA46C7">
              <w:rPr>
                <w:b/>
                <w:bCs/>
                <w:noProof/>
                <w:szCs w:val="22"/>
                <w:lang w:val="sr-Latn-RS"/>
              </w:rPr>
              <w:t xml:space="preserve">89/501 (17,8%) </w:t>
            </w:r>
          </w:p>
        </w:tc>
        <w:tc>
          <w:tcPr>
            <w:tcW w:w="991" w:type="pct"/>
            <w:tcBorders>
              <w:top w:val="single" w:sz="4" w:space="0" w:color="000000"/>
              <w:left w:val="single" w:sz="4" w:space="0" w:color="000000"/>
              <w:bottom w:val="single" w:sz="4" w:space="0" w:color="000000"/>
              <w:right w:val="single" w:sz="4" w:space="0" w:color="000000"/>
            </w:tcBorders>
            <w:shd w:val="clear" w:color="auto" w:fill="auto"/>
          </w:tcPr>
          <w:p w14:paraId="03834321" w14:textId="77777777" w:rsidR="00E81CBA" w:rsidRPr="00CA46C7" w:rsidRDefault="00E81CBA" w:rsidP="00EA0376">
            <w:pPr>
              <w:rPr>
                <w:noProof/>
                <w:szCs w:val="22"/>
                <w:lang w:val="sr-Latn-RS"/>
              </w:rPr>
            </w:pPr>
            <w:r w:rsidRPr="00CA46C7">
              <w:rPr>
                <w:noProof/>
                <w:szCs w:val="22"/>
                <w:lang w:val="sr-Latn-RS"/>
              </w:rPr>
              <w:t xml:space="preserve">18/462 (3,9%) </w:t>
            </w:r>
          </w:p>
          <w:p w14:paraId="5DB2F75E" w14:textId="77777777" w:rsidR="00E81CBA" w:rsidRPr="00CA46C7" w:rsidRDefault="00E81CBA" w:rsidP="00EA0376">
            <w:pPr>
              <w:rPr>
                <w:noProof/>
                <w:szCs w:val="22"/>
                <w:lang w:val="sr-Latn-RS"/>
              </w:rPr>
            </w:pPr>
            <w:r w:rsidRPr="00CA46C7">
              <w:rPr>
                <w:noProof/>
                <w:szCs w:val="22"/>
                <w:lang w:val="sr-Latn-RS"/>
              </w:rPr>
              <w:t xml:space="preserve">35/224 (15,6%) </w:t>
            </w:r>
          </w:p>
          <w:p w14:paraId="35C8BBB3" w14:textId="77777777" w:rsidR="00E81CBA" w:rsidRPr="00CA46C7" w:rsidRDefault="00E81CBA" w:rsidP="00EA0376">
            <w:pPr>
              <w:rPr>
                <w:noProof/>
                <w:szCs w:val="22"/>
                <w:lang w:val="sr-Latn-RS"/>
              </w:rPr>
            </w:pPr>
            <w:r w:rsidRPr="00CA46C7">
              <w:rPr>
                <w:noProof/>
                <w:szCs w:val="22"/>
                <w:lang w:val="sr-Latn-RS"/>
              </w:rPr>
              <w:t xml:space="preserve">92/348 (26,4%) </w:t>
            </w:r>
          </w:p>
          <w:p w14:paraId="70D580BD" w14:textId="77777777" w:rsidR="00E81CBA" w:rsidRPr="00CA46C7" w:rsidRDefault="00E81CBA" w:rsidP="00EA0376">
            <w:pPr>
              <w:rPr>
                <w:b/>
                <w:bCs/>
                <w:noProof/>
                <w:szCs w:val="22"/>
                <w:lang w:val="sr-Latn-RS"/>
              </w:rPr>
            </w:pPr>
            <w:r w:rsidRPr="00CA46C7">
              <w:rPr>
                <w:b/>
                <w:bCs/>
                <w:noProof/>
                <w:szCs w:val="22"/>
                <w:lang w:val="sr-Latn-RS"/>
              </w:rPr>
              <w:t xml:space="preserve">145/1034 (14,0%) </w:t>
            </w:r>
          </w:p>
        </w:tc>
        <w:tc>
          <w:tcPr>
            <w:tcW w:w="1313" w:type="pct"/>
            <w:gridSpan w:val="2"/>
            <w:vMerge/>
            <w:tcBorders>
              <w:top w:val="nil"/>
              <w:left w:val="single" w:sz="4" w:space="0" w:color="000000"/>
              <w:bottom w:val="nil"/>
              <w:right w:val="single" w:sz="4" w:space="0" w:color="000000"/>
            </w:tcBorders>
            <w:shd w:val="clear" w:color="auto" w:fill="auto"/>
          </w:tcPr>
          <w:p w14:paraId="49B8D423" w14:textId="77777777" w:rsidR="00E81CBA" w:rsidRPr="00CA46C7" w:rsidRDefault="00E81CBA" w:rsidP="00EA0376">
            <w:pPr>
              <w:rPr>
                <w:noProof/>
                <w:szCs w:val="22"/>
                <w:lang w:val="sr-Latn-RS"/>
              </w:rPr>
            </w:pPr>
          </w:p>
        </w:tc>
        <w:tc>
          <w:tcPr>
            <w:tcW w:w="880" w:type="pct"/>
            <w:tcBorders>
              <w:top w:val="single" w:sz="4" w:space="0" w:color="000000"/>
              <w:left w:val="single" w:sz="4" w:space="0" w:color="000000"/>
              <w:bottom w:val="single" w:sz="4" w:space="0" w:color="000000"/>
              <w:right w:val="single" w:sz="4" w:space="0" w:color="000000"/>
            </w:tcBorders>
            <w:shd w:val="clear" w:color="auto" w:fill="auto"/>
          </w:tcPr>
          <w:p w14:paraId="52AF17C2" w14:textId="77777777" w:rsidR="00E81CBA" w:rsidRPr="00CA46C7" w:rsidRDefault="00E81CBA" w:rsidP="00EA0376">
            <w:pPr>
              <w:rPr>
                <w:noProof/>
                <w:szCs w:val="22"/>
                <w:lang w:val="sr-Latn-RS"/>
              </w:rPr>
            </w:pPr>
            <w:r w:rsidRPr="00CA46C7">
              <w:rPr>
                <w:noProof/>
                <w:szCs w:val="22"/>
                <w:lang w:val="sr-Latn-RS"/>
              </w:rPr>
              <w:t xml:space="preserve">1,31 (0,60-2,83) </w:t>
            </w:r>
          </w:p>
          <w:p w14:paraId="222F4D89" w14:textId="77777777" w:rsidR="00E81CBA" w:rsidRPr="00CA46C7" w:rsidRDefault="00E81CBA" w:rsidP="00EA0376">
            <w:pPr>
              <w:rPr>
                <w:noProof/>
                <w:szCs w:val="22"/>
                <w:lang w:val="sr-Latn-RS"/>
              </w:rPr>
            </w:pPr>
            <w:r w:rsidRPr="00CA46C7">
              <w:rPr>
                <w:noProof/>
                <w:szCs w:val="22"/>
                <w:lang w:val="sr-Latn-RS"/>
              </w:rPr>
              <w:t xml:space="preserve">1,46 (0,88-2,45) </w:t>
            </w:r>
          </w:p>
          <w:p w14:paraId="0BBE555E" w14:textId="77777777" w:rsidR="00E81CBA" w:rsidRPr="00CA46C7" w:rsidRDefault="00E81CBA" w:rsidP="00EA0376">
            <w:pPr>
              <w:rPr>
                <w:noProof/>
                <w:szCs w:val="22"/>
                <w:lang w:val="sr-Latn-RS"/>
              </w:rPr>
            </w:pPr>
            <w:r w:rsidRPr="00CA46C7">
              <w:rPr>
                <w:noProof/>
                <w:szCs w:val="22"/>
                <w:lang w:val="sr-Latn-RS"/>
              </w:rPr>
              <w:t xml:space="preserve">1,06 (0,76-1,49) </w:t>
            </w:r>
          </w:p>
          <w:p w14:paraId="1FDDAD66" w14:textId="77777777" w:rsidR="00E81CBA" w:rsidRPr="00CA46C7" w:rsidRDefault="00E81CBA" w:rsidP="00EA0376">
            <w:pPr>
              <w:rPr>
                <w:b/>
                <w:bCs/>
                <w:noProof/>
                <w:szCs w:val="22"/>
                <w:lang w:val="sr-Latn-RS"/>
              </w:rPr>
            </w:pPr>
            <w:r w:rsidRPr="00CA46C7">
              <w:rPr>
                <w:b/>
                <w:bCs/>
                <w:noProof/>
                <w:szCs w:val="22"/>
                <w:lang w:val="sr-Latn-RS"/>
              </w:rPr>
              <w:t xml:space="preserve">1,19 (0,91-1,55) </w:t>
            </w:r>
          </w:p>
        </w:tc>
      </w:tr>
      <w:tr w:rsidR="00CA46C7" w:rsidRPr="00CA46C7" w14:paraId="366816AB" w14:textId="77777777" w:rsidTr="00EA0376">
        <w:trPr>
          <w:trHeight w:val="286"/>
        </w:trPr>
        <w:tc>
          <w:tcPr>
            <w:tcW w:w="2807" w:type="pct"/>
            <w:gridSpan w:val="3"/>
            <w:tcBorders>
              <w:top w:val="single" w:sz="4" w:space="0" w:color="000000"/>
              <w:left w:val="single" w:sz="4" w:space="0" w:color="000000"/>
              <w:bottom w:val="single" w:sz="4" w:space="0" w:color="000000"/>
              <w:right w:val="single" w:sz="4" w:space="0" w:color="000000"/>
            </w:tcBorders>
            <w:shd w:val="clear" w:color="auto" w:fill="auto"/>
          </w:tcPr>
          <w:p w14:paraId="5F64F274" w14:textId="0686C5E7" w:rsidR="00E81CBA" w:rsidRPr="00CA46C7" w:rsidRDefault="00E81CBA" w:rsidP="00EA0376">
            <w:pPr>
              <w:rPr>
                <w:b/>
                <w:bCs/>
                <w:noProof/>
                <w:szCs w:val="22"/>
                <w:lang w:val="sr-Latn-RS"/>
              </w:rPr>
            </w:pPr>
            <w:r w:rsidRPr="00CA46C7">
              <w:rPr>
                <w:b/>
                <w:bCs/>
                <w:noProof/>
                <w:szCs w:val="22"/>
                <w:lang w:val="sr-Latn-RS"/>
              </w:rPr>
              <w:t>Samo kiseonik (χ</w:t>
            </w:r>
            <w:r w:rsidRPr="00CA46C7">
              <w:rPr>
                <w:b/>
                <w:bCs/>
                <w:noProof/>
                <w:szCs w:val="22"/>
                <w:vertAlign w:val="subscript"/>
                <w:lang w:val="sr-Latn-RS"/>
              </w:rPr>
              <w:t>1</w:t>
            </w:r>
            <w:r w:rsidRPr="00CA46C7">
              <w:rPr>
                <w:b/>
                <w:bCs/>
                <w:noProof/>
                <w:szCs w:val="22"/>
                <w:vertAlign w:val="superscript"/>
                <w:lang w:val="sr-Latn-RS"/>
              </w:rPr>
              <w:t>2</w:t>
            </w:r>
            <w:r w:rsidRPr="00CA46C7">
              <w:rPr>
                <w:b/>
                <w:bCs/>
                <w:noProof/>
                <w:szCs w:val="22"/>
                <w:lang w:val="sr-Latn-RS"/>
              </w:rPr>
              <w:t xml:space="preserve">= 2,54; p=0,11) </w:t>
            </w:r>
          </w:p>
        </w:tc>
        <w:tc>
          <w:tcPr>
            <w:tcW w:w="1313" w:type="pct"/>
            <w:gridSpan w:val="2"/>
            <w:vMerge/>
            <w:tcBorders>
              <w:top w:val="nil"/>
              <w:left w:val="single" w:sz="4" w:space="0" w:color="000000"/>
              <w:bottom w:val="nil"/>
              <w:right w:val="single" w:sz="4" w:space="0" w:color="000000"/>
            </w:tcBorders>
            <w:shd w:val="clear" w:color="auto" w:fill="auto"/>
          </w:tcPr>
          <w:p w14:paraId="3EB6283A" w14:textId="77777777" w:rsidR="00E81CBA" w:rsidRPr="00CA46C7" w:rsidRDefault="00E81CBA" w:rsidP="00EA0376">
            <w:pPr>
              <w:rPr>
                <w:noProof/>
                <w:szCs w:val="22"/>
                <w:lang w:val="sr-Latn-RS"/>
              </w:rPr>
            </w:pPr>
          </w:p>
        </w:tc>
        <w:tc>
          <w:tcPr>
            <w:tcW w:w="880" w:type="pct"/>
            <w:tcBorders>
              <w:top w:val="single" w:sz="4" w:space="0" w:color="000000"/>
              <w:left w:val="single" w:sz="4" w:space="0" w:color="000000"/>
              <w:bottom w:val="single" w:sz="4" w:space="0" w:color="000000"/>
              <w:right w:val="single" w:sz="4" w:space="0" w:color="000000"/>
            </w:tcBorders>
            <w:shd w:val="clear" w:color="auto" w:fill="auto"/>
          </w:tcPr>
          <w:p w14:paraId="6D321BF9" w14:textId="77777777" w:rsidR="00E81CBA" w:rsidRPr="00CA46C7" w:rsidRDefault="00E81CBA" w:rsidP="00EA0376">
            <w:pPr>
              <w:rPr>
                <w:noProof/>
                <w:szCs w:val="22"/>
                <w:lang w:val="sr-Latn-RS"/>
              </w:rPr>
            </w:pPr>
            <w:r w:rsidRPr="00CA46C7">
              <w:rPr>
                <w:noProof/>
                <w:szCs w:val="22"/>
                <w:lang w:val="sr-Latn-RS"/>
              </w:rPr>
              <w:t xml:space="preserve"> </w:t>
            </w:r>
          </w:p>
        </w:tc>
      </w:tr>
      <w:tr w:rsidR="00CA46C7" w:rsidRPr="00CA46C7" w14:paraId="5EB564E1" w14:textId="77777777" w:rsidTr="00EA0376">
        <w:trPr>
          <w:trHeight w:val="931"/>
        </w:trPr>
        <w:tc>
          <w:tcPr>
            <w:tcW w:w="757" w:type="pct"/>
            <w:tcBorders>
              <w:top w:val="single" w:sz="4" w:space="0" w:color="000000"/>
              <w:left w:val="single" w:sz="4" w:space="0" w:color="000000"/>
              <w:bottom w:val="single" w:sz="4" w:space="0" w:color="000000"/>
              <w:right w:val="single" w:sz="4" w:space="0" w:color="000000"/>
            </w:tcBorders>
            <w:shd w:val="clear" w:color="auto" w:fill="auto"/>
          </w:tcPr>
          <w:p w14:paraId="523A77A9" w14:textId="77777777" w:rsidR="00E81CBA" w:rsidRPr="00CA46C7" w:rsidRDefault="00E81CBA" w:rsidP="00EA0376">
            <w:pPr>
              <w:rPr>
                <w:noProof/>
                <w:szCs w:val="22"/>
                <w:lang w:val="sr-Latn-RS"/>
              </w:rPr>
            </w:pPr>
            <w:r w:rsidRPr="00CA46C7">
              <w:rPr>
                <w:noProof/>
                <w:szCs w:val="22"/>
                <w:lang w:val="sr-Latn-RS"/>
              </w:rPr>
              <w:t>&lt;70</w:t>
            </w:r>
          </w:p>
          <w:p w14:paraId="280D6A8F" w14:textId="77777777" w:rsidR="00E81CBA" w:rsidRPr="00CA46C7" w:rsidRDefault="00E81CBA" w:rsidP="00EA0376">
            <w:pPr>
              <w:rPr>
                <w:noProof/>
                <w:szCs w:val="22"/>
                <w:lang w:val="sr-Latn-RS"/>
              </w:rPr>
            </w:pPr>
            <w:r w:rsidRPr="00CA46C7">
              <w:rPr>
                <w:noProof/>
                <w:szCs w:val="22"/>
                <w:lang w:val="sr-Latn-RS"/>
              </w:rPr>
              <w:t>≥70, &lt;80</w:t>
            </w:r>
          </w:p>
          <w:p w14:paraId="25BDB376" w14:textId="77777777" w:rsidR="00E81CBA" w:rsidRPr="00CA46C7" w:rsidRDefault="00E81CBA" w:rsidP="00EA0376">
            <w:pPr>
              <w:rPr>
                <w:noProof/>
                <w:szCs w:val="22"/>
                <w:lang w:val="sr-Latn-RS"/>
              </w:rPr>
            </w:pPr>
            <w:r w:rsidRPr="00CA46C7">
              <w:rPr>
                <w:noProof/>
                <w:szCs w:val="22"/>
                <w:lang w:val="sr-Latn-RS"/>
              </w:rPr>
              <w:t>≥80</w:t>
            </w:r>
          </w:p>
          <w:p w14:paraId="799A8297" w14:textId="77777777" w:rsidR="00E81CBA" w:rsidRPr="00CA46C7" w:rsidRDefault="00E81CBA" w:rsidP="00EA0376">
            <w:pPr>
              <w:rPr>
                <w:b/>
                <w:bCs/>
                <w:noProof/>
                <w:szCs w:val="22"/>
                <w:lang w:val="sr-Latn-RS"/>
              </w:rPr>
            </w:pPr>
            <w:r w:rsidRPr="00CA46C7">
              <w:rPr>
                <w:b/>
                <w:bCs/>
                <w:noProof/>
                <w:szCs w:val="22"/>
                <w:lang w:val="sr-Latn-RS"/>
              </w:rPr>
              <w:t>Međuzbir</w:t>
            </w:r>
          </w:p>
        </w:tc>
        <w:tc>
          <w:tcPr>
            <w:tcW w:w="1059" w:type="pct"/>
            <w:tcBorders>
              <w:top w:val="single" w:sz="4" w:space="0" w:color="000000"/>
              <w:left w:val="single" w:sz="4" w:space="0" w:color="000000"/>
              <w:bottom w:val="single" w:sz="4" w:space="0" w:color="000000"/>
              <w:right w:val="single" w:sz="4" w:space="0" w:color="000000"/>
            </w:tcBorders>
            <w:shd w:val="clear" w:color="auto" w:fill="auto"/>
          </w:tcPr>
          <w:p w14:paraId="3790DB0F" w14:textId="77777777" w:rsidR="00E81CBA" w:rsidRPr="00CA46C7" w:rsidRDefault="00E81CBA" w:rsidP="00EA0376">
            <w:pPr>
              <w:rPr>
                <w:noProof/>
                <w:szCs w:val="22"/>
                <w:lang w:val="sr-Latn-RS"/>
              </w:rPr>
            </w:pPr>
            <w:r w:rsidRPr="00CA46C7">
              <w:rPr>
                <w:noProof/>
                <w:szCs w:val="22"/>
                <w:lang w:val="sr-Latn-RS"/>
              </w:rPr>
              <w:t xml:space="preserve">53/675 (7,9%) </w:t>
            </w:r>
          </w:p>
          <w:p w14:paraId="4B30A032" w14:textId="77777777" w:rsidR="00E81CBA" w:rsidRPr="00CA46C7" w:rsidRDefault="00E81CBA" w:rsidP="00EA0376">
            <w:pPr>
              <w:rPr>
                <w:noProof/>
                <w:szCs w:val="22"/>
                <w:lang w:val="sr-Latn-RS"/>
              </w:rPr>
            </w:pPr>
            <w:r w:rsidRPr="00CA46C7">
              <w:rPr>
                <w:noProof/>
                <w:szCs w:val="22"/>
                <w:lang w:val="sr-Latn-RS"/>
              </w:rPr>
              <w:t xml:space="preserve">104/306 (34,0%) </w:t>
            </w:r>
          </w:p>
          <w:p w14:paraId="237E7E86" w14:textId="77777777" w:rsidR="00E81CBA" w:rsidRPr="00CA46C7" w:rsidRDefault="00E81CBA" w:rsidP="00EA0376">
            <w:pPr>
              <w:rPr>
                <w:noProof/>
                <w:szCs w:val="22"/>
                <w:lang w:val="sr-Latn-RS"/>
              </w:rPr>
            </w:pPr>
            <w:r w:rsidRPr="00CA46C7">
              <w:rPr>
                <w:noProof/>
                <w:szCs w:val="22"/>
                <w:lang w:val="sr-Latn-RS"/>
              </w:rPr>
              <w:t xml:space="preserve">141/298 (47,3%) </w:t>
            </w:r>
          </w:p>
          <w:p w14:paraId="46C8A4C9" w14:textId="77777777" w:rsidR="00E81CBA" w:rsidRPr="00CA46C7" w:rsidRDefault="00E81CBA" w:rsidP="00EA0376">
            <w:pPr>
              <w:rPr>
                <w:b/>
                <w:bCs/>
                <w:noProof/>
                <w:szCs w:val="22"/>
                <w:lang w:val="sr-Latn-RS"/>
              </w:rPr>
            </w:pPr>
            <w:r w:rsidRPr="00CA46C7">
              <w:rPr>
                <w:b/>
                <w:bCs/>
                <w:noProof/>
                <w:szCs w:val="22"/>
                <w:lang w:val="sr-Latn-RS"/>
              </w:rPr>
              <w:t xml:space="preserve">298/1279 (23,3%) </w:t>
            </w:r>
          </w:p>
        </w:tc>
        <w:tc>
          <w:tcPr>
            <w:tcW w:w="991" w:type="pct"/>
            <w:tcBorders>
              <w:top w:val="single" w:sz="4" w:space="0" w:color="000000"/>
              <w:left w:val="single" w:sz="4" w:space="0" w:color="000000"/>
              <w:bottom w:val="single" w:sz="4" w:space="0" w:color="000000"/>
              <w:right w:val="single" w:sz="4" w:space="0" w:color="000000"/>
            </w:tcBorders>
            <w:shd w:val="clear" w:color="auto" w:fill="auto"/>
          </w:tcPr>
          <w:p w14:paraId="1A667F26" w14:textId="77777777" w:rsidR="00E81CBA" w:rsidRPr="00CA46C7" w:rsidRDefault="00E81CBA" w:rsidP="00EA0376">
            <w:pPr>
              <w:rPr>
                <w:noProof/>
                <w:szCs w:val="22"/>
                <w:lang w:val="sr-Latn-RS"/>
              </w:rPr>
            </w:pPr>
            <w:r w:rsidRPr="00CA46C7">
              <w:rPr>
                <w:noProof/>
                <w:szCs w:val="22"/>
                <w:lang w:val="sr-Latn-RS"/>
              </w:rPr>
              <w:t xml:space="preserve">193/1473 (13,1%) </w:t>
            </w:r>
          </w:p>
          <w:p w14:paraId="69289D42" w14:textId="77777777" w:rsidR="00E81CBA" w:rsidRPr="00CA46C7" w:rsidRDefault="00E81CBA" w:rsidP="00EA0376">
            <w:pPr>
              <w:rPr>
                <w:noProof/>
                <w:szCs w:val="22"/>
                <w:lang w:val="sr-Latn-RS"/>
              </w:rPr>
            </w:pPr>
            <w:r w:rsidRPr="00CA46C7">
              <w:rPr>
                <w:noProof/>
                <w:szCs w:val="22"/>
                <w:lang w:val="sr-Latn-RS"/>
              </w:rPr>
              <w:t xml:space="preserve">178/531 (33,5%) </w:t>
            </w:r>
          </w:p>
          <w:p w14:paraId="5625DF9E" w14:textId="77777777" w:rsidR="00E81CBA" w:rsidRPr="00CA46C7" w:rsidRDefault="00E81CBA" w:rsidP="00EA0376">
            <w:pPr>
              <w:rPr>
                <w:noProof/>
                <w:szCs w:val="22"/>
                <w:lang w:val="sr-Latn-RS"/>
              </w:rPr>
            </w:pPr>
            <w:r w:rsidRPr="00CA46C7">
              <w:rPr>
                <w:noProof/>
                <w:szCs w:val="22"/>
                <w:lang w:val="sr-Latn-RS"/>
              </w:rPr>
              <w:t xml:space="preserve">311/600 (51,8%) </w:t>
            </w:r>
          </w:p>
          <w:p w14:paraId="060086CB" w14:textId="77777777" w:rsidR="00E81CBA" w:rsidRPr="00CA46C7" w:rsidRDefault="00E81CBA" w:rsidP="00EA0376">
            <w:pPr>
              <w:rPr>
                <w:b/>
                <w:bCs/>
                <w:noProof/>
                <w:szCs w:val="22"/>
                <w:lang w:val="sr-Latn-RS"/>
              </w:rPr>
            </w:pPr>
            <w:r w:rsidRPr="00CA46C7">
              <w:rPr>
                <w:b/>
                <w:bCs/>
                <w:noProof/>
                <w:szCs w:val="22"/>
                <w:lang w:val="sr-Latn-RS"/>
              </w:rPr>
              <w:t xml:space="preserve">682/2604 (26,2%) </w:t>
            </w:r>
          </w:p>
        </w:tc>
        <w:tc>
          <w:tcPr>
            <w:tcW w:w="1313" w:type="pct"/>
            <w:gridSpan w:val="2"/>
            <w:vMerge/>
            <w:tcBorders>
              <w:top w:val="nil"/>
              <w:left w:val="single" w:sz="4" w:space="0" w:color="000000"/>
              <w:bottom w:val="nil"/>
              <w:right w:val="single" w:sz="4" w:space="0" w:color="000000"/>
            </w:tcBorders>
            <w:shd w:val="clear" w:color="auto" w:fill="auto"/>
          </w:tcPr>
          <w:p w14:paraId="5D3FDDC8" w14:textId="77777777" w:rsidR="00E81CBA" w:rsidRPr="00CA46C7" w:rsidRDefault="00E81CBA" w:rsidP="00EA0376">
            <w:pPr>
              <w:rPr>
                <w:noProof/>
                <w:szCs w:val="22"/>
                <w:lang w:val="sr-Latn-RS"/>
              </w:rPr>
            </w:pPr>
          </w:p>
        </w:tc>
        <w:tc>
          <w:tcPr>
            <w:tcW w:w="880" w:type="pct"/>
            <w:tcBorders>
              <w:top w:val="single" w:sz="4" w:space="0" w:color="000000"/>
              <w:left w:val="single" w:sz="4" w:space="0" w:color="000000"/>
              <w:bottom w:val="single" w:sz="4" w:space="0" w:color="000000"/>
              <w:right w:val="single" w:sz="4" w:space="0" w:color="000000"/>
            </w:tcBorders>
            <w:shd w:val="clear" w:color="auto" w:fill="auto"/>
          </w:tcPr>
          <w:p w14:paraId="762C18CB" w14:textId="77777777" w:rsidR="00E81CBA" w:rsidRPr="00CA46C7" w:rsidRDefault="00E81CBA" w:rsidP="00EA0376">
            <w:pPr>
              <w:rPr>
                <w:noProof/>
                <w:szCs w:val="22"/>
                <w:lang w:val="sr-Latn-RS"/>
              </w:rPr>
            </w:pPr>
            <w:r w:rsidRPr="00CA46C7">
              <w:rPr>
                <w:noProof/>
                <w:szCs w:val="22"/>
                <w:lang w:val="sr-Latn-RS"/>
              </w:rPr>
              <w:t xml:space="preserve">0,58 (0,43-0,78) </w:t>
            </w:r>
          </w:p>
          <w:p w14:paraId="14C02D78" w14:textId="77777777" w:rsidR="00E81CBA" w:rsidRPr="00CA46C7" w:rsidRDefault="00E81CBA" w:rsidP="00EA0376">
            <w:pPr>
              <w:rPr>
                <w:noProof/>
                <w:szCs w:val="22"/>
                <w:lang w:val="sr-Latn-RS"/>
              </w:rPr>
            </w:pPr>
            <w:r w:rsidRPr="00CA46C7">
              <w:rPr>
                <w:noProof/>
                <w:szCs w:val="22"/>
                <w:lang w:val="sr-Latn-RS"/>
              </w:rPr>
              <w:t xml:space="preserve">0,98 (0,77-1,25) </w:t>
            </w:r>
          </w:p>
          <w:p w14:paraId="2B9D02AD" w14:textId="77777777" w:rsidR="00E81CBA" w:rsidRPr="00CA46C7" w:rsidRDefault="00E81CBA" w:rsidP="00EA0376">
            <w:pPr>
              <w:rPr>
                <w:noProof/>
                <w:szCs w:val="22"/>
                <w:lang w:val="sr-Latn-RS"/>
              </w:rPr>
            </w:pPr>
            <w:r w:rsidRPr="00CA46C7">
              <w:rPr>
                <w:noProof/>
                <w:szCs w:val="22"/>
                <w:lang w:val="sr-Latn-RS"/>
              </w:rPr>
              <w:t xml:space="preserve">0,85 (0,70-1,04) </w:t>
            </w:r>
          </w:p>
          <w:p w14:paraId="417C7586" w14:textId="77777777" w:rsidR="00E81CBA" w:rsidRPr="00CA46C7" w:rsidRDefault="00E81CBA" w:rsidP="00EA0376">
            <w:pPr>
              <w:rPr>
                <w:b/>
                <w:bCs/>
                <w:noProof/>
                <w:szCs w:val="22"/>
                <w:lang w:val="sr-Latn-RS"/>
              </w:rPr>
            </w:pPr>
            <w:r w:rsidRPr="00CA46C7">
              <w:rPr>
                <w:b/>
                <w:bCs/>
                <w:noProof/>
                <w:szCs w:val="22"/>
                <w:lang w:val="sr-Latn-RS"/>
              </w:rPr>
              <w:t xml:space="preserve">0,82 (0,72-0,94) </w:t>
            </w:r>
          </w:p>
        </w:tc>
      </w:tr>
      <w:tr w:rsidR="00CA46C7" w:rsidRPr="00CA46C7" w14:paraId="703E46C0" w14:textId="77777777" w:rsidTr="00EA0376">
        <w:trPr>
          <w:trHeight w:val="240"/>
        </w:trPr>
        <w:tc>
          <w:tcPr>
            <w:tcW w:w="2807" w:type="pct"/>
            <w:gridSpan w:val="3"/>
            <w:tcBorders>
              <w:top w:val="single" w:sz="4" w:space="0" w:color="000000"/>
              <w:left w:val="single" w:sz="4" w:space="0" w:color="000000"/>
              <w:bottom w:val="single" w:sz="4" w:space="0" w:color="000000"/>
              <w:right w:val="single" w:sz="4" w:space="0" w:color="000000"/>
            </w:tcBorders>
            <w:shd w:val="clear" w:color="auto" w:fill="auto"/>
          </w:tcPr>
          <w:p w14:paraId="6FEBE55A" w14:textId="66538312" w:rsidR="00E81CBA" w:rsidRPr="00CA46C7" w:rsidRDefault="00E81CBA" w:rsidP="00EA0376">
            <w:pPr>
              <w:rPr>
                <w:b/>
                <w:bCs/>
                <w:noProof/>
                <w:szCs w:val="22"/>
                <w:lang w:val="sr-Latn-RS"/>
              </w:rPr>
            </w:pPr>
            <w:r w:rsidRPr="00CA46C7">
              <w:rPr>
                <w:b/>
                <w:bCs/>
                <w:noProof/>
                <w:szCs w:val="22"/>
                <w:lang w:val="sr-Latn-RS"/>
              </w:rPr>
              <w:t>Mehanička ventilacija (χ</w:t>
            </w:r>
            <w:r w:rsidRPr="00CA46C7">
              <w:rPr>
                <w:b/>
                <w:bCs/>
                <w:noProof/>
                <w:szCs w:val="22"/>
                <w:vertAlign w:val="subscript"/>
                <w:lang w:val="sr-Latn-RS"/>
              </w:rPr>
              <w:t>1</w:t>
            </w:r>
            <w:r w:rsidRPr="00CA46C7">
              <w:rPr>
                <w:b/>
                <w:bCs/>
                <w:noProof/>
                <w:szCs w:val="22"/>
                <w:vertAlign w:val="superscript"/>
                <w:lang w:val="sr-Latn-RS"/>
              </w:rPr>
              <w:t>2</w:t>
            </w:r>
            <w:r w:rsidRPr="00CA46C7">
              <w:rPr>
                <w:b/>
                <w:bCs/>
                <w:noProof/>
                <w:szCs w:val="22"/>
                <w:lang w:val="sr-Latn-RS"/>
              </w:rPr>
              <w:t xml:space="preserve">= 0,28; p=0,60) </w:t>
            </w:r>
          </w:p>
        </w:tc>
        <w:tc>
          <w:tcPr>
            <w:tcW w:w="1313" w:type="pct"/>
            <w:gridSpan w:val="2"/>
            <w:vMerge/>
            <w:tcBorders>
              <w:top w:val="nil"/>
              <w:left w:val="single" w:sz="4" w:space="0" w:color="000000"/>
              <w:bottom w:val="nil"/>
              <w:right w:val="single" w:sz="4" w:space="0" w:color="000000"/>
            </w:tcBorders>
            <w:shd w:val="clear" w:color="auto" w:fill="auto"/>
          </w:tcPr>
          <w:p w14:paraId="47CA90D3" w14:textId="77777777" w:rsidR="00E81CBA" w:rsidRPr="00CA46C7" w:rsidRDefault="00E81CBA" w:rsidP="00EA0376">
            <w:pPr>
              <w:rPr>
                <w:noProof/>
                <w:szCs w:val="22"/>
                <w:lang w:val="sr-Latn-RS"/>
              </w:rPr>
            </w:pPr>
          </w:p>
        </w:tc>
        <w:tc>
          <w:tcPr>
            <w:tcW w:w="880" w:type="pct"/>
            <w:tcBorders>
              <w:top w:val="single" w:sz="4" w:space="0" w:color="000000"/>
              <w:left w:val="single" w:sz="4" w:space="0" w:color="000000"/>
              <w:bottom w:val="single" w:sz="4" w:space="0" w:color="000000"/>
              <w:right w:val="single" w:sz="4" w:space="0" w:color="000000"/>
            </w:tcBorders>
            <w:shd w:val="clear" w:color="auto" w:fill="auto"/>
          </w:tcPr>
          <w:p w14:paraId="4122D47B" w14:textId="77777777" w:rsidR="00E81CBA" w:rsidRPr="00CA46C7" w:rsidRDefault="00E81CBA" w:rsidP="00EA0376">
            <w:pPr>
              <w:rPr>
                <w:noProof/>
                <w:szCs w:val="22"/>
                <w:lang w:val="sr-Latn-RS"/>
              </w:rPr>
            </w:pPr>
            <w:r w:rsidRPr="00CA46C7">
              <w:rPr>
                <w:noProof/>
                <w:szCs w:val="22"/>
                <w:lang w:val="sr-Latn-RS"/>
              </w:rPr>
              <w:t xml:space="preserve"> </w:t>
            </w:r>
          </w:p>
        </w:tc>
      </w:tr>
      <w:tr w:rsidR="00CA46C7" w:rsidRPr="00CA46C7" w14:paraId="0AC790B5" w14:textId="77777777" w:rsidTr="00EA0376">
        <w:trPr>
          <w:trHeight w:val="929"/>
        </w:trPr>
        <w:tc>
          <w:tcPr>
            <w:tcW w:w="757" w:type="pct"/>
            <w:tcBorders>
              <w:top w:val="single" w:sz="4" w:space="0" w:color="000000"/>
              <w:left w:val="single" w:sz="4" w:space="0" w:color="000000"/>
              <w:bottom w:val="single" w:sz="4" w:space="0" w:color="000000"/>
              <w:right w:val="single" w:sz="4" w:space="0" w:color="000000"/>
            </w:tcBorders>
            <w:shd w:val="clear" w:color="auto" w:fill="auto"/>
          </w:tcPr>
          <w:p w14:paraId="202D2C50" w14:textId="77777777" w:rsidR="00E81CBA" w:rsidRPr="00CA46C7" w:rsidRDefault="00E81CBA" w:rsidP="00EA0376">
            <w:pPr>
              <w:rPr>
                <w:noProof/>
                <w:szCs w:val="22"/>
                <w:lang w:val="sr-Latn-RS"/>
              </w:rPr>
            </w:pPr>
            <w:r w:rsidRPr="00CA46C7">
              <w:rPr>
                <w:noProof/>
                <w:szCs w:val="22"/>
                <w:lang w:val="sr-Latn-RS"/>
              </w:rPr>
              <w:t>&lt;70</w:t>
            </w:r>
          </w:p>
          <w:p w14:paraId="0009B695" w14:textId="77777777" w:rsidR="00E81CBA" w:rsidRPr="00CA46C7" w:rsidRDefault="00E81CBA" w:rsidP="00EA0376">
            <w:pPr>
              <w:rPr>
                <w:noProof/>
                <w:szCs w:val="22"/>
                <w:lang w:val="sr-Latn-RS"/>
              </w:rPr>
            </w:pPr>
            <w:r w:rsidRPr="00CA46C7">
              <w:rPr>
                <w:noProof/>
                <w:szCs w:val="22"/>
                <w:lang w:val="sr-Latn-RS"/>
              </w:rPr>
              <w:t>≥70, &lt;80</w:t>
            </w:r>
          </w:p>
          <w:p w14:paraId="0FAE2A7A" w14:textId="77777777" w:rsidR="00E81CBA" w:rsidRPr="00CA46C7" w:rsidRDefault="00E81CBA" w:rsidP="00EA0376">
            <w:pPr>
              <w:rPr>
                <w:noProof/>
                <w:szCs w:val="22"/>
                <w:lang w:val="sr-Latn-RS"/>
              </w:rPr>
            </w:pPr>
            <w:r w:rsidRPr="00CA46C7">
              <w:rPr>
                <w:noProof/>
                <w:szCs w:val="22"/>
                <w:lang w:val="sr-Latn-RS"/>
              </w:rPr>
              <w:t>≥80</w:t>
            </w:r>
          </w:p>
          <w:p w14:paraId="27A05494" w14:textId="77777777" w:rsidR="00E81CBA" w:rsidRPr="00CA46C7" w:rsidRDefault="00E81CBA" w:rsidP="00EA0376">
            <w:pPr>
              <w:rPr>
                <w:b/>
                <w:bCs/>
                <w:noProof/>
                <w:szCs w:val="22"/>
                <w:lang w:val="sr-Latn-RS"/>
              </w:rPr>
            </w:pPr>
            <w:r w:rsidRPr="00CA46C7">
              <w:rPr>
                <w:b/>
                <w:bCs/>
                <w:noProof/>
                <w:szCs w:val="22"/>
                <w:lang w:val="sr-Latn-RS"/>
              </w:rPr>
              <w:t>Međuzbir</w:t>
            </w:r>
          </w:p>
        </w:tc>
        <w:tc>
          <w:tcPr>
            <w:tcW w:w="1059" w:type="pct"/>
            <w:tcBorders>
              <w:top w:val="single" w:sz="4" w:space="0" w:color="000000"/>
              <w:left w:val="single" w:sz="4" w:space="0" w:color="000000"/>
              <w:bottom w:val="single" w:sz="4" w:space="0" w:color="000000"/>
              <w:right w:val="single" w:sz="4" w:space="0" w:color="000000"/>
            </w:tcBorders>
            <w:shd w:val="clear" w:color="auto" w:fill="auto"/>
          </w:tcPr>
          <w:p w14:paraId="4CD9731F" w14:textId="77777777" w:rsidR="00E81CBA" w:rsidRPr="00CA46C7" w:rsidRDefault="00E81CBA" w:rsidP="00EA0376">
            <w:pPr>
              <w:rPr>
                <w:noProof/>
                <w:szCs w:val="22"/>
                <w:lang w:val="sr-Latn-RS"/>
              </w:rPr>
            </w:pPr>
            <w:r w:rsidRPr="00CA46C7">
              <w:rPr>
                <w:noProof/>
                <w:szCs w:val="22"/>
                <w:lang w:val="sr-Latn-RS"/>
              </w:rPr>
              <w:t xml:space="preserve">66/269 (24,5%) </w:t>
            </w:r>
          </w:p>
          <w:p w14:paraId="4D224D38" w14:textId="77777777" w:rsidR="00E81CBA" w:rsidRPr="00CA46C7" w:rsidRDefault="00E81CBA" w:rsidP="00EA0376">
            <w:pPr>
              <w:rPr>
                <w:noProof/>
                <w:szCs w:val="22"/>
                <w:lang w:val="sr-Latn-RS"/>
              </w:rPr>
            </w:pPr>
            <w:r w:rsidRPr="00CA46C7">
              <w:rPr>
                <w:noProof/>
                <w:szCs w:val="22"/>
                <w:lang w:val="sr-Latn-RS"/>
              </w:rPr>
              <w:t xml:space="preserve">26/49 (53 ,1%) </w:t>
            </w:r>
          </w:p>
          <w:p w14:paraId="37F938D5" w14:textId="77777777" w:rsidR="00E81CBA" w:rsidRPr="00CA46C7" w:rsidRDefault="00E81CBA" w:rsidP="00EA0376">
            <w:pPr>
              <w:rPr>
                <w:noProof/>
                <w:szCs w:val="22"/>
                <w:lang w:val="sr-Latn-RS"/>
              </w:rPr>
            </w:pPr>
            <w:r w:rsidRPr="00CA46C7">
              <w:rPr>
                <w:noProof/>
                <w:szCs w:val="22"/>
                <w:lang w:val="sr-Latn-RS"/>
              </w:rPr>
              <w:t xml:space="preserve">3/6 (50,0%) </w:t>
            </w:r>
          </w:p>
          <w:p w14:paraId="6F0614E6" w14:textId="77777777" w:rsidR="00E81CBA" w:rsidRPr="00CA46C7" w:rsidRDefault="00E81CBA" w:rsidP="00EA0376">
            <w:pPr>
              <w:rPr>
                <w:b/>
                <w:bCs/>
                <w:noProof/>
                <w:szCs w:val="22"/>
                <w:lang w:val="sr-Latn-RS"/>
              </w:rPr>
            </w:pPr>
            <w:r w:rsidRPr="00CA46C7">
              <w:rPr>
                <w:b/>
                <w:bCs/>
                <w:noProof/>
                <w:szCs w:val="22"/>
                <w:lang w:val="sr-Latn-RS"/>
              </w:rPr>
              <w:t xml:space="preserve">95/324 (29,3%) </w:t>
            </w:r>
          </w:p>
        </w:tc>
        <w:tc>
          <w:tcPr>
            <w:tcW w:w="991" w:type="pct"/>
            <w:tcBorders>
              <w:top w:val="single" w:sz="4" w:space="0" w:color="000000"/>
              <w:left w:val="single" w:sz="4" w:space="0" w:color="000000"/>
              <w:bottom w:val="single" w:sz="4" w:space="0" w:color="000000"/>
              <w:right w:val="single" w:sz="4" w:space="0" w:color="000000"/>
            </w:tcBorders>
            <w:shd w:val="clear" w:color="auto" w:fill="auto"/>
          </w:tcPr>
          <w:p w14:paraId="575CAD5F" w14:textId="77777777" w:rsidR="00E81CBA" w:rsidRPr="00CA46C7" w:rsidRDefault="00E81CBA" w:rsidP="00EA0376">
            <w:pPr>
              <w:rPr>
                <w:noProof/>
                <w:szCs w:val="22"/>
                <w:lang w:val="sr-Latn-RS"/>
              </w:rPr>
            </w:pPr>
            <w:r w:rsidRPr="00CA46C7">
              <w:rPr>
                <w:noProof/>
                <w:szCs w:val="22"/>
                <w:lang w:val="sr-Latn-RS"/>
              </w:rPr>
              <w:t xml:space="preserve">217/569 (38,1%) </w:t>
            </w:r>
          </w:p>
          <w:p w14:paraId="1973EC0E" w14:textId="77777777" w:rsidR="00E81CBA" w:rsidRPr="00CA46C7" w:rsidRDefault="00E81CBA" w:rsidP="00EA0376">
            <w:pPr>
              <w:rPr>
                <w:noProof/>
                <w:szCs w:val="22"/>
                <w:lang w:val="sr-Latn-RS"/>
              </w:rPr>
            </w:pPr>
            <w:r w:rsidRPr="00CA46C7">
              <w:rPr>
                <w:noProof/>
                <w:szCs w:val="22"/>
                <w:lang w:val="sr-Latn-RS"/>
              </w:rPr>
              <w:t xml:space="preserve">58/104 (55,8%) </w:t>
            </w:r>
          </w:p>
          <w:p w14:paraId="0F33A710" w14:textId="77777777" w:rsidR="00E81CBA" w:rsidRPr="00CA46C7" w:rsidRDefault="00E81CBA" w:rsidP="00EA0376">
            <w:pPr>
              <w:rPr>
                <w:noProof/>
                <w:szCs w:val="22"/>
                <w:lang w:val="sr-Latn-RS"/>
              </w:rPr>
            </w:pPr>
            <w:r w:rsidRPr="00CA46C7">
              <w:rPr>
                <w:noProof/>
                <w:szCs w:val="22"/>
                <w:lang w:val="sr-Latn-RS"/>
              </w:rPr>
              <w:t xml:space="preserve">8/10 (80,0%) </w:t>
            </w:r>
          </w:p>
          <w:p w14:paraId="4B9CB959" w14:textId="77777777" w:rsidR="00E81CBA" w:rsidRPr="00CA46C7" w:rsidRDefault="00E81CBA" w:rsidP="00EA0376">
            <w:pPr>
              <w:rPr>
                <w:b/>
                <w:bCs/>
                <w:noProof/>
                <w:szCs w:val="22"/>
                <w:lang w:val="sr-Latn-RS"/>
              </w:rPr>
            </w:pPr>
            <w:r w:rsidRPr="00CA46C7">
              <w:rPr>
                <w:b/>
                <w:bCs/>
                <w:noProof/>
                <w:szCs w:val="22"/>
                <w:lang w:val="sr-Latn-RS"/>
              </w:rPr>
              <w:t xml:space="preserve">283/683 (41,4%) </w:t>
            </w:r>
          </w:p>
        </w:tc>
        <w:tc>
          <w:tcPr>
            <w:tcW w:w="1313" w:type="pct"/>
            <w:gridSpan w:val="2"/>
            <w:vMerge/>
            <w:tcBorders>
              <w:top w:val="nil"/>
              <w:left w:val="single" w:sz="4" w:space="0" w:color="000000"/>
              <w:bottom w:val="nil"/>
              <w:right w:val="single" w:sz="4" w:space="0" w:color="000000"/>
            </w:tcBorders>
            <w:shd w:val="clear" w:color="auto" w:fill="auto"/>
          </w:tcPr>
          <w:p w14:paraId="567F6F6F" w14:textId="77777777" w:rsidR="00E81CBA" w:rsidRPr="00CA46C7" w:rsidRDefault="00E81CBA" w:rsidP="00EA0376">
            <w:pPr>
              <w:rPr>
                <w:noProof/>
                <w:szCs w:val="22"/>
                <w:lang w:val="sr-Latn-RS"/>
              </w:rPr>
            </w:pPr>
          </w:p>
        </w:tc>
        <w:tc>
          <w:tcPr>
            <w:tcW w:w="880" w:type="pct"/>
            <w:tcBorders>
              <w:top w:val="single" w:sz="4" w:space="0" w:color="000000"/>
              <w:left w:val="single" w:sz="4" w:space="0" w:color="000000"/>
              <w:bottom w:val="single" w:sz="4" w:space="0" w:color="000000"/>
              <w:right w:val="single" w:sz="4" w:space="0" w:color="000000"/>
            </w:tcBorders>
            <w:shd w:val="clear" w:color="auto" w:fill="auto"/>
          </w:tcPr>
          <w:p w14:paraId="71E2E8F0" w14:textId="77777777" w:rsidR="00E81CBA" w:rsidRPr="00CA46C7" w:rsidRDefault="00E81CBA" w:rsidP="00EA0376">
            <w:pPr>
              <w:rPr>
                <w:noProof/>
                <w:szCs w:val="22"/>
                <w:lang w:val="sr-Latn-RS"/>
              </w:rPr>
            </w:pPr>
            <w:r w:rsidRPr="00CA46C7">
              <w:rPr>
                <w:noProof/>
                <w:szCs w:val="22"/>
                <w:lang w:val="sr-Latn-RS"/>
              </w:rPr>
              <w:t xml:space="preserve">0,61 (0,46-0,81) </w:t>
            </w:r>
          </w:p>
          <w:p w14:paraId="290F2371" w14:textId="77777777" w:rsidR="00E81CBA" w:rsidRPr="00CA46C7" w:rsidRDefault="00E81CBA" w:rsidP="00EA0376">
            <w:pPr>
              <w:rPr>
                <w:noProof/>
                <w:szCs w:val="22"/>
                <w:lang w:val="sr-Latn-RS"/>
              </w:rPr>
            </w:pPr>
            <w:r w:rsidRPr="00CA46C7">
              <w:rPr>
                <w:noProof/>
                <w:szCs w:val="22"/>
                <w:lang w:val="sr-Latn-RS"/>
              </w:rPr>
              <w:t xml:space="preserve">0,85 (0,53-1,34) </w:t>
            </w:r>
          </w:p>
          <w:p w14:paraId="44CF8163" w14:textId="77777777" w:rsidR="00E81CBA" w:rsidRPr="00CA46C7" w:rsidRDefault="00E81CBA" w:rsidP="00EA0376">
            <w:pPr>
              <w:rPr>
                <w:noProof/>
                <w:szCs w:val="22"/>
                <w:lang w:val="sr-Latn-RS"/>
              </w:rPr>
            </w:pPr>
            <w:r w:rsidRPr="00CA46C7">
              <w:rPr>
                <w:noProof/>
                <w:szCs w:val="22"/>
                <w:lang w:val="sr-Latn-RS"/>
              </w:rPr>
              <w:t xml:space="preserve">0,39 (0,10-1,47) </w:t>
            </w:r>
          </w:p>
          <w:p w14:paraId="67A39CE9" w14:textId="77777777" w:rsidR="00E81CBA" w:rsidRPr="00CA46C7" w:rsidRDefault="00E81CBA" w:rsidP="00EA0376">
            <w:pPr>
              <w:rPr>
                <w:b/>
                <w:bCs/>
                <w:noProof/>
                <w:szCs w:val="22"/>
                <w:lang w:val="sr-Latn-RS"/>
              </w:rPr>
            </w:pPr>
            <w:r w:rsidRPr="00CA46C7">
              <w:rPr>
                <w:b/>
                <w:bCs/>
                <w:noProof/>
                <w:szCs w:val="22"/>
                <w:lang w:val="sr-Latn-RS"/>
              </w:rPr>
              <w:t xml:space="preserve">0,64 (0,51-0,81) </w:t>
            </w:r>
          </w:p>
        </w:tc>
      </w:tr>
      <w:tr w:rsidR="00CA46C7" w:rsidRPr="00CA46C7" w14:paraId="41FB66A4" w14:textId="77777777" w:rsidTr="00EA0376">
        <w:trPr>
          <w:trHeight w:val="730"/>
        </w:trPr>
        <w:tc>
          <w:tcPr>
            <w:tcW w:w="757" w:type="pct"/>
            <w:tcBorders>
              <w:top w:val="single" w:sz="4" w:space="0" w:color="000000"/>
              <w:left w:val="single" w:sz="4" w:space="0" w:color="000000"/>
              <w:bottom w:val="single" w:sz="4" w:space="0" w:color="000000"/>
              <w:right w:val="single" w:sz="4" w:space="0" w:color="000000"/>
            </w:tcBorders>
            <w:shd w:val="clear" w:color="auto" w:fill="auto"/>
          </w:tcPr>
          <w:p w14:paraId="25071F1C" w14:textId="77777777" w:rsidR="00E81CBA" w:rsidRPr="00CA46C7" w:rsidRDefault="00E81CBA" w:rsidP="00EA0376">
            <w:pPr>
              <w:rPr>
                <w:b/>
                <w:bCs/>
                <w:noProof/>
                <w:szCs w:val="22"/>
                <w:lang w:val="sr-Latn-RS"/>
              </w:rPr>
            </w:pPr>
            <w:r w:rsidRPr="00CA46C7">
              <w:rPr>
                <w:b/>
                <w:bCs/>
                <w:noProof/>
                <w:szCs w:val="22"/>
                <w:lang w:val="sr-Latn-RS"/>
              </w:rPr>
              <w:t xml:space="preserve">Svi učesnici </w:t>
            </w:r>
          </w:p>
        </w:tc>
        <w:tc>
          <w:tcPr>
            <w:tcW w:w="1059" w:type="pct"/>
            <w:tcBorders>
              <w:top w:val="single" w:sz="4" w:space="0" w:color="000000"/>
              <w:left w:val="single" w:sz="4" w:space="0" w:color="000000"/>
              <w:bottom w:val="single" w:sz="4" w:space="0" w:color="000000"/>
              <w:right w:val="single" w:sz="4" w:space="0" w:color="000000"/>
            </w:tcBorders>
            <w:shd w:val="clear" w:color="auto" w:fill="auto"/>
          </w:tcPr>
          <w:p w14:paraId="1D414739" w14:textId="77777777" w:rsidR="00E81CBA" w:rsidRPr="00CA46C7" w:rsidRDefault="00E81CBA" w:rsidP="00EA0376">
            <w:pPr>
              <w:rPr>
                <w:b/>
                <w:bCs/>
                <w:noProof/>
                <w:szCs w:val="22"/>
                <w:lang w:val="sr-Latn-RS"/>
              </w:rPr>
            </w:pPr>
            <w:r w:rsidRPr="00CA46C7">
              <w:rPr>
                <w:b/>
                <w:bCs/>
                <w:noProof/>
                <w:szCs w:val="22"/>
                <w:lang w:val="sr-Latn-RS"/>
              </w:rPr>
              <w:t xml:space="preserve">482/2104 (22,9%) </w:t>
            </w:r>
          </w:p>
        </w:tc>
        <w:tc>
          <w:tcPr>
            <w:tcW w:w="991" w:type="pct"/>
            <w:tcBorders>
              <w:top w:val="single" w:sz="4" w:space="0" w:color="000000"/>
              <w:left w:val="single" w:sz="4" w:space="0" w:color="000000"/>
              <w:bottom w:val="single" w:sz="4" w:space="0" w:color="000000"/>
              <w:right w:val="single" w:sz="4" w:space="0" w:color="000000"/>
            </w:tcBorders>
            <w:shd w:val="clear" w:color="auto" w:fill="auto"/>
          </w:tcPr>
          <w:p w14:paraId="6C560536" w14:textId="77777777" w:rsidR="00E81CBA" w:rsidRPr="00CA46C7" w:rsidRDefault="00E81CBA" w:rsidP="00EA0376">
            <w:pPr>
              <w:rPr>
                <w:b/>
                <w:bCs/>
                <w:noProof/>
                <w:szCs w:val="22"/>
                <w:lang w:val="sr-Latn-RS"/>
              </w:rPr>
            </w:pPr>
            <w:r w:rsidRPr="00CA46C7">
              <w:rPr>
                <w:b/>
                <w:bCs/>
                <w:noProof/>
                <w:szCs w:val="22"/>
                <w:lang w:val="sr-Latn-RS"/>
              </w:rPr>
              <w:t xml:space="preserve">1110/4321 (25,7%) </w:t>
            </w:r>
          </w:p>
        </w:tc>
        <w:tc>
          <w:tcPr>
            <w:tcW w:w="1313" w:type="pct"/>
            <w:gridSpan w:val="2"/>
            <w:vMerge/>
            <w:tcBorders>
              <w:top w:val="nil"/>
              <w:left w:val="single" w:sz="4" w:space="0" w:color="000000"/>
              <w:bottom w:val="single" w:sz="4" w:space="0" w:color="000000"/>
              <w:right w:val="single" w:sz="4" w:space="0" w:color="000000"/>
            </w:tcBorders>
            <w:shd w:val="clear" w:color="auto" w:fill="auto"/>
          </w:tcPr>
          <w:p w14:paraId="3B12C89A" w14:textId="77777777" w:rsidR="00E81CBA" w:rsidRPr="00CA46C7" w:rsidRDefault="00E81CBA" w:rsidP="00EA0376">
            <w:pPr>
              <w:rPr>
                <w:noProof/>
                <w:szCs w:val="22"/>
                <w:lang w:val="sr-Latn-RS"/>
              </w:rPr>
            </w:pPr>
          </w:p>
        </w:tc>
        <w:tc>
          <w:tcPr>
            <w:tcW w:w="880" w:type="pct"/>
            <w:tcBorders>
              <w:top w:val="single" w:sz="4" w:space="0" w:color="000000"/>
              <w:left w:val="single" w:sz="4" w:space="0" w:color="000000"/>
              <w:bottom w:val="single" w:sz="4" w:space="0" w:color="000000"/>
              <w:right w:val="single" w:sz="4" w:space="0" w:color="000000"/>
            </w:tcBorders>
            <w:shd w:val="clear" w:color="auto" w:fill="auto"/>
          </w:tcPr>
          <w:p w14:paraId="5AA689A5" w14:textId="77777777" w:rsidR="00E81CBA" w:rsidRPr="00CA46C7" w:rsidRDefault="00E81CBA" w:rsidP="00EA0376">
            <w:pPr>
              <w:jc w:val="left"/>
              <w:rPr>
                <w:b/>
                <w:bCs/>
                <w:noProof/>
                <w:szCs w:val="22"/>
                <w:lang w:val="sr-Latn-RS"/>
              </w:rPr>
            </w:pPr>
            <w:r w:rsidRPr="00CA46C7">
              <w:rPr>
                <w:b/>
                <w:bCs/>
                <w:noProof/>
                <w:szCs w:val="22"/>
                <w:lang w:val="sr-Latn-RS"/>
              </w:rPr>
              <w:t xml:space="preserve">0,83 (0,75-0,93) p &lt;0,001 </w:t>
            </w:r>
          </w:p>
        </w:tc>
      </w:tr>
      <w:tr w:rsidR="00CA46C7" w:rsidRPr="00CA46C7" w14:paraId="267BE53F" w14:textId="77777777" w:rsidTr="00EA0376">
        <w:trPr>
          <w:trHeight w:val="470"/>
        </w:trPr>
        <w:tc>
          <w:tcPr>
            <w:tcW w:w="3740" w:type="pct"/>
            <w:gridSpan w:val="4"/>
            <w:tcBorders>
              <w:top w:val="single" w:sz="4" w:space="0" w:color="000000"/>
              <w:left w:val="single" w:sz="4" w:space="0" w:color="000000"/>
              <w:bottom w:val="single" w:sz="4" w:space="0" w:color="000000"/>
              <w:right w:val="single" w:sz="4" w:space="0" w:color="000000"/>
            </w:tcBorders>
            <w:shd w:val="clear" w:color="auto" w:fill="auto"/>
          </w:tcPr>
          <w:p w14:paraId="649D8A67" w14:textId="77777777" w:rsidR="00E81CBA" w:rsidRPr="00CA46C7" w:rsidRDefault="00E81CBA" w:rsidP="00EA0376">
            <w:pPr>
              <w:tabs>
                <w:tab w:val="left" w:pos="6067"/>
              </w:tabs>
              <w:ind w:left="6029" w:hanging="671"/>
              <w:rPr>
                <w:b/>
                <w:bCs/>
                <w:noProof/>
                <w:szCs w:val="22"/>
                <w:lang w:val="sr-Latn-RS"/>
              </w:rPr>
            </w:pPr>
            <w:r w:rsidRPr="00CA46C7">
              <w:rPr>
                <w:b/>
                <w:bCs/>
                <w:noProof/>
                <w:szCs w:val="22"/>
                <w:lang w:val="sr-Latn-RS"/>
              </w:rPr>
              <w:t>Deksametazon                                                                                                                 bolji</w:t>
            </w:r>
          </w:p>
        </w:tc>
        <w:tc>
          <w:tcPr>
            <w:tcW w:w="1260" w:type="pct"/>
            <w:gridSpan w:val="2"/>
            <w:tcBorders>
              <w:top w:val="single" w:sz="4" w:space="0" w:color="000000"/>
              <w:left w:val="single" w:sz="4" w:space="0" w:color="000000"/>
              <w:bottom w:val="single" w:sz="4" w:space="0" w:color="000000"/>
              <w:right w:val="single" w:sz="4" w:space="0" w:color="000000"/>
            </w:tcBorders>
            <w:shd w:val="clear" w:color="auto" w:fill="auto"/>
          </w:tcPr>
          <w:p w14:paraId="0AD36FAE" w14:textId="44CFC51A" w:rsidR="00E81CBA" w:rsidRPr="00CA46C7" w:rsidRDefault="00E31D66" w:rsidP="00EA0376">
            <w:pPr>
              <w:rPr>
                <w:b/>
                <w:bCs/>
                <w:noProof/>
                <w:szCs w:val="22"/>
                <w:lang w:val="sr-Latn-RS"/>
              </w:rPr>
            </w:pPr>
            <w:r w:rsidRPr="00CA46C7">
              <w:rPr>
                <w:b/>
                <w:bCs/>
                <w:noProof/>
                <w:szCs w:val="22"/>
                <w:lang w:val="sr-Latn-RS"/>
              </w:rPr>
              <w:t xml:space="preserve">Uobičajena </w:t>
            </w:r>
            <w:r w:rsidR="00E81CBA" w:rsidRPr="00CA46C7">
              <w:rPr>
                <w:b/>
                <w:bCs/>
                <w:noProof/>
                <w:szCs w:val="22"/>
                <w:lang w:val="sr-Latn-RS"/>
              </w:rPr>
              <w:t>terapija</w:t>
            </w:r>
          </w:p>
          <w:p w14:paraId="6C702D04" w14:textId="77777777" w:rsidR="00E81CBA" w:rsidRPr="00CA46C7" w:rsidRDefault="00E81CBA" w:rsidP="00EA0376">
            <w:pPr>
              <w:rPr>
                <w:b/>
                <w:bCs/>
                <w:noProof/>
                <w:szCs w:val="22"/>
                <w:lang w:val="sr-Latn-RS"/>
              </w:rPr>
            </w:pPr>
            <w:r w:rsidRPr="00CA46C7">
              <w:rPr>
                <w:b/>
                <w:bCs/>
                <w:noProof/>
                <w:szCs w:val="22"/>
                <w:lang w:val="sr-Latn-RS"/>
              </w:rPr>
              <w:t xml:space="preserve">          bolja </w:t>
            </w:r>
          </w:p>
        </w:tc>
      </w:tr>
    </w:tbl>
    <w:p w14:paraId="7A165FD9" w14:textId="77777777" w:rsidR="00E81CBA" w:rsidRPr="00CA46C7" w:rsidRDefault="00E81CBA" w:rsidP="00EA0376">
      <w:pPr>
        <w:rPr>
          <w:b/>
          <w:bCs/>
          <w:szCs w:val="22"/>
          <w:vertAlign w:val="superscript"/>
          <w:lang w:val="sr-Latn-RS"/>
        </w:rPr>
      </w:pPr>
    </w:p>
    <w:p w14:paraId="4768105A" w14:textId="71C9493D" w:rsidR="00E81CBA" w:rsidRPr="00CA46C7" w:rsidRDefault="00E81CBA" w:rsidP="00EA0376">
      <w:pPr>
        <w:rPr>
          <w:b/>
          <w:bCs/>
          <w:szCs w:val="22"/>
          <w:vertAlign w:val="superscript"/>
          <w:lang w:val="sr-Latn-RS"/>
        </w:rPr>
      </w:pPr>
    </w:p>
    <w:p w14:paraId="7E4824BC" w14:textId="0A05A0DC" w:rsidR="00E81CBA" w:rsidRPr="00CA46C7" w:rsidRDefault="00E81CBA" w:rsidP="00EA0376">
      <w:pPr>
        <w:rPr>
          <w:b/>
          <w:bCs/>
          <w:szCs w:val="22"/>
          <w:vertAlign w:val="superscript"/>
          <w:lang w:val="sr-Latn-RS"/>
        </w:rPr>
      </w:pPr>
      <w:r w:rsidRPr="00CA46C7">
        <w:rPr>
          <w:b/>
          <w:bCs/>
          <w:szCs w:val="22"/>
          <w:lang w:val="sr-Latn-RS"/>
        </w:rPr>
        <w:t xml:space="preserve">Uticaj deksametazona na mortalitet </w:t>
      </w:r>
      <w:r w:rsidR="007F1B53" w:rsidRPr="00CA46C7">
        <w:rPr>
          <w:b/>
          <w:bCs/>
          <w:szCs w:val="22"/>
          <w:lang w:val="sr-Latn-RS"/>
        </w:rPr>
        <w:t xml:space="preserve">unutar </w:t>
      </w:r>
      <w:r w:rsidRPr="00CA46C7">
        <w:rPr>
          <w:b/>
          <w:bCs/>
          <w:szCs w:val="22"/>
          <w:lang w:val="sr-Latn-RS"/>
        </w:rPr>
        <w:t xml:space="preserve">28 dana, prema respiratornoj </w:t>
      </w:r>
      <w:r w:rsidR="007F1B53" w:rsidRPr="00CA46C7">
        <w:rPr>
          <w:b/>
          <w:bCs/>
          <w:szCs w:val="22"/>
          <w:lang w:val="sr-Latn-RS"/>
        </w:rPr>
        <w:t xml:space="preserve">potpori </w:t>
      </w:r>
      <w:r w:rsidRPr="00CA46C7">
        <w:rPr>
          <w:b/>
          <w:bCs/>
          <w:szCs w:val="22"/>
          <w:lang w:val="sr-Latn-RS"/>
        </w:rPr>
        <w:t xml:space="preserve">u </w:t>
      </w:r>
      <w:r w:rsidR="007F1B53" w:rsidRPr="00CA46C7">
        <w:rPr>
          <w:b/>
          <w:bCs/>
          <w:szCs w:val="22"/>
          <w:lang w:val="sr-Latn-RS"/>
        </w:rPr>
        <w:t xml:space="preserve">trenutku </w:t>
      </w:r>
      <w:r w:rsidRPr="00CA46C7">
        <w:rPr>
          <w:b/>
          <w:bCs/>
          <w:szCs w:val="22"/>
          <w:lang w:val="sr-Latn-RS"/>
        </w:rPr>
        <w:t xml:space="preserve">randomizacije i bilo </w:t>
      </w:r>
      <w:r w:rsidR="007F1B53" w:rsidRPr="00CA46C7">
        <w:rPr>
          <w:b/>
          <w:bCs/>
          <w:szCs w:val="22"/>
          <w:lang w:val="sr-Latn-RS"/>
        </w:rPr>
        <w:t xml:space="preserve">kojoj </w:t>
      </w:r>
      <w:r w:rsidRPr="00CA46C7">
        <w:rPr>
          <w:b/>
          <w:bCs/>
          <w:szCs w:val="22"/>
          <w:lang w:val="sr-Latn-RS"/>
        </w:rPr>
        <w:t>hronično</w:t>
      </w:r>
      <w:r w:rsidR="007F1B53" w:rsidRPr="00CA46C7">
        <w:rPr>
          <w:b/>
          <w:bCs/>
          <w:szCs w:val="22"/>
          <w:lang w:val="sr-Latn-RS"/>
        </w:rPr>
        <w:t>j</w:t>
      </w:r>
      <w:r w:rsidRPr="00CA46C7">
        <w:rPr>
          <w:b/>
          <w:bCs/>
          <w:szCs w:val="22"/>
          <w:lang w:val="sr-Latn-RS"/>
        </w:rPr>
        <w:t xml:space="preserve"> </w:t>
      </w:r>
      <w:r w:rsidR="007F1B53" w:rsidRPr="00CA46C7">
        <w:rPr>
          <w:b/>
          <w:bCs/>
          <w:szCs w:val="22"/>
          <w:lang w:val="sr-Latn-RS"/>
        </w:rPr>
        <w:t xml:space="preserve">bolesti </w:t>
      </w:r>
      <w:r w:rsidRPr="00CA46C7">
        <w:rPr>
          <w:b/>
          <w:bCs/>
          <w:szCs w:val="22"/>
          <w:lang w:val="sr-Latn-RS"/>
        </w:rPr>
        <w:t>u anamnezi</w:t>
      </w:r>
      <w:r w:rsidRPr="00CA46C7">
        <w:rPr>
          <w:b/>
          <w:bCs/>
          <w:szCs w:val="22"/>
          <w:vertAlign w:val="superscript"/>
          <w:lang w:val="sr-Latn-RS"/>
        </w:rPr>
        <w:t>3</w:t>
      </w:r>
    </w:p>
    <w:p w14:paraId="30B62A8C" w14:textId="77777777" w:rsidR="00E81CBA" w:rsidRPr="00CA46C7" w:rsidRDefault="00E81CBA" w:rsidP="00EA0376">
      <w:pPr>
        <w:rPr>
          <w:b/>
          <w:bCs/>
          <w:szCs w:val="22"/>
          <w:vertAlign w:val="superscript"/>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4" w:type="dxa"/>
          <w:right w:w="8" w:type="dxa"/>
        </w:tblCellMar>
        <w:tblLook w:val="04A0" w:firstRow="1" w:lastRow="0" w:firstColumn="1" w:lastColumn="0" w:noHBand="0" w:noVBand="1"/>
      </w:tblPr>
      <w:tblGrid>
        <w:gridCol w:w="1807"/>
        <w:gridCol w:w="1561"/>
        <w:gridCol w:w="1807"/>
        <w:gridCol w:w="1481"/>
        <w:gridCol w:w="867"/>
        <w:gridCol w:w="1660"/>
      </w:tblGrid>
      <w:tr w:rsidR="00CA46C7" w:rsidRPr="00CA46C7" w14:paraId="3693ED61" w14:textId="77777777" w:rsidTr="00EA0376">
        <w:trPr>
          <w:trHeight w:val="240"/>
        </w:trPr>
        <w:tc>
          <w:tcPr>
            <w:tcW w:w="984" w:type="pct"/>
            <w:shd w:val="clear" w:color="auto" w:fill="auto"/>
          </w:tcPr>
          <w:p w14:paraId="578B0637" w14:textId="77777777" w:rsidR="00E81CBA" w:rsidRPr="00CA46C7" w:rsidRDefault="00E81CBA" w:rsidP="00EA0376">
            <w:pPr>
              <w:rPr>
                <w:noProof/>
                <w:szCs w:val="22"/>
                <w:lang w:val="sr-Latn-RS"/>
              </w:rPr>
            </w:pPr>
          </w:p>
        </w:tc>
        <w:tc>
          <w:tcPr>
            <w:tcW w:w="850" w:type="pct"/>
            <w:shd w:val="clear" w:color="auto" w:fill="auto"/>
          </w:tcPr>
          <w:p w14:paraId="0B7A3F28" w14:textId="77777777" w:rsidR="00E81CBA" w:rsidRPr="00CA46C7" w:rsidRDefault="00E81CBA" w:rsidP="00EA0376">
            <w:pPr>
              <w:rPr>
                <w:b/>
                <w:bCs/>
                <w:noProof/>
                <w:szCs w:val="22"/>
                <w:lang w:val="sr-Latn-RS"/>
              </w:rPr>
            </w:pPr>
            <w:r w:rsidRPr="00CA46C7">
              <w:rPr>
                <w:b/>
                <w:bCs/>
                <w:noProof/>
                <w:szCs w:val="22"/>
                <w:lang w:val="sr-Latn-RS"/>
              </w:rPr>
              <w:t xml:space="preserve">Deksametazon </w:t>
            </w:r>
          </w:p>
        </w:tc>
        <w:tc>
          <w:tcPr>
            <w:tcW w:w="984" w:type="pct"/>
            <w:shd w:val="clear" w:color="auto" w:fill="auto"/>
          </w:tcPr>
          <w:p w14:paraId="6BD58678" w14:textId="14F8CBA0" w:rsidR="00E81CBA" w:rsidRPr="00CA46C7" w:rsidRDefault="00A755BF" w:rsidP="00EA0376">
            <w:pPr>
              <w:rPr>
                <w:b/>
                <w:bCs/>
                <w:noProof/>
                <w:szCs w:val="22"/>
                <w:lang w:val="sr-Latn-RS"/>
              </w:rPr>
            </w:pPr>
            <w:r w:rsidRPr="00CA46C7">
              <w:rPr>
                <w:b/>
                <w:bCs/>
                <w:noProof/>
                <w:szCs w:val="22"/>
                <w:lang w:val="sr-Latn-RS"/>
              </w:rPr>
              <w:t xml:space="preserve">Uobičajena </w:t>
            </w:r>
            <w:r w:rsidR="00E81CBA" w:rsidRPr="00CA46C7">
              <w:rPr>
                <w:b/>
                <w:bCs/>
                <w:noProof/>
                <w:szCs w:val="22"/>
                <w:lang w:val="sr-Latn-RS"/>
              </w:rPr>
              <w:t xml:space="preserve">terapija </w:t>
            </w:r>
          </w:p>
        </w:tc>
        <w:tc>
          <w:tcPr>
            <w:tcW w:w="1278" w:type="pct"/>
            <w:gridSpan w:val="2"/>
            <w:vMerge w:val="restart"/>
            <w:shd w:val="clear" w:color="auto" w:fill="auto"/>
          </w:tcPr>
          <w:p w14:paraId="7994987C" w14:textId="0DD4B476" w:rsidR="00E81CBA" w:rsidRPr="00CA46C7" w:rsidRDefault="00E81CBA" w:rsidP="00EA0376">
            <w:pPr>
              <w:rPr>
                <w:noProof/>
                <w:szCs w:val="22"/>
                <w:lang w:val="sr-Latn-RS"/>
              </w:rPr>
            </w:pPr>
            <w:r w:rsidRPr="00CA46C7">
              <w:rPr>
                <w:noProof/>
                <w:szCs w:val="22"/>
                <w:lang w:val="sr-Latn-RS"/>
              </w:rPr>
              <w:t xml:space="preserve">          </w:t>
            </w:r>
            <w:r w:rsidR="00EA0376">
              <w:rPr>
                <w:noProof/>
                <w:lang w:val="sr-Latn-RS"/>
              </w:rPr>
              <w:lastRenderedPageBreak/>
              <w:pict w14:anchorId="1C94B54F">
                <v:shape id="_x0000_i1111" type="#_x0000_t75" style="width:108pt;height:204.75pt;visibility:visible;mso-wrap-style:square">
                  <v:imagedata r:id="rId13" o:title=""/>
                </v:shape>
              </w:pict>
            </w:r>
            <w:r w:rsidRPr="00CA46C7">
              <w:rPr>
                <w:noProof/>
                <w:szCs w:val="22"/>
                <w:lang w:val="sr-Latn-RS"/>
              </w:rPr>
              <w:t xml:space="preserve"> </w:t>
            </w:r>
          </w:p>
        </w:tc>
        <w:tc>
          <w:tcPr>
            <w:tcW w:w="904" w:type="pct"/>
            <w:shd w:val="clear" w:color="auto" w:fill="auto"/>
          </w:tcPr>
          <w:p w14:paraId="54AAC6A8" w14:textId="1241DF08" w:rsidR="00E81CBA" w:rsidRPr="00CA46C7" w:rsidRDefault="00E81CBA" w:rsidP="00EA0376">
            <w:pPr>
              <w:rPr>
                <w:b/>
                <w:bCs/>
                <w:noProof/>
                <w:szCs w:val="22"/>
                <w:lang w:val="sr-Latn-RS"/>
              </w:rPr>
            </w:pPr>
            <w:r w:rsidRPr="00CA46C7">
              <w:rPr>
                <w:b/>
                <w:bCs/>
                <w:noProof/>
                <w:szCs w:val="22"/>
                <w:lang w:val="sr-Latn-RS"/>
              </w:rPr>
              <w:lastRenderedPageBreak/>
              <w:t>RR (95% C</w:t>
            </w:r>
            <w:r w:rsidR="00472E2B" w:rsidRPr="00CA46C7">
              <w:rPr>
                <w:b/>
                <w:bCs/>
                <w:noProof/>
                <w:szCs w:val="22"/>
                <w:lang w:val="sr-Latn-RS"/>
              </w:rPr>
              <w:t>I</w:t>
            </w:r>
            <w:r w:rsidRPr="00CA46C7">
              <w:rPr>
                <w:b/>
                <w:bCs/>
                <w:noProof/>
                <w:szCs w:val="22"/>
                <w:lang w:val="sr-Latn-RS"/>
              </w:rPr>
              <w:t xml:space="preserve">) </w:t>
            </w:r>
          </w:p>
        </w:tc>
      </w:tr>
      <w:tr w:rsidR="00CA46C7" w:rsidRPr="00CA46C7" w14:paraId="1330D0DC" w14:textId="77777777" w:rsidTr="00EA0376">
        <w:trPr>
          <w:trHeight w:val="240"/>
        </w:trPr>
        <w:tc>
          <w:tcPr>
            <w:tcW w:w="2818" w:type="pct"/>
            <w:gridSpan w:val="3"/>
            <w:shd w:val="clear" w:color="auto" w:fill="auto"/>
          </w:tcPr>
          <w:p w14:paraId="64066D9D" w14:textId="77777777" w:rsidR="00E81CBA" w:rsidRPr="00CA46C7" w:rsidRDefault="00E81CBA" w:rsidP="00EA0376">
            <w:pPr>
              <w:rPr>
                <w:b/>
                <w:bCs/>
                <w:noProof/>
                <w:szCs w:val="22"/>
                <w:lang w:val="sr-Latn-RS"/>
              </w:rPr>
            </w:pPr>
            <w:r w:rsidRPr="00CA46C7">
              <w:rPr>
                <w:b/>
                <w:bCs/>
                <w:noProof/>
                <w:szCs w:val="22"/>
                <w:lang w:val="sr-Latn-RS"/>
              </w:rPr>
              <w:t>Bez kiseonika χ</w:t>
            </w:r>
            <w:r w:rsidRPr="00CA46C7">
              <w:rPr>
                <w:b/>
                <w:bCs/>
                <w:noProof/>
                <w:szCs w:val="22"/>
                <w:vertAlign w:val="subscript"/>
                <w:lang w:val="sr-Latn-RS"/>
              </w:rPr>
              <w:t>1</w:t>
            </w:r>
            <w:r w:rsidRPr="00CA46C7">
              <w:rPr>
                <w:b/>
                <w:bCs/>
                <w:noProof/>
                <w:szCs w:val="22"/>
                <w:vertAlign w:val="superscript"/>
                <w:lang w:val="sr-Latn-RS"/>
              </w:rPr>
              <w:t>2</w:t>
            </w:r>
            <w:r w:rsidRPr="00CA46C7">
              <w:rPr>
                <w:b/>
                <w:bCs/>
                <w:noProof/>
                <w:szCs w:val="22"/>
                <w:lang w:val="sr-Latn-RS"/>
              </w:rPr>
              <w:t xml:space="preserve"> = 0,08; p=0,78</w:t>
            </w:r>
          </w:p>
        </w:tc>
        <w:tc>
          <w:tcPr>
            <w:tcW w:w="1278" w:type="pct"/>
            <w:gridSpan w:val="2"/>
            <w:vMerge/>
            <w:shd w:val="clear" w:color="auto" w:fill="auto"/>
          </w:tcPr>
          <w:p w14:paraId="65A815E5" w14:textId="77777777" w:rsidR="00E81CBA" w:rsidRPr="00CA46C7" w:rsidRDefault="00E81CBA" w:rsidP="00EA0376">
            <w:pPr>
              <w:rPr>
                <w:noProof/>
                <w:szCs w:val="22"/>
                <w:lang w:val="sr-Latn-RS"/>
              </w:rPr>
            </w:pPr>
          </w:p>
        </w:tc>
        <w:tc>
          <w:tcPr>
            <w:tcW w:w="904" w:type="pct"/>
            <w:shd w:val="clear" w:color="auto" w:fill="auto"/>
          </w:tcPr>
          <w:p w14:paraId="7C5CE7AD" w14:textId="77777777" w:rsidR="00E81CBA" w:rsidRPr="00CA46C7" w:rsidRDefault="00E81CBA" w:rsidP="00EA0376">
            <w:pPr>
              <w:rPr>
                <w:noProof/>
                <w:szCs w:val="22"/>
                <w:lang w:val="sr-Latn-RS"/>
              </w:rPr>
            </w:pPr>
            <w:r w:rsidRPr="00CA46C7">
              <w:rPr>
                <w:noProof/>
                <w:szCs w:val="22"/>
                <w:lang w:val="sr-Latn-RS"/>
              </w:rPr>
              <w:t xml:space="preserve"> </w:t>
            </w:r>
          </w:p>
        </w:tc>
      </w:tr>
      <w:tr w:rsidR="00CA46C7" w:rsidRPr="00CA46C7" w14:paraId="679897C6" w14:textId="77777777" w:rsidTr="00EA0376">
        <w:trPr>
          <w:trHeight w:val="969"/>
        </w:trPr>
        <w:tc>
          <w:tcPr>
            <w:tcW w:w="984" w:type="pct"/>
            <w:shd w:val="clear" w:color="auto" w:fill="auto"/>
          </w:tcPr>
          <w:p w14:paraId="52C948E2" w14:textId="5021DBF4" w:rsidR="00E81CBA" w:rsidRPr="00CA46C7" w:rsidRDefault="00E81CBA" w:rsidP="00EA0376">
            <w:pPr>
              <w:rPr>
                <w:noProof/>
                <w:szCs w:val="22"/>
                <w:lang w:val="sr-Latn-RS"/>
              </w:rPr>
            </w:pPr>
            <w:r w:rsidRPr="00CA46C7">
              <w:rPr>
                <w:noProof/>
                <w:szCs w:val="22"/>
                <w:lang w:val="sr-Latn-RS"/>
              </w:rPr>
              <w:t>Prethodna bolest</w:t>
            </w:r>
          </w:p>
          <w:p w14:paraId="0EFDF274" w14:textId="77777777" w:rsidR="00E81CBA" w:rsidRPr="00CA46C7" w:rsidRDefault="00E81CBA" w:rsidP="00EA0376">
            <w:pPr>
              <w:rPr>
                <w:noProof/>
                <w:szCs w:val="22"/>
                <w:lang w:val="sr-Latn-RS"/>
              </w:rPr>
            </w:pPr>
            <w:r w:rsidRPr="00CA46C7">
              <w:rPr>
                <w:noProof/>
                <w:szCs w:val="22"/>
                <w:lang w:val="sr-Latn-RS"/>
              </w:rPr>
              <w:t>Bez prethodne bolesti</w:t>
            </w:r>
          </w:p>
          <w:p w14:paraId="3F4AF248" w14:textId="77777777" w:rsidR="00E81CBA" w:rsidRPr="00CA46C7" w:rsidRDefault="00E81CBA" w:rsidP="00EA0376">
            <w:pPr>
              <w:rPr>
                <w:b/>
                <w:bCs/>
                <w:noProof/>
                <w:szCs w:val="22"/>
                <w:lang w:val="sr-Latn-RS"/>
              </w:rPr>
            </w:pPr>
            <w:r w:rsidRPr="00CA46C7">
              <w:rPr>
                <w:b/>
                <w:bCs/>
                <w:noProof/>
                <w:szCs w:val="22"/>
                <w:lang w:val="sr-Latn-RS"/>
              </w:rPr>
              <w:t>Međuzbir</w:t>
            </w:r>
          </w:p>
        </w:tc>
        <w:tc>
          <w:tcPr>
            <w:tcW w:w="850" w:type="pct"/>
            <w:shd w:val="clear" w:color="auto" w:fill="auto"/>
          </w:tcPr>
          <w:p w14:paraId="393D7917" w14:textId="77777777" w:rsidR="00E81CBA" w:rsidRPr="00CA46C7" w:rsidRDefault="00E81CBA" w:rsidP="00EA0376">
            <w:pPr>
              <w:rPr>
                <w:noProof/>
                <w:szCs w:val="22"/>
                <w:lang w:val="sr-Latn-RS"/>
              </w:rPr>
            </w:pPr>
            <w:r w:rsidRPr="00CA46C7">
              <w:rPr>
                <w:noProof/>
                <w:szCs w:val="22"/>
                <w:lang w:val="sr-Latn-RS"/>
              </w:rPr>
              <w:t>65/313 (20,8%)</w:t>
            </w:r>
          </w:p>
          <w:p w14:paraId="065B4565" w14:textId="77777777" w:rsidR="00E81CBA" w:rsidRPr="00CA46C7" w:rsidRDefault="00E81CBA" w:rsidP="00EA0376">
            <w:pPr>
              <w:rPr>
                <w:noProof/>
                <w:szCs w:val="22"/>
                <w:lang w:val="sr-Latn-RS"/>
              </w:rPr>
            </w:pPr>
            <w:r w:rsidRPr="00CA46C7">
              <w:rPr>
                <w:noProof/>
                <w:szCs w:val="22"/>
                <w:lang w:val="sr-Latn-RS"/>
              </w:rPr>
              <w:t>24/188 (12,8%)</w:t>
            </w:r>
          </w:p>
          <w:p w14:paraId="7681E597" w14:textId="77777777" w:rsidR="00E81CBA" w:rsidRPr="00CA46C7" w:rsidRDefault="00E81CBA" w:rsidP="00EA0376">
            <w:pPr>
              <w:rPr>
                <w:b/>
                <w:bCs/>
                <w:noProof/>
                <w:szCs w:val="22"/>
                <w:lang w:val="sr-Latn-RS"/>
              </w:rPr>
            </w:pPr>
            <w:r w:rsidRPr="00CA46C7">
              <w:rPr>
                <w:b/>
                <w:bCs/>
                <w:noProof/>
                <w:szCs w:val="22"/>
                <w:lang w:val="sr-Latn-RS"/>
              </w:rPr>
              <w:t>89/501 (17,8%)</w:t>
            </w:r>
          </w:p>
        </w:tc>
        <w:tc>
          <w:tcPr>
            <w:tcW w:w="984" w:type="pct"/>
            <w:shd w:val="clear" w:color="auto" w:fill="auto"/>
          </w:tcPr>
          <w:p w14:paraId="7051D102" w14:textId="77777777" w:rsidR="00E81CBA" w:rsidRPr="00CA46C7" w:rsidRDefault="00E81CBA" w:rsidP="00EA0376">
            <w:pPr>
              <w:rPr>
                <w:noProof/>
                <w:szCs w:val="22"/>
                <w:lang w:val="sr-Latn-RS"/>
              </w:rPr>
            </w:pPr>
            <w:r w:rsidRPr="00CA46C7">
              <w:rPr>
                <w:noProof/>
                <w:szCs w:val="22"/>
                <w:lang w:val="sr-Latn-RS"/>
              </w:rPr>
              <w:t>100/598 (16,7%)</w:t>
            </w:r>
          </w:p>
          <w:p w14:paraId="0DCC1D03" w14:textId="77777777" w:rsidR="00E81CBA" w:rsidRPr="00CA46C7" w:rsidRDefault="00E81CBA" w:rsidP="00EA0376">
            <w:pPr>
              <w:rPr>
                <w:noProof/>
                <w:szCs w:val="22"/>
                <w:lang w:val="sr-Latn-RS"/>
              </w:rPr>
            </w:pPr>
            <w:r w:rsidRPr="00CA46C7">
              <w:rPr>
                <w:noProof/>
                <w:szCs w:val="22"/>
                <w:lang w:val="sr-Latn-RS"/>
              </w:rPr>
              <w:t>45/436 (10,3%)</w:t>
            </w:r>
          </w:p>
          <w:p w14:paraId="6A81A320" w14:textId="77777777" w:rsidR="00E81CBA" w:rsidRPr="00CA46C7" w:rsidRDefault="00E81CBA" w:rsidP="00EA0376">
            <w:pPr>
              <w:rPr>
                <w:b/>
                <w:bCs/>
                <w:noProof/>
                <w:szCs w:val="22"/>
                <w:lang w:val="sr-Latn-RS"/>
              </w:rPr>
            </w:pPr>
            <w:r w:rsidRPr="00CA46C7">
              <w:rPr>
                <w:b/>
                <w:bCs/>
                <w:noProof/>
                <w:szCs w:val="22"/>
                <w:lang w:val="sr-Latn-RS"/>
              </w:rPr>
              <w:t>145/1034 (14,0%)</w:t>
            </w:r>
          </w:p>
        </w:tc>
        <w:tc>
          <w:tcPr>
            <w:tcW w:w="1278" w:type="pct"/>
            <w:gridSpan w:val="2"/>
            <w:vMerge/>
            <w:shd w:val="clear" w:color="auto" w:fill="auto"/>
          </w:tcPr>
          <w:p w14:paraId="0A5BF4D2" w14:textId="77777777" w:rsidR="00E81CBA" w:rsidRPr="00CA46C7" w:rsidRDefault="00E81CBA" w:rsidP="00EA0376">
            <w:pPr>
              <w:rPr>
                <w:noProof/>
                <w:szCs w:val="22"/>
                <w:lang w:val="sr-Latn-RS"/>
              </w:rPr>
            </w:pPr>
          </w:p>
        </w:tc>
        <w:tc>
          <w:tcPr>
            <w:tcW w:w="904" w:type="pct"/>
            <w:shd w:val="clear" w:color="auto" w:fill="auto"/>
          </w:tcPr>
          <w:p w14:paraId="04CBC8E0" w14:textId="698D0591" w:rsidR="00E81CBA" w:rsidRPr="00CA46C7" w:rsidRDefault="00E81CBA" w:rsidP="00EA0376">
            <w:pPr>
              <w:rPr>
                <w:noProof/>
                <w:szCs w:val="22"/>
                <w:lang w:val="sr-Latn-RS"/>
              </w:rPr>
            </w:pPr>
            <w:r w:rsidRPr="00CA46C7">
              <w:rPr>
                <w:noProof/>
                <w:szCs w:val="22"/>
                <w:lang w:val="sr-Latn-RS"/>
              </w:rPr>
              <w:t>1,22 (0,89</w:t>
            </w:r>
            <w:r w:rsidR="00472E2B" w:rsidRPr="00CA46C7">
              <w:rPr>
                <w:noProof/>
                <w:szCs w:val="22"/>
                <w:lang w:val="sr-Latn-RS"/>
              </w:rPr>
              <w:t>-</w:t>
            </w:r>
            <w:r w:rsidRPr="00CA46C7">
              <w:rPr>
                <w:noProof/>
                <w:szCs w:val="22"/>
                <w:lang w:val="sr-Latn-RS"/>
              </w:rPr>
              <w:t xml:space="preserve">1,66) </w:t>
            </w:r>
          </w:p>
          <w:p w14:paraId="18E5EFC7" w14:textId="4043B1B5" w:rsidR="00E81CBA" w:rsidRPr="00CA46C7" w:rsidRDefault="00E81CBA" w:rsidP="00EA0376">
            <w:pPr>
              <w:rPr>
                <w:noProof/>
                <w:szCs w:val="22"/>
                <w:lang w:val="sr-Latn-RS"/>
              </w:rPr>
            </w:pPr>
            <w:r w:rsidRPr="00CA46C7">
              <w:rPr>
                <w:noProof/>
                <w:szCs w:val="22"/>
                <w:lang w:val="sr-Latn-RS"/>
              </w:rPr>
              <w:t>1,12 (0,68</w:t>
            </w:r>
            <w:r w:rsidR="00472E2B" w:rsidRPr="00CA46C7">
              <w:rPr>
                <w:noProof/>
                <w:szCs w:val="22"/>
                <w:lang w:val="sr-Latn-RS"/>
              </w:rPr>
              <w:t>-</w:t>
            </w:r>
            <w:r w:rsidRPr="00CA46C7">
              <w:rPr>
                <w:noProof/>
                <w:szCs w:val="22"/>
                <w:lang w:val="sr-Latn-RS"/>
              </w:rPr>
              <w:t xml:space="preserve">1,83) </w:t>
            </w:r>
          </w:p>
          <w:p w14:paraId="482C53D3" w14:textId="77777777" w:rsidR="00E81CBA" w:rsidRPr="00CA46C7" w:rsidRDefault="00E81CBA" w:rsidP="00EA0376">
            <w:pPr>
              <w:rPr>
                <w:noProof/>
                <w:szCs w:val="22"/>
                <w:lang w:val="sr-Latn-RS"/>
              </w:rPr>
            </w:pPr>
            <w:r w:rsidRPr="00CA46C7">
              <w:rPr>
                <w:noProof/>
                <w:szCs w:val="22"/>
                <w:lang w:val="sr-Latn-RS"/>
              </w:rPr>
              <w:t xml:space="preserve">1,19 (0,91-1,55) </w:t>
            </w:r>
          </w:p>
        </w:tc>
      </w:tr>
      <w:tr w:rsidR="00CA46C7" w:rsidRPr="00CA46C7" w14:paraId="70238FA1" w14:textId="77777777" w:rsidTr="00EA0376">
        <w:trPr>
          <w:trHeight w:val="286"/>
        </w:trPr>
        <w:tc>
          <w:tcPr>
            <w:tcW w:w="2818" w:type="pct"/>
            <w:gridSpan w:val="3"/>
            <w:shd w:val="clear" w:color="auto" w:fill="auto"/>
          </w:tcPr>
          <w:p w14:paraId="640363C4" w14:textId="686C56B0" w:rsidR="00E81CBA" w:rsidRPr="00CA46C7" w:rsidRDefault="00E81CBA" w:rsidP="00EA0376">
            <w:pPr>
              <w:rPr>
                <w:noProof/>
                <w:szCs w:val="22"/>
                <w:lang w:val="sr-Latn-RS"/>
              </w:rPr>
            </w:pPr>
            <w:r w:rsidRPr="00CA46C7">
              <w:rPr>
                <w:noProof/>
                <w:szCs w:val="22"/>
                <w:lang w:val="sr-Latn-RS"/>
              </w:rPr>
              <w:t>Samo kiseonik (χ</w:t>
            </w:r>
            <w:r w:rsidRPr="00CA46C7">
              <w:rPr>
                <w:noProof/>
                <w:szCs w:val="22"/>
                <w:vertAlign w:val="subscript"/>
                <w:lang w:val="sr-Latn-RS"/>
              </w:rPr>
              <w:t>1</w:t>
            </w:r>
            <w:r w:rsidRPr="00CA46C7">
              <w:rPr>
                <w:noProof/>
                <w:szCs w:val="22"/>
                <w:vertAlign w:val="superscript"/>
                <w:lang w:val="sr-Latn-RS"/>
              </w:rPr>
              <w:t>2</w:t>
            </w:r>
            <w:r w:rsidRPr="00CA46C7">
              <w:rPr>
                <w:noProof/>
                <w:szCs w:val="22"/>
                <w:lang w:val="sr-Latn-RS"/>
              </w:rPr>
              <w:t xml:space="preserve">= 2,05; p=0,15) </w:t>
            </w:r>
          </w:p>
        </w:tc>
        <w:tc>
          <w:tcPr>
            <w:tcW w:w="1278" w:type="pct"/>
            <w:gridSpan w:val="2"/>
            <w:vMerge/>
            <w:shd w:val="clear" w:color="auto" w:fill="auto"/>
          </w:tcPr>
          <w:p w14:paraId="71173210" w14:textId="77777777" w:rsidR="00E81CBA" w:rsidRPr="00CA46C7" w:rsidRDefault="00E81CBA" w:rsidP="00EA0376">
            <w:pPr>
              <w:rPr>
                <w:noProof/>
                <w:szCs w:val="22"/>
                <w:lang w:val="sr-Latn-RS"/>
              </w:rPr>
            </w:pPr>
          </w:p>
        </w:tc>
        <w:tc>
          <w:tcPr>
            <w:tcW w:w="904" w:type="pct"/>
            <w:shd w:val="clear" w:color="auto" w:fill="auto"/>
          </w:tcPr>
          <w:p w14:paraId="21E8842E" w14:textId="77777777" w:rsidR="00E81CBA" w:rsidRPr="00CA46C7" w:rsidRDefault="00E81CBA" w:rsidP="00EA0376">
            <w:pPr>
              <w:rPr>
                <w:noProof/>
                <w:szCs w:val="22"/>
                <w:lang w:val="sr-Latn-RS"/>
              </w:rPr>
            </w:pPr>
            <w:r w:rsidRPr="00CA46C7">
              <w:rPr>
                <w:noProof/>
                <w:szCs w:val="22"/>
                <w:lang w:val="sr-Latn-RS"/>
              </w:rPr>
              <w:t xml:space="preserve"> </w:t>
            </w:r>
          </w:p>
        </w:tc>
      </w:tr>
      <w:tr w:rsidR="00CA46C7" w:rsidRPr="00CA46C7" w14:paraId="322438E0" w14:textId="77777777" w:rsidTr="00EA0376">
        <w:trPr>
          <w:trHeight w:val="852"/>
        </w:trPr>
        <w:tc>
          <w:tcPr>
            <w:tcW w:w="984" w:type="pct"/>
            <w:shd w:val="clear" w:color="auto" w:fill="auto"/>
          </w:tcPr>
          <w:p w14:paraId="1F4A192A" w14:textId="77777777" w:rsidR="00E81CBA" w:rsidRPr="00CA46C7" w:rsidRDefault="00E81CBA" w:rsidP="00EA0376">
            <w:pPr>
              <w:rPr>
                <w:noProof/>
                <w:szCs w:val="22"/>
                <w:lang w:val="sr-Latn-RS"/>
              </w:rPr>
            </w:pPr>
            <w:r w:rsidRPr="00CA46C7">
              <w:rPr>
                <w:noProof/>
                <w:szCs w:val="22"/>
                <w:lang w:val="sr-Latn-RS"/>
              </w:rPr>
              <w:lastRenderedPageBreak/>
              <w:t xml:space="preserve">Prethodna bolest </w:t>
            </w:r>
          </w:p>
          <w:p w14:paraId="78B41587" w14:textId="77777777" w:rsidR="00E81CBA" w:rsidRPr="00CA46C7" w:rsidRDefault="00E81CBA" w:rsidP="00EA0376">
            <w:pPr>
              <w:rPr>
                <w:noProof/>
                <w:szCs w:val="22"/>
                <w:lang w:val="sr-Latn-RS"/>
              </w:rPr>
            </w:pPr>
            <w:r w:rsidRPr="00CA46C7">
              <w:rPr>
                <w:noProof/>
                <w:szCs w:val="22"/>
                <w:lang w:val="sr-Latn-RS"/>
              </w:rPr>
              <w:t xml:space="preserve">Bez prethodne bolesti </w:t>
            </w:r>
          </w:p>
          <w:p w14:paraId="2FAAE1DE" w14:textId="77777777" w:rsidR="00E81CBA" w:rsidRPr="00CA46C7" w:rsidRDefault="00E81CBA" w:rsidP="00EA0376">
            <w:pPr>
              <w:rPr>
                <w:b/>
                <w:bCs/>
                <w:noProof/>
                <w:szCs w:val="22"/>
                <w:lang w:val="sr-Latn-RS"/>
              </w:rPr>
            </w:pPr>
            <w:r w:rsidRPr="00CA46C7">
              <w:rPr>
                <w:b/>
                <w:bCs/>
                <w:noProof/>
                <w:szCs w:val="22"/>
                <w:lang w:val="sr-Latn-RS"/>
              </w:rPr>
              <w:t>Međuzbir</w:t>
            </w:r>
          </w:p>
        </w:tc>
        <w:tc>
          <w:tcPr>
            <w:tcW w:w="850" w:type="pct"/>
            <w:shd w:val="clear" w:color="auto" w:fill="auto"/>
          </w:tcPr>
          <w:p w14:paraId="49A7C502" w14:textId="77777777" w:rsidR="00E81CBA" w:rsidRPr="00CA46C7" w:rsidRDefault="00E81CBA" w:rsidP="00EA0376">
            <w:pPr>
              <w:rPr>
                <w:noProof/>
                <w:szCs w:val="22"/>
                <w:lang w:val="sr-Latn-RS"/>
              </w:rPr>
            </w:pPr>
            <w:r w:rsidRPr="00CA46C7">
              <w:rPr>
                <w:noProof/>
                <w:szCs w:val="22"/>
                <w:lang w:val="sr-Latn-RS"/>
              </w:rPr>
              <w:t xml:space="preserve">221/702 (31,5%) </w:t>
            </w:r>
          </w:p>
          <w:p w14:paraId="443DC2E1" w14:textId="77777777" w:rsidR="00E81CBA" w:rsidRPr="00CA46C7" w:rsidRDefault="00E81CBA" w:rsidP="00EA0376">
            <w:pPr>
              <w:rPr>
                <w:noProof/>
                <w:szCs w:val="22"/>
                <w:lang w:val="sr-Latn-RS"/>
              </w:rPr>
            </w:pPr>
            <w:r w:rsidRPr="00CA46C7">
              <w:rPr>
                <w:noProof/>
                <w:szCs w:val="22"/>
                <w:lang w:val="sr-Latn-RS"/>
              </w:rPr>
              <w:t xml:space="preserve">77/577 (13,3%) </w:t>
            </w:r>
          </w:p>
          <w:p w14:paraId="106A13D3" w14:textId="1F468FE8" w:rsidR="00E81CBA" w:rsidRPr="00CA46C7" w:rsidRDefault="00E81CBA" w:rsidP="00EA0376">
            <w:pPr>
              <w:rPr>
                <w:b/>
                <w:bCs/>
                <w:noProof/>
                <w:szCs w:val="22"/>
                <w:lang w:val="sr-Latn-RS"/>
              </w:rPr>
            </w:pPr>
            <w:r w:rsidRPr="00CA46C7">
              <w:rPr>
                <w:b/>
                <w:bCs/>
                <w:noProof/>
                <w:szCs w:val="22"/>
                <w:lang w:val="sr-Latn-RS"/>
              </w:rPr>
              <w:t>298/1279</w:t>
            </w:r>
            <w:r w:rsidR="00472E2B" w:rsidRPr="00CA46C7">
              <w:rPr>
                <w:b/>
                <w:bCs/>
                <w:noProof/>
                <w:szCs w:val="22"/>
                <w:lang w:val="sr-Latn-RS"/>
              </w:rPr>
              <w:t xml:space="preserve"> </w:t>
            </w:r>
            <w:r w:rsidRPr="00CA46C7">
              <w:rPr>
                <w:b/>
                <w:bCs/>
                <w:noProof/>
                <w:szCs w:val="22"/>
                <w:lang w:val="sr-Latn-RS"/>
              </w:rPr>
              <w:t xml:space="preserve">(23,3%) </w:t>
            </w:r>
          </w:p>
        </w:tc>
        <w:tc>
          <w:tcPr>
            <w:tcW w:w="984" w:type="pct"/>
            <w:shd w:val="clear" w:color="auto" w:fill="auto"/>
          </w:tcPr>
          <w:p w14:paraId="50873036" w14:textId="77777777" w:rsidR="00E81CBA" w:rsidRPr="00CA46C7" w:rsidRDefault="00E81CBA" w:rsidP="00EA0376">
            <w:pPr>
              <w:rPr>
                <w:noProof/>
                <w:szCs w:val="22"/>
                <w:lang w:val="sr-Latn-RS"/>
              </w:rPr>
            </w:pPr>
            <w:r w:rsidRPr="00CA46C7">
              <w:rPr>
                <w:noProof/>
                <w:szCs w:val="22"/>
                <w:lang w:val="sr-Latn-RS"/>
              </w:rPr>
              <w:t xml:space="preserve">481/1473 (32,7%) </w:t>
            </w:r>
          </w:p>
          <w:p w14:paraId="6D51680C" w14:textId="77777777" w:rsidR="00E81CBA" w:rsidRPr="00CA46C7" w:rsidRDefault="00E81CBA" w:rsidP="00EA0376">
            <w:pPr>
              <w:rPr>
                <w:noProof/>
                <w:szCs w:val="22"/>
                <w:lang w:val="sr-Latn-RS"/>
              </w:rPr>
            </w:pPr>
            <w:r w:rsidRPr="00CA46C7">
              <w:rPr>
                <w:noProof/>
                <w:szCs w:val="22"/>
                <w:lang w:val="sr-Latn-RS"/>
              </w:rPr>
              <w:t xml:space="preserve">201/1131 (17,8%) </w:t>
            </w:r>
          </w:p>
          <w:p w14:paraId="67118BCB" w14:textId="77777777" w:rsidR="00E81CBA" w:rsidRPr="00CA46C7" w:rsidRDefault="00E81CBA" w:rsidP="00EA0376">
            <w:pPr>
              <w:rPr>
                <w:b/>
                <w:bCs/>
                <w:noProof/>
                <w:szCs w:val="22"/>
                <w:lang w:val="sr-Latn-RS"/>
              </w:rPr>
            </w:pPr>
            <w:r w:rsidRPr="00CA46C7">
              <w:rPr>
                <w:b/>
                <w:bCs/>
                <w:noProof/>
                <w:szCs w:val="22"/>
                <w:lang w:val="sr-Latn-RS"/>
              </w:rPr>
              <w:t xml:space="preserve">682/2604 (26,2%) </w:t>
            </w:r>
          </w:p>
        </w:tc>
        <w:tc>
          <w:tcPr>
            <w:tcW w:w="1278" w:type="pct"/>
            <w:gridSpan w:val="2"/>
            <w:vMerge/>
            <w:shd w:val="clear" w:color="auto" w:fill="auto"/>
          </w:tcPr>
          <w:p w14:paraId="272CD944" w14:textId="77777777" w:rsidR="00E81CBA" w:rsidRPr="00CA46C7" w:rsidRDefault="00E81CBA" w:rsidP="00EA0376">
            <w:pPr>
              <w:rPr>
                <w:noProof/>
                <w:szCs w:val="22"/>
                <w:lang w:val="sr-Latn-RS"/>
              </w:rPr>
            </w:pPr>
          </w:p>
        </w:tc>
        <w:tc>
          <w:tcPr>
            <w:tcW w:w="904" w:type="pct"/>
            <w:shd w:val="clear" w:color="auto" w:fill="auto"/>
          </w:tcPr>
          <w:p w14:paraId="7E97DC77" w14:textId="6D8BF815" w:rsidR="00E81CBA" w:rsidRPr="00CA46C7" w:rsidRDefault="00E81CBA" w:rsidP="00EA0376">
            <w:pPr>
              <w:rPr>
                <w:noProof/>
                <w:szCs w:val="22"/>
                <w:lang w:val="sr-Latn-RS"/>
              </w:rPr>
            </w:pPr>
            <w:r w:rsidRPr="00CA46C7">
              <w:rPr>
                <w:noProof/>
                <w:szCs w:val="22"/>
                <w:lang w:val="sr-Latn-RS"/>
              </w:rPr>
              <w:t>0,88 (0,75</w:t>
            </w:r>
            <w:r w:rsidR="00472E2B" w:rsidRPr="00CA46C7">
              <w:rPr>
                <w:noProof/>
                <w:szCs w:val="22"/>
                <w:lang w:val="sr-Latn-RS"/>
              </w:rPr>
              <w:t>-</w:t>
            </w:r>
            <w:r w:rsidRPr="00CA46C7">
              <w:rPr>
                <w:noProof/>
                <w:szCs w:val="22"/>
                <w:lang w:val="sr-Latn-RS"/>
              </w:rPr>
              <w:t xml:space="preserve">1,03) </w:t>
            </w:r>
          </w:p>
          <w:p w14:paraId="22F1CE79" w14:textId="7DB6D286" w:rsidR="00E81CBA" w:rsidRPr="00CA46C7" w:rsidRDefault="00E81CBA" w:rsidP="00EA0376">
            <w:pPr>
              <w:rPr>
                <w:noProof/>
                <w:szCs w:val="22"/>
                <w:lang w:val="sr-Latn-RS"/>
              </w:rPr>
            </w:pPr>
            <w:r w:rsidRPr="00CA46C7">
              <w:rPr>
                <w:noProof/>
                <w:szCs w:val="22"/>
                <w:lang w:val="sr-Latn-RS"/>
              </w:rPr>
              <w:t>0,70 (0,54</w:t>
            </w:r>
            <w:r w:rsidR="00472E2B" w:rsidRPr="00CA46C7">
              <w:rPr>
                <w:noProof/>
                <w:szCs w:val="22"/>
                <w:lang w:val="sr-Latn-RS"/>
              </w:rPr>
              <w:t>-</w:t>
            </w:r>
            <w:r w:rsidRPr="00CA46C7">
              <w:rPr>
                <w:noProof/>
                <w:szCs w:val="22"/>
                <w:lang w:val="sr-Latn-RS"/>
              </w:rPr>
              <w:t xml:space="preserve">0,91) </w:t>
            </w:r>
          </w:p>
          <w:p w14:paraId="318ABA92" w14:textId="77777777" w:rsidR="00E81CBA" w:rsidRPr="00CA46C7" w:rsidRDefault="00E81CBA" w:rsidP="00EA0376">
            <w:pPr>
              <w:rPr>
                <w:b/>
                <w:bCs/>
                <w:noProof/>
                <w:szCs w:val="22"/>
                <w:lang w:val="sr-Latn-RS"/>
              </w:rPr>
            </w:pPr>
            <w:r w:rsidRPr="00CA46C7">
              <w:rPr>
                <w:b/>
                <w:bCs/>
                <w:noProof/>
                <w:szCs w:val="22"/>
                <w:lang w:val="sr-Latn-RS"/>
              </w:rPr>
              <w:t xml:space="preserve">0,82 (0,72-0,94) </w:t>
            </w:r>
          </w:p>
        </w:tc>
      </w:tr>
      <w:tr w:rsidR="00CA46C7" w:rsidRPr="00CA46C7" w14:paraId="50B29549" w14:textId="77777777" w:rsidTr="00EA0376">
        <w:trPr>
          <w:trHeight w:val="240"/>
        </w:trPr>
        <w:tc>
          <w:tcPr>
            <w:tcW w:w="2818" w:type="pct"/>
            <w:gridSpan w:val="3"/>
            <w:shd w:val="clear" w:color="auto" w:fill="auto"/>
          </w:tcPr>
          <w:p w14:paraId="3E8595BA" w14:textId="3322EBDB" w:rsidR="00E81CBA" w:rsidRPr="00CA46C7" w:rsidRDefault="00E81CBA" w:rsidP="00EA0376">
            <w:pPr>
              <w:rPr>
                <w:noProof/>
                <w:szCs w:val="22"/>
                <w:lang w:val="sr-Latn-RS"/>
              </w:rPr>
            </w:pPr>
            <w:r w:rsidRPr="00CA46C7">
              <w:rPr>
                <w:b/>
                <w:bCs/>
                <w:noProof/>
                <w:szCs w:val="22"/>
                <w:lang w:val="sr-Latn-RS"/>
              </w:rPr>
              <w:t>Mehanička ventilacija (χ</w:t>
            </w:r>
            <w:r w:rsidRPr="00CA46C7">
              <w:rPr>
                <w:b/>
                <w:bCs/>
                <w:noProof/>
                <w:szCs w:val="22"/>
                <w:vertAlign w:val="subscript"/>
                <w:lang w:val="sr-Latn-RS"/>
              </w:rPr>
              <w:t>1</w:t>
            </w:r>
            <w:r w:rsidRPr="00CA46C7">
              <w:rPr>
                <w:b/>
                <w:bCs/>
                <w:noProof/>
                <w:szCs w:val="22"/>
                <w:vertAlign w:val="superscript"/>
                <w:lang w:val="sr-Latn-RS"/>
              </w:rPr>
              <w:t>2</w:t>
            </w:r>
            <w:r w:rsidRPr="00CA46C7">
              <w:rPr>
                <w:b/>
                <w:bCs/>
                <w:noProof/>
                <w:szCs w:val="22"/>
                <w:lang w:val="sr-Latn-RS"/>
              </w:rPr>
              <w:t xml:space="preserve"> = 1,52; p=0,22)</w:t>
            </w:r>
            <w:r w:rsidRPr="00CA46C7">
              <w:rPr>
                <w:noProof/>
                <w:szCs w:val="22"/>
                <w:lang w:val="sr-Latn-RS"/>
              </w:rPr>
              <w:t xml:space="preserve"> </w:t>
            </w:r>
          </w:p>
        </w:tc>
        <w:tc>
          <w:tcPr>
            <w:tcW w:w="1278" w:type="pct"/>
            <w:gridSpan w:val="2"/>
            <w:vMerge/>
            <w:shd w:val="clear" w:color="auto" w:fill="auto"/>
          </w:tcPr>
          <w:p w14:paraId="25CDDDDC" w14:textId="77777777" w:rsidR="00E81CBA" w:rsidRPr="00CA46C7" w:rsidRDefault="00E81CBA" w:rsidP="00EA0376">
            <w:pPr>
              <w:rPr>
                <w:noProof/>
                <w:szCs w:val="22"/>
                <w:lang w:val="sr-Latn-RS"/>
              </w:rPr>
            </w:pPr>
          </w:p>
        </w:tc>
        <w:tc>
          <w:tcPr>
            <w:tcW w:w="904" w:type="pct"/>
            <w:shd w:val="clear" w:color="auto" w:fill="auto"/>
          </w:tcPr>
          <w:p w14:paraId="65C4F9DE" w14:textId="77777777" w:rsidR="00E81CBA" w:rsidRPr="00CA46C7" w:rsidRDefault="00E81CBA" w:rsidP="00EA0376">
            <w:pPr>
              <w:rPr>
                <w:noProof/>
                <w:szCs w:val="22"/>
                <w:lang w:val="sr-Latn-RS"/>
              </w:rPr>
            </w:pPr>
            <w:r w:rsidRPr="00CA46C7">
              <w:rPr>
                <w:noProof/>
                <w:szCs w:val="22"/>
                <w:lang w:val="sr-Latn-RS"/>
              </w:rPr>
              <w:t xml:space="preserve"> </w:t>
            </w:r>
          </w:p>
        </w:tc>
      </w:tr>
      <w:tr w:rsidR="00CA46C7" w:rsidRPr="00CA46C7" w14:paraId="5D47B7B3" w14:textId="77777777" w:rsidTr="00EA0376">
        <w:trPr>
          <w:trHeight w:val="757"/>
        </w:trPr>
        <w:tc>
          <w:tcPr>
            <w:tcW w:w="984" w:type="pct"/>
            <w:shd w:val="clear" w:color="auto" w:fill="auto"/>
          </w:tcPr>
          <w:p w14:paraId="6E15F0FA" w14:textId="77777777" w:rsidR="00E81CBA" w:rsidRPr="00CA46C7" w:rsidRDefault="00E81CBA" w:rsidP="00EA0376">
            <w:pPr>
              <w:rPr>
                <w:noProof/>
                <w:szCs w:val="22"/>
                <w:lang w:val="sr-Latn-RS"/>
              </w:rPr>
            </w:pPr>
            <w:r w:rsidRPr="00CA46C7">
              <w:rPr>
                <w:noProof/>
                <w:szCs w:val="22"/>
                <w:lang w:val="sr-Latn-RS"/>
              </w:rPr>
              <w:t xml:space="preserve">Prethodna bolest </w:t>
            </w:r>
          </w:p>
          <w:p w14:paraId="5ACA9065" w14:textId="77777777" w:rsidR="00E81CBA" w:rsidRPr="00CA46C7" w:rsidRDefault="00E81CBA" w:rsidP="00EA0376">
            <w:pPr>
              <w:rPr>
                <w:noProof/>
                <w:szCs w:val="22"/>
                <w:lang w:val="sr-Latn-RS"/>
              </w:rPr>
            </w:pPr>
            <w:r w:rsidRPr="00CA46C7">
              <w:rPr>
                <w:noProof/>
                <w:szCs w:val="22"/>
                <w:lang w:val="sr-Latn-RS"/>
              </w:rPr>
              <w:t xml:space="preserve">Bez prethodne bolesti </w:t>
            </w:r>
            <w:r w:rsidRPr="00CA46C7">
              <w:rPr>
                <w:b/>
                <w:bCs/>
                <w:noProof/>
                <w:szCs w:val="22"/>
                <w:lang w:val="sr-Latn-RS"/>
              </w:rPr>
              <w:t>Međuzbir</w:t>
            </w:r>
          </w:p>
        </w:tc>
        <w:tc>
          <w:tcPr>
            <w:tcW w:w="850" w:type="pct"/>
            <w:shd w:val="clear" w:color="auto" w:fill="auto"/>
          </w:tcPr>
          <w:p w14:paraId="281249FC" w14:textId="0DDDDA74" w:rsidR="00E81CBA" w:rsidRPr="00CA46C7" w:rsidRDefault="00E81CBA" w:rsidP="00EA0376">
            <w:pPr>
              <w:rPr>
                <w:noProof/>
                <w:szCs w:val="22"/>
                <w:lang w:val="sr-Latn-RS"/>
              </w:rPr>
            </w:pPr>
            <w:r w:rsidRPr="00CA46C7">
              <w:rPr>
                <w:noProof/>
                <w:szCs w:val="22"/>
                <w:lang w:val="sr-Latn-RS"/>
              </w:rPr>
              <w:t xml:space="preserve">51/159 (32,1%) </w:t>
            </w:r>
          </w:p>
          <w:p w14:paraId="60AD1379" w14:textId="14183108" w:rsidR="00E81CBA" w:rsidRPr="00CA46C7" w:rsidRDefault="00E81CBA" w:rsidP="00EA0376">
            <w:pPr>
              <w:rPr>
                <w:noProof/>
                <w:szCs w:val="22"/>
                <w:lang w:val="sr-Latn-RS"/>
              </w:rPr>
            </w:pPr>
            <w:r w:rsidRPr="00CA46C7">
              <w:rPr>
                <w:noProof/>
                <w:szCs w:val="22"/>
                <w:lang w:val="sr-Latn-RS"/>
              </w:rPr>
              <w:t xml:space="preserve">44/165 (26,7%) </w:t>
            </w:r>
          </w:p>
          <w:p w14:paraId="6AD0FB5F" w14:textId="1DAE7FDF" w:rsidR="00E81CBA" w:rsidRPr="00CA46C7" w:rsidRDefault="00E81CBA" w:rsidP="00EA0376">
            <w:pPr>
              <w:rPr>
                <w:b/>
                <w:bCs/>
                <w:noProof/>
                <w:szCs w:val="22"/>
                <w:lang w:val="sr-Latn-RS"/>
              </w:rPr>
            </w:pPr>
            <w:r w:rsidRPr="00CA46C7">
              <w:rPr>
                <w:b/>
                <w:bCs/>
                <w:noProof/>
                <w:szCs w:val="22"/>
                <w:lang w:val="sr-Latn-RS"/>
              </w:rPr>
              <w:t xml:space="preserve">95/324 (29,3%) </w:t>
            </w:r>
          </w:p>
        </w:tc>
        <w:tc>
          <w:tcPr>
            <w:tcW w:w="984" w:type="pct"/>
            <w:shd w:val="clear" w:color="auto" w:fill="auto"/>
          </w:tcPr>
          <w:p w14:paraId="6E48535C" w14:textId="743FF57C" w:rsidR="00E81CBA" w:rsidRPr="00CA46C7" w:rsidRDefault="00E81CBA" w:rsidP="00EA0376">
            <w:pPr>
              <w:rPr>
                <w:noProof/>
                <w:szCs w:val="22"/>
                <w:lang w:val="sr-Latn-RS"/>
              </w:rPr>
            </w:pPr>
            <w:r w:rsidRPr="00CA46C7">
              <w:rPr>
                <w:noProof/>
                <w:szCs w:val="22"/>
                <w:lang w:val="sr-Latn-RS"/>
              </w:rPr>
              <w:t xml:space="preserve">150/346 (43,4%) </w:t>
            </w:r>
          </w:p>
          <w:p w14:paraId="67B2E755" w14:textId="1CE32585" w:rsidR="00E81CBA" w:rsidRPr="00CA46C7" w:rsidRDefault="00E81CBA" w:rsidP="00EA0376">
            <w:pPr>
              <w:rPr>
                <w:noProof/>
                <w:szCs w:val="22"/>
                <w:lang w:val="sr-Latn-RS"/>
              </w:rPr>
            </w:pPr>
            <w:r w:rsidRPr="00CA46C7">
              <w:rPr>
                <w:noProof/>
                <w:szCs w:val="22"/>
                <w:lang w:val="sr-Latn-RS"/>
              </w:rPr>
              <w:t xml:space="preserve">133/337 (39,5%) </w:t>
            </w:r>
          </w:p>
          <w:p w14:paraId="55618BE8" w14:textId="77777777" w:rsidR="00E81CBA" w:rsidRPr="00CA46C7" w:rsidRDefault="00E81CBA" w:rsidP="00EA0376">
            <w:pPr>
              <w:rPr>
                <w:b/>
                <w:bCs/>
                <w:noProof/>
                <w:szCs w:val="22"/>
                <w:lang w:val="sr-Latn-RS"/>
              </w:rPr>
            </w:pPr>
            <w:r w:rsidRPr="00CA46C7">
              <w:rPr>
                <w:b/>
                <w:bCs/>
                <w:noProof/>
                <w:szCs w:val="22"/>
                <w:lang w:val="sr-Latn-RS"/>
              </w:rPr>
              <w:t xml:space="preserve">283/683 (41,4%) </w:t>
            </w:r>
          </w:p>
        </w:tc>
        <w:tc>
          <w:tcPr>
            <w:tcW w:w="1278" w:type="pct"/>
            <w:gridSpan w:val="2"/>
            <w:vMerge/>
            <w:shd w:val="clear" w:color="auto" w:fill="auto"/>
          </w:tcPr>
          <w:p w14:paraId="1A412FEE" w14:textId="77777777" w:rsidR="00E81CBA" w:rsidRPr="00CA46C7" w:rsidRDefault="00E81CBA" w:rsidP="00EA0376">
            <w:pPr>
              <w:rPr>
                <w:noProof/>
                <w:szCs w:val="22"/>
                <w:lang w:val="sr-Latn-RS"/>
              </w:rPr>
            </w:pPr>
          </w:p>
        </w:tc>
        <w:tc>
          <w:tcPr>
            <w:tcW w:w="904" w:type="pct"/>
            <w:shd w:val="clear" w:color="auto" w:fill="auto"/>
          </w:tcPr>
          <w:p w14:paraId="51D87F79" w14:textId="1B72994A" w:rsidR="00E81CBA" w:rsidRPr="00CA46C7" w:rsidRDefault="00E81CBA" w:rsidP="00EA0376">
            <w:pPr>
              <w:rPr>
                <w:noProof/>
                <w:szCs w:val="22"/>
                <w:lang w:val="sr-Latn-RS"/>
              </w:rPr>
            </w:pPr>
            <w:r w:rsidRPr="00CA46C7">
              <w:rPr>
                <w:noProof/>
                <w:szCs w:val="22"/>
                <w:lang w:val="sr-Latn-RS"/>
              </w:rPr>
              <w:t>0,75 (0,54</w:t>
            </w:r>
            <w:r w:rsidR="00472E2B" w:rsidRPr="00CA46C7">
              <w:rPr>
                <w:noProof/>
                <w:szCs w:val="22"/>
                <w:lang w:val="sr-Latn-RS"/>
              </w:rPr>
              <w:t>-</w:t>
            </w:r>
            <w:r w:rsidRPr="00CA46C7">
              <w:rPr>
                <w:noProof/>
                <w:szCs w:val="22"/>
                <w:lang w:val="sr-Latn-RS"/>
              </w:rPr>
              <w:t xml:space="preserve">1,02) </w:t>
            </w:r>
          </w:p>
          <w:p w14:paraId="799F1FC4" w14:textId="25500529" w:rsidR="00E81CBA" w:rsidRPr="00CA46C7" w:rsidRDefault="00E81CBA" w:rsidP="00EA0376">
            <w:pPr>
              <w:rPr>
                <w:noProof/>
                <w:szCs w:val="22"/>
                <w:lang w:val="sr-Latn-RS"/>
              </w:rPr>
            </w:pPr>
            <w:r w:rsidRPr="00CA46C7">
              <w:rPr>
                <w:noProof/>
                <w:szCs w:val="22"/>
                <w:lang w:val="sr-Latn-RS"/>
              </w:rPr>
              <w:t>0,56 (0,40</w:t>
            </w:r>
            <w:r w:rsidR="00472E2B" w:rsidRPr="00CA46C7">
              <w:rPr>
                <w:noProof/>
                <w:szCs w:val="22"/>
                <w:lang w:val="sr-Latn-RS"/>
              </w:rPr>
              <w:t>-</w:t>
            </w:r>
            <w:r w:rsidRPr="00CA46C7">
              <w:rPr>
                <w:noProof/>
                <w:szCs w:val="22"/>
                <w:lang w:val="sr-Latn-RS"/>
              </w:rPr>
              <w:t>0,78</w:t>
            </w:r>
            <w:r w:rsidR="00472E2B" w:rsidRPr="00CA46C7">
              <w:rPr>
                <w:noProof/>
                <w:szCs w:val="22"/>
                <w:lang w:val="sr-Latn-RS"/>
              </w:rPr>
              <w:t>)</w:t>
            </w:r>
            <w:r w:rsidRPr="00CA46C7">
              <w:rPr>
                <w:noProof/>
                <w:szCs w:val="22"/>
                <w:lang w:val="sr-Latn-RS"/>
              </w:rPr>
              <w:t xml:space="preserve"> </w:t>
            </w:r>
          </w:p>
          <w:p w14:paraId="6892A819" w14:textId="77777777" w:rsidR="00E81CBA" w:rsidRPr="00CA46C7" w:rsidRDefault="00E81CBA" w:rsidP="00EA0376">
            <w:pPr>
              <w:rPr>
                <w:b/>
                <w:bCs/>
                <w:noProof/>
                <w:szCs w:val="22"/>
                <w:lang w:val="sr-Latn-RS"/>
              </w:rPr>
            </w:pPr>
            <w:r w:rsidRPr="00CA46C7">
              <w:rPr>
                <w:b/>
                <w:bCs/>
                <w:noProof/>
                <w:szCs w:val="22"/>
                <w:lang w:val="sr-Latn-RS"/>
              </w:rPr>
              <w:t xml:space="preserve">0,64 (0,51-0,81) </w:t>
            </w:r>
          </w:p>
        </w:tc>
      </w:tr>
      <w:tr w:rsidR="00CA46C7" w:rsidRPr="00CA46C7" w14:paraId="4DD1AE3F" w14:textId="77777777" w:rsidTr="00EA0376">
        <w:trPr>
          <w:trHeight w:val="883"/>
        </w:trPr>
        <w:tc>
          <w:tcPr>
            <w:tcW w:w="984" w:type="pct"/>
            <w:tcBorders>
              <w:bottom w:val="single" w:sz="4" w:space="0" w:color="auto"/>
            </w:tcBorders>
            <w:shd w:val="clear" w:color="auto" w:fill="auto"/>
          </w:tcPr>
          <w:p w14:paraId="235F2818" w14:textId="77777777" w:rsidR="00E81CBA" w:rsidRPr="00CA46C7" w:rsidRDefault="00E81CBA" w:rsidP="00EA0376">
            <w:pPr>
              <w:rPr>
                <w:b/>
                <w:bCs/>
                <w:noProof/>
                <w:szCs w:val="22"/>
                <w:lang w:val="sr-Latn-RS"/>
              </w:rPr>
            </w:pPr>
            <w:r w:rsidRPr="00CA46C7">
              <w:rPr>
                <w:b/>
                <w:bCs/>
                <w:noProof/>
                <w:szCs w:val="22"/>
                <w:lang w:val="sr-Latn-RS"/>
              </w:rPr>
              <w:t xml:space="preserve">Svi učesnici </w:t>
            </w:r>
          </w:p>
        </w:tc>
        <w:tc>
          <w:tcPr>
            <w:tcW w:w="850" w:type="pct"/>
            <w:tcBorders>
              <w:bottom w:val="single" w:sz="4" w:space="0" w:color="auto"/>
            </w:tcBorders>
            <w:shd w:val="clear" w:color="auto" w:fill="auto"/>
          </w:tcPr>
          <w:p w14:paraId="1491E0EF" w14:textId="77777777" w:rsidR="00E81CBA" w:rsidRPr="00CA46C7" w:rsidRDefault="00E81CBA" w:rsidP="00EA0376">
            <w:pPr>
              <w:rPr>
                <w:b/>
                <w:bCs/>
                <w:noProof/>
                <w:szCs w:val="22"/>
                <w:lang w:val="sr-Latn-RS"/>
              </w:rPr>
            </w:pPr>
            <w:r w:rsidRPr="00CA46C7">
              <w:rPr>
                <w:b/>
                <w:bCs/>
                <w:noProof/>
                <w:szCs w:val="22"/>
                <w:lang w:val="sr-Latn-RS"/>
              </w:rPr>
              <w:t xml:space="preserve">482/2104 (22,9%) </w:t>
            </w:r>
          </w:p>
        </w:tc>
        <w:tc>
          <w:tcPr>
            <w:tcW w:w="984" w:type="pct"/>
            <w:tcBorders>
              <w:bottom w:val="single" w:sz="4" w:space="0" w:color="auto"/>
            </w:tcBorders>
            <w:shd w:val="clear" w:color="auto" w:fill="auto"/>
          </w:tcPr>
          <w:p w14:paraId="3B6EFDDA" w14:textId="77777777" w:rsidR="00E81CBA" w:rsidRPr="00CA46C7" w:rsidRDefault="00E81CBA" w:rsidP="00EA0376">
            <w:pPr>
              <w:rPr>
                <w:b/>
                <w:bCs/>
                <w:noProof/>
                <w:szCs w:val="22"/>
                <w:lang w:val="sr-Latn-RS"/>
              </w:rPr>
            </w:pPr>
            <w:r w:rsidRPr="00CA46C7">
              <w:rPr>
                <w:b/>
                <w:bCs/>
                <w:noProof/>
                <w:szCs w:val="22"/>
                <w:lang w:val="sr-Latn-RS"/>
              </w:rPr>
              <w:t xml:space="preserve">1110/4321 (25,7%) </w:t>
            </w:r>
          </w:p>
        </w:tc>
        <w:tc>
          <w:tcPr>
            <w:tcW w:w="1278" w:type="pct"/>
            <w:gridSpan w:val="2"/>
            <w:vMerge/>
            <w:shd w:val="clear" w:color="auto" w:fill="auto"/>
          </w:tcPr>
          <w:p w14:paraId="2C0D638C" w14:textId="77777777" w:rsidR="00E81CBA" w:rsidRPr="00CA46C7" w:rsidRDefault="00E81CBA" w:rsidP="00EA0376">
            <w:pPr>
              <w:rPr>
                <w:noProof/>
                <w:szCs w:val="22"/>
                <w:lang w:val="sr-Latn-RS"/>
              </w:rPr>
            </w:pPr>
          </w:p>
        </w:tc>
        <w:tc>
          <w:tcPr>
            <w:tcW w:w="904" w:type="pct"/>
            <w:shd w:val="clear" w:color="auto" w:fill="auto"/>
          </w:tcPr>
          <w:p w14:paraId="18B0B30D" w14:textId="77777777" w:rsidR="00E81CBA" w:rsidRPr="00CA46C7" w:rsidRDefault="00E81CBA" w:rsidP="00EA0376">
            <w:pPr>
              <w:jc w:val="left"/>
              <w:rPr>
                <w:b/>
                <w:bCs/>
                <w:noProof/>
                <w:szCs w:val="22"/>
                <w:lang w:val="sr-Latn-RS"/>
              </w:rPr>
            </w:pPr>
            <w:r w:rsidRPr="00CA46C7">
              <w:rPr>
                <w:b/>
                <w:bCs/>
                <w:noProof/>
                <w:szCs w:val="22"/>
                <w:lang w:val="sr-Latn-RS"/>
              </w:rPr>
              <w:t xml:space="preserve">0,83 (0,75-0,93) p &lt;0,001 </w:t>
            </w:r>
          </w:p>
        </w:tc>
      </w:tr>
      <w:tr w:rsidR="00CA46C7" w:rsidRPr="00CA46C7" w14:paraId="06FD5231" w14:textId="77777777" w:rsidTr="00EA0376">
        <w:trPr>
          <w:trHeight w:val="470"/>
        </w:trPr>
        <w:tc>
          <w:tcPr>
            <w:tcW w:w="2818" w:type="pct"/>
            <w:gridSpan w:val="3"/>
            <w:tcBorders>
              <w:right w:val="nil"/>
            </w:tcBorders>
            <w:shd w:val="clear" w:color="auto" w:fill="auto"/>
          </w:tcPr>
          <w:p w14:paraId="00168D65" w14:textId="77777777" w:rsidR="00E81CBA" w:rsidRPr="00CA46C7" w:rsidRDefault="00E81CBA" w:rsidP="00EA0376">
            <w:pPr>
              <w:rPr>
                <w:noProof/>
                <w:szCs w:val="22"/>
                <w:lang w:val="sr-Latn-RS"/>
              </w:rPr>
            </w:pPr>
          </w:p>
        </w:tc>
        <w:tc>
          <w:tcPr>
            <w:tcW w:w="806" w:type="pct"/>
            <w:tcBorders>
              <w:left w:val="nil"/>
            </w:tcBorders>
            <w:shd w:val="clear" w:color="auto" w:fill="auto"/>
          </w:tcPr>
          <w:p w14:paraId="7C3AFB62" w14:textId="77777777" w:rsidR="00E81CBA" w:rsidRPr="00CA46C7" w:rsidRDefault="00E81CBA" w:rsidP="00EA0376">
            <w:pPr>
              <w:rPr>
                <w:b/>
                <w:bCs/>
                <w:noProof/>
                <w:szCs w:val="22"/>
                <w:lang w:val="sr-Latn-RS"/>
              </w:rPr>
            </w:pPr>
            <w:r w:rsidRPr="00CA46C7">
              <w:rPr>
                <w:b/>
                <w:bCs/>
                <w:noProof/>
                <w:szCs w:val="22"/>
                <w:lang w:val="sr-Latn-RS"/>
              </w:rPr>
              <w:t xml:space="preserve">Deksametazon  bolji </w:t>
            </w:r>
          </w:p>
        </w:tc>
        <w:tc>
          <w:tcPr>
            <w:tcW w:w="1376" w:type="pct"/>
            <w:gridSpan w:val="2"/>
            <w:shd w:val="clear" w:color="auto" w:fill="auto"/>
          </w:tcPr>
          <w:p w14:paraId="7DCAD86F" w14:textId="27A87957" w:rsidR="00E81CBA" w:rsidRPr="00CA46C7" w:rsidRDefault="00A755BF" w:rsidP="00EA0376">
            <w:pPr>
              <w:rPr>
                <w:b/>
                <w:bCs/>
                <w:noProof/>
                <w:szCs w:val="22"/>
                <w:lang w:val="sr-Latn-RS"/>
              </w:rPr>
            </w:pPr>
            <w:r w:rsidRPr="00CA46C7">
              <w:rPr>
                <w:b/>
                <w:bCs/>
                <w:noProof/>
                <w:szCs w:val="22"/>
                <w:lang w:val="sr-Latn-RS"/>
              </w:rPr>
              <w:t xml:space="preserve">Uobičajena </w:t>
            </w:r>
            <w:r w:rsidR="00E81CBA" w:rsidRPr="00CA46C7">
              <w:rPr>
                <w:b/>
                <w:bCs/>
                <w:noProof/>
                <w:szCs w:val="22"/>
                <w:lang w:val="sr-Latn-RS"/>
              </w:rPr>
              <w:t>terapija</w:t>
            </w:r>
          </w:p>
          <w:p w14:paraId="69DE0F49" w14:textId="5DBEEDD9" w:rsidR="00E81CBA" w:rsidRPr="00CA46C7" w:rsidRDefault="00E81CBA" w:rsidP="00EA0376">
            <w:pPr>
              <w:rPr>
                <w:noProof/>
                <w:szCs w:val="22"/>
                <w:lang w:val="sr-Latn-RS"/>
              </w:rPr>
            </w:pPr>
            <w:r w:rsidRPr="00CA46C7">
              <w:rPr>
                <w:b/>
                <w:bCs/>
                <w:noProof/>
                <w:szCs w:val="22"/>
                <w:lang w:val="sr-Latn-RS"/>
              </w:rPr>
              <w:t xml:space="preserve">bolja </w:t>
            </w:r>
          </w:p>
        </w:tc>
      </w:tr>
    </w:tbl>
    <w:p w14:paraId="7E71FB2A" w14:textId="2C208578" w:rsidR="00E81CBA" w:rsidRPr="00CA46C7" w:rsidRDefault="00E81CBA" w:rsidP="00EA0376">
      <w:pPr>
        <w:rPr>
          <w:sz w:val="20"/>
          <w:szCs w:val="20"/>
          <w:lang w:val="sr-Latn-RS"/>
        </w:rPr>
      </w:pPr>
      <w:r w:rsidRPr="00CA46C7">
        <w:rPr>
          <w:sz w:val="20"/>
          <w:szCs w:val="20"/>
          <w:lang w:val="sr-Latn-RS"/>
        </w:rPr>
        <w:t xml:space="preserve">2, 3 (izvor: Horby P. et al., 2020; </w:t>
      </w:r>
      <w:hyperlink r:id="rId14" w:history="1">
        <w:r w:rsidR="00BB1690" w:rsidRPr="005C187F">
          <w:rPr>
            <w:rStyle w:val="Hyperlink"/>
            <w:color w:val="auto"/>
            <w:sz w:val="20"/>
            <w:szCs w:val="20"/>
          </w:rPr>
          <w:t>https://www.medrxiv.org/content/10.1101/2020.06.22.20137273v1</w:t>
        </w:r>
      </w:hyperlink>
      <w:r w:rsidRPr="00CA46C7">
        <w:rPr>
          <w:sz w:val="20"/>
          <w:szCs w:val="20"/>
          <w:lang w:val="sr-Latn-RS"/>
        </w:rPr>
        <w:t>;</w:t>
      </w:r>
      <w:r w:rsidR="00BB1690" w:rsidRPr="00CA46C7">
        <w:rPr>
          <w:sz w:val="20"/>
          <w:szCs w:val="20"/>
          <w:lang w:val="sr-Latn-RS"/>
        </w:rPr>
        <w:t xml:space="preserve"> </w:t>
      </w:r>
      <w:r w:rsidRPr="00CA46C7">
        <w:rPr>
          <w:sz w:val="20"/>
          <w:szCs w:val="20"/>
          <w:lang w:val="sr-Latn-RS"/>
        </w:rPr>
        <w:t>doi: https://doi.org/10.1101/2020.06.22.20137273)</w:t>
      </w:r>
    </w:p>
    <w:p w14:paraId="6ABBF749" w14:textId="77777777" w:rsidR="00222E4D" w:rsidRPr="00CA46C7" w:rsidRDefault="00222E4D" w:rsidP="00EA0376">
      <w:pPr>
        <w:rPr>
          <w:szCs w:val="22"/>
          <w:lang w:val="sr-Latn-RS"/>
        </w:rPr>
      </w:pPr>
    </w:p>
    <w:p w14:paraId="25F7E997" w14:textId="5D78ED36" w:rsidR="007661F0" w:rsidRDefault="007661F0" w:rsidP="00EA0376">
      <w:pPr>
        <w:rPr>
          <w:b/>
          <w:bCs/>
          <w:szCs w:val="22"/>
          <w:lang w:val="sr-Latn-CS"/>
        </w:rPr>
      </w:pPr>
      <w:r w:rsidRPr="00CA46C7">
        <w:rPr>
          <w:b/>
          <w:bCs/>
          <w:szCs w:val="22"/>
          <w:lang w:val="sr-Latn-CS"/>
        </w:rPr>
        <w:t>5.2. Farmakokinetički podaci</w:t>
      </w:r>
    </w:p>
    <w:p w14:paraId="0331085D" w14:textId="77777777" w:rsidR="00185C48" w:rsidRPr="00CA46C7" w:rsidRDefault="00185C48" w:rsidP="00EA0376">
      <w:pPr>
        <w:rPr>
          <w:b/>
          <w:bCs/>
          <w:szCs w:val="22"/>
          <w:lang w:val="sr-Latn-CS"/>
        </w:rPr>
      </w:pPr>
    </w:p>
    <w:p w14:paraId="68F64930" w14:textId="757B1769" w:rsidR="00A755BF" w:rsidRPr="00CA46C7" w:rsidRDefault="00A755BF" w:rsidP="00EA0376">
      <w:pPr>
        <w:rPr>
          <w:bCs/>
          <w:szCs w:val="22"/>
          <w:u w:val="single"/>
          <w:lang w:val="sr-Latn-CS"/>
        </w:rPr>
      </w:pPr>
      <w:r w:rsidRPr="00CA46C7">
        <w:rPr>
          <w:bCs/>
          <w:szCs w:val="22"/>
          <w:u w:val="single"/>
          <w:lang w:val="sr-Latn-CS"/>
        </w:rPr>
        <w:t>Resorpcija</w:t>
      </w:r>
    </w:p>
    <w:p w14:paraId="25F7E998" w14:textId="29D8C293" w:rsidR="007661F0" w:rsidRPr="005C187F" w:rsidRDefault="007661F0" w:rsidP="00EA0376">
      <w:pPr>
        <w:rPr>
          <w:szCs w:val="22"/>
          <w:lang w:val="sr-Latn-CS"/>
        </w:rPr>
      </w:pPr>
      <w:r w:rsidRPr="005C187F">
        <w:rPr>
          <w:szCs w:val="22"/>
          <w:lang w:val="sr-Latn-CS"/>
        </w:rPr>
        <w:t>Deksametazon se brzo i dobro (</w:t>
      </w:r>
      <w:r w:rsidR="00F73A26" w:rsidRPr="005C187F">
        <w:rPr>
          <w:szCs w:val="22"/>
          <w:lang w:val="sr-Latn-CS"/>
        </w:rPr>
        <w:t xml:space="preserve">oko </w:t>
      </w:r>
      <w:r w:rsidRPr="005C187F">
        <w:rPr>
          <w:szCs w:val="22"/>
          <w:lang w:val="sr-Latn-CS"/>
        </w:rPr>
        <w:t>80%) resorbuje nakon oralne prim</w:t>
      </w:r>
      <w:r w:rsidR="00BF1785" w:rsidRPr="005C187F">
        <w:rPr>
          <w:szCs w:val="22"/>
          <w:lang w:val="sr-Latn-CS"/>
        </w:rPr>
        <w:t>j</w:t>
      </w:r>
      <w:r w:rsidRPr="005C187F">
        <w:rPr>
          <w:szCs w:val="22"/>
          <w:lang w:val="sr-Latn-CS"/>
        </w:rPr>
        <w:t>ene. Maksimalne koncentracije l</w:t>
      </w:r>
      <w:r w:rsidR="00BF1785" w:rsidRPr="005C187F">
        <w:rPr>
          <w:szCs w:val="22"/>
          <w:lang w:val="sr-Latn-CS"/>
        </w:rPr>
        <w:t>ij</w:t>
      </w:r>
      <w:r w:rsidRPr="005C187F">
        <w:rPr>
          <w:szCs w:val="22"/>
          <w:lang w:val="sr-Latn-CS"/>
        </w:rPr>
        <w:t>eka u plazmi se postižu 1 – 2 sata nakon unošenja.</w:t>
      </w:r>
    </w:p>
    <w:p w14:paraId="25F7E999" w14:textId="77777777" w:rsidR="007661F0" w:rsidRPr="005C187F" w:rsidRDefault="007661F0" w:rsidP="00EA0376">
      <w:pPr>
        <w:rPr>
          <w:szCs w:val="22"/>
          <w:lang w:val="sr-Latn-CS"/>
        </w:rPr>
      </w:pPr>
    </w:p>
    <w:p w14:paraId="18A75545" w14:textId="32D4EF36" w:rsidR="00F73A26" w:rsidRPr="005C187F" w:rsidRDefault="00F73A26" w:rsidP="00EA0376">
      <w:pPr>
        <w:rPr>
          <w:szCs w:val="22"/>
          <w:u w:val="single"/>
          <w:lang w:val="sr-Latn-CS"/>
        </w:rPr>
      </w:pPr>
      <w:r w:rsidRPr="005C187F">
        <w:rPr>
          <w:szCs w:val="22"/>
          <w:u w:val="single"/>
          <w:lang w:val="sr-Latn-CS"/>
        </w:rPr>
        <w:t xml:space="preserve">Distribucija </w:t>
      </w:r>
    </w:p>
    <w:p w14:paraId="12CE2CC7" w14:textId="19AB425A" w:rsidR="00F73A26" w:rsidRPr="005C187F" w:rsidRDefault="007661F0" w:rsidP="00EA0376">
      <w:pPr>
        <w:rPr>
          <w:szCs w:val="22"/>
          <w:lang w:val="sr-Latn-CS"/>
        </w:rPr>
      </w:pPr>
      <w:r w:rsidRPr="005C187F">
        <w:rPr>
          <w:szCs w:val="22"/>
          <w:lang w:val="sr-Latn-CS"/>
        </w:rPr>
        <w:t>Deksametazon se vezuje</w:t>
      </w:r>
      <w:r w:rsidR="00396C10" w:rsidRPr="005C187F">
        <w:rPr>
          <w:szCs w:val="22"/>
          <w:lang w:val="sr-Latn-CS"/>
        </w:rPr>
        <w:t xml:space="preserve"> (do 77%)</w:t>
      </w:r>
      <w:r w:rsidRPr="005C187F">
        <w:rPr>
          <w:szCs w:val="22"/>
          <w:lang w:val="sr-Latn-CS"/>
        </w:rPr>
        <w:t xml:space="preserve"> za proteine plazme, uglavnom za albumin. Deksametazon se u velikoj m</w:t>
      </w:r>
      <w:r w:rsidR="00BF1785" w:rsidRPr="005C187F">
        <w:rPr>
          <w:szCs w:val="22"/>
          <w:lang w:val="sr-Latn-CS"/>
        </w:rPr>
        <w:t>j</w:t>
      </w:r>
      <w:r w:rsidRPr="005C187F">
        <w:rPr>
          <w:szCs w:val="22"/>
          <w:lang w:val="sr-Latn-CS"/>
        </w:rPr>
        <w:t>eri distribuira u jetru, bubrege i nadbubrežne žl</w:t>
      </w:r>
      <w:r w:rsidR="00BF1785" w:rsidRPr="005C187F">
        <w:rPr>
          <w:szCs w:val="22"/>
          <w:lang w:val="sr-Latn-CS"/>
        </w:rPr>
        <w:t>ij</w:t>
      </w:r>
      <w:r w:rsidRPr="005C187F">
        <w:rPr>
          <w:szCs w:val="22"/>
          <w:lang w:val="sr-Latn-CS"/>
        </w:rPr>
        <w:t xml:space="preserve">ezde. </w:t>
      </w:r>
    </w:p>
    <w:p w14:paraId="08DA3100" w14:textId="77777777" w:rsidR="00396C10" w:rsidRPr="005C187F" w:rsidRDefault="00396C10" w:rsidP="00EA0376">
      <w:pPr>
        <w:rPr>
          <w:szCs w:val="22"/>
          <w:lang w:val="sr-Latn-CS"/>
        </w:rPr>
      </w:pPr>
    </w:p>
    <w:p w14:paraId="5DC8BC92" w14:textId="1D14AFE5" w:rsidR="00F73A26" w:rsidRPr="005C187F" w:rsidRDefault="00396C10" w:rsidP="00EA0376">
      <w:pPr>
        <w:rPr>
          <w:szCs w:val="22"/>
          <w:u w:val="single"/>
          <w:lang w:val="sr-Latn-CS"/>
        </w:rPr>
      </w:pPr>
      <w:r w:rsidRPr="005C187F">
        <w:rPr>
          <w:szCs w:val="22"/>
          <w:u w:val="single"/>
          <w:lang w:val="sr-Latn-CS"/>
        </w:rPr>
        <w:t>Biotransformacija i eliminacija</w:t>
      </w:r>
    </w:p>
    <w:p w14:paraId="25F7E99A" w14:textId="4F9A8B54" w:rsidR="007661F0" w:rsidRPr="005C187F" w:rsidRDefault="007661F0" w:rsidP="00EA0376">
      <w:pPr>
        <w:rPr>
          <w:szCs w:val="22"/>
          <w:lang w:val="sr-Latn-CS"/>
        </w:rPr>
      </w:pPr>
      <w:r w:rsidRPr="005C187F">
        <w:rPr>
          <w:szCs w:val="22"/>
          <w:lang w:val="sr-Latn-CS"/>
        </w:rPr>
        <w:t>Metabolizam l</w:t>
      </w:r>
      <w:r w:rsidR="00BF1785" w:rsidRPr="005C187F">
        <w:rPr>
          <w:szCs w:val="22"/>
          <w:lang w:val="sr-Latn-CS"/>
        </w:rPr>
        <w:t>ij</w:t>
      </w:r>
      <w:r w:rsidRPr="005C187F">
        <w:rPr>
          <w:szCs w:val="22"/>
          <w:lang w:val="sr-Latn-CS"/>
        </w:rPr>
        <w:t>eka u jetri je spor i uglavnom se izlučuje putem urina, većinom u formi nekonjugovanih steroida. Poluvr</w:t>
      </w:r>
      <w:r w:rsidR="00BF1785" w:rsidRPr="005C187F">
        <w:rPr>
          <w:szCs w:val="22"/>
          <w:lang w:val="sr-Latn-CS"/>
        </w:rPr>
        <w:t>ij</w:t>
      </w:r>
      <w:r w:rsidRPr="005C187F">
        <w:rPr>
          <w:szCs w:val="22"/>
          <w:lang w:val="sr-Latn-CS"/>
        </w:rPr>
        <w:t>eme eliminacije l</w:t>
      </w:r>
      <w:r w:rsidR="00BF1785" w:rsidRPr="005C187F">
        <w:rPr>
          <w:szCs w:val="22"/>
          <w:lang w:val="sr-Latn-CS"/>
        </w:rPr>
        <w:t>ij</w:t>
      </w:r>
      <w:r w:rsidRPr="005C187F">
        <w:rPr>
          <w:szCs w:val="22"/>
          <w:lang w:val="sr-Latn-CS"/>
        </w:rPr>
        <w:t>eka iz plazme iznosi 3,0 – 4,5 sata. Međutim, s obzirom na to da dejstvo traje znatno duže od koncentracije steroida u plazmi, poluvr</w:t>
      </w:r>
      <w:r w:rsidR="00BF1785" w:rsidRPr="005C187F">
        <w:rPr>
          <w:szCs w:val="22"/>
          <w:lang w:val="sr-Latn-CS"/>
        </w:rPr>
        <w:t>ij</w:t>
      </w:r>
      <w:r w:rsidRPr="005C187F">
        <w:rPr>
          <w:szCs w:val="22"/>
          <w:lang w:val="sr-Latn-CS"/>
        </w:rPr>
        <w:t>eme eliminacije iz plazme je od malog značaja i upotreba biološkog poluvremena je mnogo prim</w:t>
      </w:r>
      <w:r w:rsidR="00BF1785" w:rsidRPr="005C187F">
        <w:rPr>
          <w:szCs w:val="22"/>
          <w:lang w:val="sr-Latn-CS"/>
        </w:rPr>
        <w:t>j</w:t>
      </w:r>
      <w:r w:rsidRPr="005C187F">
        <w:rPr>
          <w:szCs w:val="22"/>
          <w:lang w:val="sr-Latn-CS"/>
        </w:rPr>
        <w:t>enjivija. Biološko poluvr</w:t>
      </w:r>
      <w:r w:rsidR="00BF1785" w:rsidRPr="005C187F">
        <w:rPr>
          <w:szCs w:val="22"/>
          <w:lang w:val="sr-Latn-CS"/>
        </w:rPr>
        <w:t>ij</w:t>
      </w:r>
      <w:r w:rsidRPr="005C187F">
        <w:rPr>
          <w:szCs w:val="22"/>
          <w:lang w:val="sr-Latn-CS"/>
        </w:rPr>
        <w:t>eme deksametazona iznosi 36 – 54 sati. Stoga, prim</w:t>
      </w:r>
      <w:r w:rsidR="00BF1785" w:rsidRPr="005C187F">
        <w:rPr>
          <w:szCs w:val="22"/>
          <w:lang w:val="sr-Latn-CS"/>
        </w:rPr>
        <w:t>j</w:t>
      </w:r>
      <w:r w:rsidRPr="005C187F">
        <w:rPr>
          <w:szCs w:val="22"/>
          <w:lang w:val="sr-Latn-CS"/>
        </w:rPr>
        <w:t>ena deksametazona je naročito pogodna u stanjima gd</w:t>
      </w:r>
      <w:r w:rsidR="00BF1785" w:rsidRPr="005C187F">
        <w:rPr>
          <w:szCs w:val="22"/>
          <w:lang w:val="sr-Latn-CS"/>
        </w:rPr>
        <w:t>j</w:t>
      </w:r>
      <w:r w:rsidRPr="005C187F">
        <w:rPr>
          <w:szCs w:val="22"/>
          <w:lang w:val="sr-Latn-CS"/>
        </w:rPr>
        <w:t xml:space="preserve">e je poželjna kontinuirana aktivnost glukokortikoida. </w:t>
      </w:r>
    </w:p>
    <w:p w14:paraId="25F7E99B" w14:textId="77777777" w:rsidR="007661F0" w:rsidRPr="00CA46C7" w:rsidRDefault="007661F0" w:rsidP="00EA0376">
      <w:pPr>
        <w:rPr>
          <w:szCs w:val="22"/>
          <w:lang w:val="sr-Latn-CS"/>
        </w:rPr>
      </w:pPr>
    </w:p>
    <w:p w14:paraId="25F7E99C" w14:textId="59D0D5FA" w:rsidR="007661F0" w:rsidRPr="00CA46C7" w:rsidRDefault="007661F0" w:rsidP="00EA0376">
      <w:pPr>
        <w:rPr>
          <w:b/>
          <w:bCs/>
          <w:szCs w:val="22"/>
          <w:lang w:val="sr-Latn-CS"/>
        </w:rPr>
      </w:pPr>
      <w:r w:rsidRPr="00CA46C7">
        <w:rPr>
          <w:b/>
          <w:bCs/>
          <w:szCs w:val="22"/>
          <w:lang w:val="sr-Latn-CS"/>
        </w:rPr>
        <w:t>5.3. Pretklinički podaci o bezb</w:t>
      </w:r>
      <w:r w:rsidR="00BF1785" w:rsidRPr="00CA46C7">
        <w:rPr>
          <w:b/>
          <w:bCs/>
          <w:szCs w:val="22"/>
          <w:lang w:val="sr-Latn-CS"/>
        </w:rPr>
        <w:t>j</w:t>
      </w:r>
      <w:r w:rsidRPr="00CA46C7">
        <w:rPr>
          <w:b/>
          <w:bCs/>
          <w:szCs w:val="22"/>
          <w:lang w:val="sr-Latn-CS"/>
        </w:rPr>
        <w:t>ednosti</w:t>
      </w:r>
    </w:p>
    <w:p w14:paraId="25F7E99D" w14:textId="77777777" w:rsidR="007661F0" w:rsidRPr="005C187F" w:rsidRDefault="007661F0" w:rsidP="00EA0376">
      <w:pPr>
        <w:rPr>
          <w:szCs w:val="22"/>
          <w:lang w:val="sr-Latn-CS"/>
        </w:rPr>
      </w:pPr>
    </w:p>
    <w:p w14:paraId="25F7E99E" w14:textId="76AD1845" w:rsidR="007661F0" w:rsidRPr="005C187F" w:rsidRDefault="007661F0" w:rsidP="00EA0376">
      <w:pPr>
        <w:rPr>
          <w:szCs w:val="22"/>
          <w:lang w:val="sr-Latn-CS"/>
        </w:rPr>
      </w:pPr>
      <w:r w:rsidRPr="005C187F">
        <w:rPr>
          <w:szCs w:val="22"/>
          <w:lang w:val="sr-Latn-CS"/>
        </w:rPr>
        <w:t>U studijama na životinjama, pojava rasc</w:t>
      </w:r>
      <w:r w:rsidR="00BF1785" w:rsidRPr="005C187F">
        <w:rPr>
          <w:szCs w:val="22"/>
          <w:lang w:val="sr-Latn-CS"/>
        </w:rPr>
        <w:t>j</w:t>
      </w:r>
      <w:r w:rsidRPr="005C187F">
        <w:rPr>
          <w:szCs w:val="22"/>
          <w:lang w:val="sr-Latn-CS"/>
        </w:rPr>
        <w:t>epa nepca zab</w:t>
      </w:r>
      <w:r w:rsidR="00BF1785" w:rsidRPr="005C187F">
        <w:rPr>
          <w:szCs w:val="22"/>
          <w:lang w:val="sr-Latn-CS"/>
        </w:rPr>
        <w:t>i</w:t>
      </w:r>
      <w:r w:rsidRPr="005C187F">
        <w:rPr>
          <w:szCs w:val="22"/>
          <w:lang w:val="sr-Latn-CS"/>
        </w:rPr>
        <w:t>l</w:t>
      </w:r>
      <w:r w:rsidR="00BF1785" w:rsidRPr="005C187F">
        <w:rPr>
          <w:szCs w:val="22"/>
          <w:lang w:val="sr-Latn-CS"/>
        </w:rPr>
        <w:t>j</w:t>
      </w:r>
      <w:r w:rsidRPr="005C187F">
        <w:rPr>
          <w:szCs w:val="22"/>
          <w:lang w:val="sr-Latn-CS"/>
        </w:rPr>
        <w:t>ežena je kod pacova, miševa, hrčaka, kunića, pasa i primata; nije zab</w:t>
      </w:r>
      <w:r w:rsidR="00BF1785" w:rsidRPr="005C187F">
        <w:rPr>
          <w:szCs w:val="22"/>
          <w:lang w:val="sr-Latn-CS"/>
        </w:rPr>
        <w:t>i</w:t>
      </w:r>
      <w:r w:rsidRPr="005C187F">
        <w:rPr>
          <w:szCs w:val="22"/>
          <w:lang w:val="sr-Latn-CS"/>
        </w:rPr>
        <w:t>l</w:t>
      </w:r>
      <w:r w:rsidR="00BF1785" w:rsidRPr="005C187F">
        <w:rPr>
          <w:szCs w:val="22"/>
          <w:lang w:val="sr-Latn-CS"/>
        </w:rPr>
        <w:t>j</w:t>
      </w:r>
      <w:r w:rsidRPr="005C187F">
        <w:rPr>
          <w:szCs w:val="22"/>
          <w:lang w:val="sr-Latn-CS"/>
        </w:rPr>
        <w:t>ežena kod konja i ovaca. U nekim slučajevima ove divergencije su bile kombinovane sa oštećenjima centralnog nervnog sistema i srca. Kod primata, nakon izlaganja, zab</w:t>
      </w:r>
      <w:r w:rsidR="00BF1785" w:rsidRPr="005C187F">
        <w:rPr>
          <w:szCs w:val="22"/>
          <w:lang w:val="sr-Latn-CS"/>
        </w:rPr>
        <w:t>i</w:t>
      </w:r>
      <w:r w:rsidRPr="005C187F">
        <w:rPr>
          <w:szCs w:val="22"/>
          <w:lang w:val="sr-Latn-CS"/>
        </w:rPr>
        <w:t>l</w:t>
      </w:r>
      <w:r w:rsidR="00BF1785" w:rsidRPr="005C187F">
        <w:rPr>
          <w:szCs w:val="22"/>
          <w:lang w:val="sr-Latn-CS"/>
        </w:rPr>
        <w:t>j</w:t>
      </w:r>
      <w:r w:rsidRPr="005C187F">
        <w:rPr>
          <w:szCs w:val="22"/>
          <w:lang w:val="sr-Latn-CS"/>
        </w:rPr>
        <w:t>ežena su dejstva na mozak. Pored ovoga, intrauterini rast može biti usporen. Sva ova dejstva su uočena pri visokim dozama l</w:t>
      </w:r>
      <w:r w:rsidR="00BF1785" w:rsidRPr="005C187F">
        <w:rPr>
          <w:szCs w:val="22"/>
          <w:lang w:val="sr-Latn-CS"/>
        </w:rPr>
        <w:t>ij</w:t>
      </w:r>
      <w:r w:rsidRPr="005C187F">
        <w:rPr>
          <w:szCs w:val="22"/>
          <w:lang w:val="sr-Latn-CS"/>
        </w:rPr>
        <w:t xml:space="preserve">eka. </w:t>
      </w:r>
    </w:p>
    <w:p w14:paraId="0BCD61FD" w14:textId="792EDD1C" w:rsidR="00C764A2" w:rsidRDefault="00C764A2" w:rsidP="00EA0376">
      <w:pPr>
        <w:pStyle w:val="NASLOV123"/>
        <w:spacing w:before="0" w:after="0"/>
        <w:jc w:val="both"/>
        <w:rPr>
          <w:lang w:val="sr-Latn-CS"/>
        </w:rPr>
      </w:pPr>
    </w:p>
    <w:p w14:paraId="15E57DC6" w14:textId="77777777" w:rsidR="00EA0376" w:rsidRPr="00CA46C7" w:rsidRDefault="00EA0376" w:rsidP="00EA0376">
      <w:pPr>
        <w:pStyle w:val="NASLOV123"/>
        <w:spacing w:before="0" w:after="0"/>
        <w:jc w:val="both"/>
        <w:rPr>
          <w:lang w:val="sr-Latn-CS"/>
        </w:rPr>
      </w:pPr>
    </w:p>
    <w:p w14:paraId="25F7E9A0" w14:textId="72084566" w:rsidR="007661F0" w:rsidRDefault="007661F0" w:rsidP="00EA0376">
      <w:pPr>
        <w:pStyle w:val="NASLOV123"/>
        <w:spacing w:before="0" w:after="0"/>
        <w:jc w:val="both"/>
        <w:rPr>
          <w:lang w:val="sr-Latn-CS"/>
        </w:rPr>
      </w:pPr>
      <w:r w:rsidRPr="00CA46C7">
        <w:rPr>
          <w:lang w:val="sr-Latn-CS"/>
        </w:rPr>
        <w:t>6. FARMACEUTSKI PODACI</w:t>
      </w:r>
    </w:p>
    <w:p w14:paraId="425B4774" w14:textId="77777777" w:rsidR="00EA0376" w:rsidRPr="00CA46C7" w:rsidRDefault="00EA0376" w:rsidP="00EA0376">
      <w:pPr>
        <w:pStyle w:val="NASLOV123"/>
        <w:spacing w:before="0" w:after="0"/>
        <w:jc w:val="both"/>
        <w:rPr>
          <w:lang w:val="sr-Latn-CS"/>
        </w:rPr>
      </w:pPr>
    </w:p>
    <w:p w14:paraId="25F7E9A1" w14:textId="0C8E67A0" w:rsidR="007661F0" w:rsidRPr="00CA46C7" w:rsidRDefault="007661F0" w:rsidP="00EA0376">
      <w:pPr>
        <w:rPr>
          <w:b/>
          <w:bCs/>
          <w:szCs w:val="22"/>
          <w:lang w:val="sr-Latn-CS"/>
        </w:rPr>
      </w:pPr>
      <w:r w:rsidRPr="00CA46C7">
        <w:rPr>
          <w:b/>
          <w:bCs/>
          <w:szCs w:val="22"/>
          <w:lang w:val="sr-Latn-CS"/>
        </w:rPr>
        <w:t>6.1. Lista pomoćnih supstanci</w:t>
      </w:r>
      <w:r w:rsidR="00BF1785" w:rsidRPr="00CA46C7">
        <w:rPr>
          <w:b/>
          <w:bCs/>
          <w:szCs w:val="22"/>
          <w:lang w:val="sr-Latn-CS"/>
        </w:rPr>
        <w:t xml:space="preserve"> (ekscipijenasa)</w:t>
      </w:r>
    </w:p>
    <w:p w14:paraId="4E2A1527" w14:textId="77777777" w:rsidR="0045544B" w:rsidRPr="00CA46C7" w:rsidRDefault="0045544B" w:rsidP="00EA0376">
      <w:pPr>
        <w:rPr>
          <w:b/>
          <w:bCs/>
          <w:szCs w:val="22"/>
          <w:lang w:val="sr-Latn-CS"/>
        </w:rPr>
      </w:pPr>
    </w:p>
    <w:p w14:paraId="25F7E9A2" w14:textId="77777777" w:rsidR="007661F0" w:rsidRPr="00CA46C7" w:rsidRDefault="007661F0" w:rsidP="00EA0376">
      <w:pPr>
        <w:pStyle w:val="Header"/>
        <w:tabs>
          <w:tab w:val="clear" w:pos="4536"/>
          <w:tab w:val="clear" w:pos="9072"/>
          <w:tab w:val="left" w:pos="284"/>
        </w:tabs>
        <w:rPr>
          <w:szCs w:val="22"/>
          <w:lang w:val="sr-Latn-CS"/>
        </w:rPr>
      </w:pPr>
      <w:r w:rsidRPr="00CA46C7">
        <w:rPr>
          <w:szCs w:val="22"/>
          <w:lang w:val="sr-Latn-CS"/>
        </w:rPr>
        <w:t>Laktoza, monohidrat;</w:t>
      </w:r>
    </w:p>
    <w:p w14:paraId="25F7E9A3" w14:textId="77777777" w:rsidR="007661F0" w:rsidRPr="00CA46C7" w:rsidRDefault="007661F0" w:rsidP="00EA0376">
      <w:pPr>
        <w:pStyle w:val="Header"/>
        <w:tabs>
          <w:tab w:val="clear" w:pos="4536"/>
          <w:tab w:val="clear" w:pos="9072"/>
          <w:tab w:val="left" w:pos="284"/>
        </w:tabs>
        <w:rPr>
          <w:szCs w:val="22"/>
          <w:lang w:val="sr-Latn-CS"/>
        </w:rPr>
      </w:pPr>
      <w:r w:rsidRPr="00CA46C7">
        <w:rPr>
          <w:szCs w:val="22"/>
          <w:lang w:val="sr-Latn-CS"/>
        </w:rPr>
        <w:t>skrob, kukuruzni;</w:t>
      </w:r>
    </w:p>
    <w:p w14:paraId="25F7E9A4" w14:textId="1CEAED15" w:rsidR="007661F0" w:rsidRPr="00CA46C7" w:rsidRDefault="007661F0" w:rsidP="00EA0376">
      <w:pPr>
        <w:pStyle w:val="Header"/>
        <w:tabs>
          <w:tab w:val="clear" w:pos="4536"/>
          <w:tab w:val="clear" w:pos="9072"/>
          <w:tab w:val="left" w:pos="284"/>
        </w:tabs>
        <w:rPr>
          <w:szCs w:val="22"/>
          <w:lang w:val="sr-Latn-CS"/>
        </w:rPr>
      </w:pPr>
      <w:r w:rsidRPr="00CA46C7">
        <w:rPr>
          <w:szCs w:val="22"/>
          <w:lang w:val="sr-Latn-CS"/>
        </w:rPr>
        <w:t xml:space="preserve">glukoza, </w:t>
      </w:r>
      <w:r w:rsidR="00522F29" w:rsidRPr="00CA46C7">
        <w:rPr>
          <w:szCs w:val="22"/>
          <w:lang w:val="sr-Latn-CS"/>
        </w:rPr>
        <w:t>bezvodna</w:t>
      </w:r>
      <w:r w:rsidRPr="00CA46C7">
        <w:rPr>
          <w:szCs w:val="22"/>
          <w:lang w:val="sr-Latn-CS"/>
        </w:rPr>
        <w:t>;</w:t>
      </w:r>
    </w:p>
    <w:p w14:paraId="25F7E9A5" w14:textId="16FB6DE7" w:rsidR="007661F0" w:rsidRPr="00CA46C7" w:rsidRDefault="007661F0" w:rsidP="00EA0376">
      <w:pPr>
        <w:pStyle w:val="Header"/>
        <w:tabs>
          <w:tab w:val="clear" w:pos="4536"/>
          <w:tab w:val="clear" w:pos="9072"/>
          <w:tab w:val="left" w:pos="284"/>
        </w:tabs>
        <w:rPr>
          <w:szCs w:val="22"/>
          <w:lang w:val="sr-Latn-CS"/>
        </w:rPr>
      </w:pPr>
      <w:r w:rsidRPr="00CA46C7">
        <w:rPr>
          <w:szCs w:val="22"/>
          <w:lang w:val="sr-Latn-CS"/>
        </w:rPr>
        <w:lastRenderedPageBreak/>
        <w:t>magnezijum</w:t>
      </w:r>
      <w:r w:rsidR="00BF1785" w:rsidRPr="00CA46C7">
        <w:rPr>
          <w:szCs w:val="22"/>
          <w:lang w:val="sr-Latn-CS"/>
        </w:rPr>
        <w:t xml:space="preserve"> </w:t>
      </w:r>
      <w:r w:rsidRPr="00CA46C7">
        <w:rPr>
          <w:szCs w:val="22"/>
          <w:lang w:val="sr-Latn-CS"/>
        </w:rPr>
        <w:t>stearat.</w:t>
      </w:r>
    </w:p>
    <w:p w14:paraId="25F7E9A7" w14:textId="77777777" w:rsidR="007661F0" w:rsidRPr="00CA46C7" w:rsidRDefault="007661F0" w:rsidP="00EA0376">
      <w:pPr>
        <w:rPr>
          <w:szCs w:val="22"/>
          <w:lang w:val="sr-Latn-CS"/>
        </w:rPr>
      </w:pPr>
    </w:p>
    <w:p w14:paraId="25F7E9A8" w14:textId="1E0FE644" w:rsidR="007661F0" w:rsidRPr="00CA46C7" w:rsidRDefault="007661F0" w:rsidP="00EA0376">
      <w:pPr>
        <w:rPr>
          <w:b/>
          <w:bCs/>
          <w:szCs w:val="22"/>
          <w:lang w:val="sr-Latn-CS"/>
        </w:rPr>
      </w:pPr>
      <w:r w:rsidRPr="00CA46C7">
        <w:rPr>
          <w:b/>
          <w:bCs/>
          <w:szCs w:val="22"/>
          <w:lang w:val="sr-Latn-CS"/>
        </w:rPr>
        <w:t>6.2. Inkompatibilnost</w:t>
      </w:r>
      <w:r w:rsidR="00BF1785" w:rsidRPr="00CA46C7">
        <w:rPr>
          <w:b/>
          <w:bCs/>
          <w:szCs w:val="22"/>
          <w:lang w:val="sr-Latn-CS"/>
        </w:rPr>
        <w:t>i</w:t>
      </w:r>
    </w:p>
    <w:p w14:paraId="63017579" w14:textId="77777777" w:rsidR="0045544B" w:rsidRPr="00CA46C7" w:rsidRDefault="0045544B" w:rsidP="00EA0376">
      <w:pPr>
        <w:rPr>
          <w:b/>
          <w:bCs/>
          <w:szCs w:val="22"/>
          <w:lang w:val="sr-Latn-CS"/>
        </w:rPr>
      </w:pPr>
    </w:p>
    <w:p w14:paraId="25F7E9A9" w14:textId="7F50B511" w:rsidR="007661F0" w:rsidRPr="00CA46C7" w:rsidRDefault="007661F0" w:rsidP="00EA0376">
      <w:pPr>
        <w:rPr>
          <w:szCs w:val="22"/>
          <w:lang w:val="sr-Latn-CS"/>
        </w:rPr>
      </w:pPr>
      <w:r w:rsidRPr="00CA46C7">
        <w:rPr>
          <w:szCs w:val="22"/>
          <w:lang w:val="sr-Latn-CS"/>
        </w:rPr>
        <w:t>Nije prim</w:t>
      </w:r>
      <w:r w:rsidR="00BF1785" w:rsidRPr="00CA46C7">
        <w:rPr>
          <w:szCs w:val="22"/>
          <w:lang w:val="sr-Latn-CS"/>
        </w:rPr>
        <w:t>j</w:t>
      </w:r>
      <w:r w:rsidRPr="00CA46C7">
        <w:rPr>
          <w:szCs w:val="22"/>
          <w:lang w:val="sr-Latn-CS"/>
        </w:rPr>
        <w:t>enljivo</w:t>
      </w:r>
      <w:r w:rsidR="00675407" w:rsidRPr="00CA46C7">
        <w:rPr>
          <w:szCs w:val="22"/>
          <w:lang w:val="sr-Latn-CS"/>
        </w:rPr>
        <w:t>.</w:t>
      </w:r>
    </w:p>
    <w:p w14:paraId="25F7E9AA" w14:textId="77777777" w:rsidR="007661F0" w:rsidRPr="00CA46C7" w:rsidRDefault="007661F0" w:rsidP="00EA0376">
      <w:pPr>
        <w:rPr>
          <w:szCs w:val="22"/>
          <w:lang w:val="sr-Latn-CS"/>
        </w:rPr>
      </w:pPr>
    </w:p>
    <w:p w14:paraId="25F7E9AB" w14:textId="548680B4" w:rsidR="007661F0" w:rsidRPr="00CA46C7" w:rsidRDefault="007661F0" w:rsidP="00EA0376">
      <w:pPr>
        <w:rPr>
          <w:b/>
          <w:bCs/>
          <w:szCs w:val="22"/>
          <w:lang w:val="sr-Latn-CS"/>
        </w:rPr>
      </w:pPr>
      <w:r w:rsidRPr="00CA46C7">
        <w:rPr>
          <w:b/>
          <w:bCs/>
          <w:szCs w:val="22"/>
          <w:lang w:val="sr-Latn-CS"/>
        </w:rPr>
        <w:t>6.3. Rok upotrebe</w:t>
      </w:r>
    </w:p>
    <w:p w14:paraId="47044D03" w14:textId="77777777" w:rsidR="0045544B" w:rsidRPr="00CA46C7" w:rsidRDefault="0045544B" w:rsidP="00EA0376">
      <w:pPr>
        <w:rPr>
          <w:b/>
          <w:bCs/>
          <w:szCs w:val="22"/>
          <w:lang w:val="sr-Latn-CS"/>
        </w:rPr>
      </w:pPr>
    </w:p>
    <w:p w14:paraId="25F7E9AC" w14:textId="24E5A473" w:rsidR="007661F0" w:rsidRPr="00CA46C7" w:rsidRDefault="007661F0" w:rsidP="00EA0376">
      <w:pPr>
        <w:pStyle w:val="Header"/>
        <w:tabs>
          <w:tab w:val="clear" w:pos="4536"/>
          <w:tab w:val="clear" w:pos="9072"/>
          <w:tab w:val="left" w:pos="284"/>
        </w:tabs>
        <w:rPr>
          <w:szCs w:val="22"/>
          <w:lang w:val="sr-Latn-CS"/>
        </w:rPr>
      </w:pPr>
      <w:r w:rsidRPr="00CA46C7">
        <w:rPr>
          <w:szCs w:val="22"/>
          <w:lang w:val="sr-Latn-CS"/>
        </w:rPr>
        <w:t>5 godina</w:t>
      </w:r>
      <w:r w:rsidR="00D10EC4" w:rsidRPr="00CA46C7">
        <w:rPr>
          <w:szCs w:val="22"/>
          <w:lang w:val="sr-Latn-CS"/>
        </w:rPr>
        <w:t>.</w:t>
      </w:r>
    </w:p>
    <w:p w14:paraId="25F7E9AE" w14:textId="77777777" w:rsidR="007661F0" w:rsidRPr="00CA46C7" w:rsidRDefault="007661F0" w:rsidP="00EA0376">
      <w:pPr>
        <w:rPr>
          <w:szCs w:val="22"/>
          <w:lang w:val="sr-Latn-CS"/>
        </w:rPr>
      </w:pPr>
    </w:p>
    <w:p w14:paraId="25F7E9AF" w14:textId="125BC270" w:rsidR="007661F0" w:rsidRPr="00CA46C7" w:rsidRDefault="007661F0" w:rsidP="00EA0376">
      <w:pPr>
        <w:rPr>
          <w:b/>
          <w:bCs/>
          <w:szCs w:val="22"/>
          <w:lang w:val="sr-Latn-CS"/>
        </w:rPr>
      </w:pPr>
      <w:r w:rsidRPr="00CA46C7">
        <w:rPr>
          <w:b/>
          <w:bCs/>
          <w:szCs w:val="22"/>
          <w:lang w:val="sr-Latn-CS"/>
        </w:rPr>
        <w:t>6.4. Posebne m</w:t>
      </w:r>
      <w:r w:rsidR="00BF1785" w:rsidRPr="00CA46C7">
        <w:rPr>
          <w:b/>
          <w:bCs/>
          <w:szCs w:val="22"/>
          <w:lang w:val="sr-Latn-CS"/>
        </w:rPr>
        <w:t>j</w:t>
      </w:r>
      <w:r w:rsidRPr="00CA46C7">
        <w:rPr>
          <w:b/>
          <w:bCs/>
          <w:szCs w:val="22"/>
          <w:lang w:val="sr-Latn-CS"/>
        </w:rPr>
        <w:t>ere opreza pri čuvanju</w:t>
      </w:r>
      <w:r w:rsidR="00FB697D" w:rsidRPr="00CA46C7">
        <w:rPr>
          <w:b/>
          <w:bCs/>
          <w:szCs w:val="22"/>
          <w:lang w:val="sr-Latn-CS"/>
        </w:rPr>
        <w:t xml:space="preserve"> lijeka</w:t>
      </w:r>
    </w:p>
    <w:p w14:paraId="653F0406" w14:textId="77777777" w:rsidR="0045544B" w:rsidRPr="00CA46C7" w:rsidRDefault="0045544B" w:rsidP="00EA0376">
      <w:pPr>
        <w:rPr>
          <w:b/>
          <w:bCs/>
          <w:szCs w:val="22"/>
          <w:lang w:val="sr-Latn-CS"/>
        </w:rPr>
      </w:pPr>
    </w:p>
    <w:p w14:paraId="25F7E9B0" w14:textId="6988FA70" w:rsidR="007661F0" w:rsidRPr="00CA46C7" w:rsidRDefault="007661F0" w:rsidP="00EA0376">
      <w:pPr>
        <w:rPr>
          <w:szCs w:val="22"/>
          <w:lang w:val="sr-Latn-CS"/>
        </w:rPr>
      </w:pPr>
      <w:r w:rsidRPr="00CA46C7">
        <w:rPr>
          <w:iCs/>
          <w:szCs w:val="22"/>
          <w:lang w:val="sr-Latn-CS"/>
        </w:rPr>
        <w:t>Čuvati na temperaturi do 25°C u originalnom pakovanju</w:t>
      </w:r>
      <w:r w:rsidRPr="005C187F">
        <w:rPr>
          <w:iCs/>
          <w:szCs w:val="22"/>
          <w:lang w:val="sr-Latn-CS"/>
        </w:rPr>
        <w:t>,</w:t>
      </w:r>
      <w:r w:rsidRPr="00CA46C7">
        <w:rPr>
          <w:iCs/>
          <w:szCs w:val="22"/>
          <w:lang w:val="sr-Latn-CS"/>
        </w:rPr>
        <w:t xml:space="preserve"> radi zaštite od sv</w:t>
      </w:r>
      <w:r w:rsidR="00BF1785" w:rsidRPr="00CA46C7">
        <w:rPr>
          <w:iCs/>
          <w:szCs w:val="22"/>
          <w:lang w:val="sr-Latn-CS"/>
        </w:rPr>
        <w:t>j</w:t>
      </w:r>
      <w:r w:rsidRPr="00CA46C7">
        <w:rPr>
          <w:iCs/>
          <w:szCs w:val="22"/>
          <w:lang w:val="sr-Latn-CS"/>
        </w:rPr>
        <w:t>etlosti i vlage</w:t>
      </w:r>
      <w:r w:rsidR="00E31F18" w:rsidRPr="00CA46C7">
        <w:rPr>
          <w:iCs/>
          <w:szCs w:val="22"/>
          <w:lang w:val="sr-Latn-CS"/>
        </w:rPr>
        <w:t>.</w:t>
      </w:r>
    </w:p>
    <w:p w14:paraId="25F7E9B1" w14:textId="77777777" w:rsidR="007661F0" w:rsidRPr="00CA46C7" w:rsidRDefault="007661F0" w:rsidP="00EA0376">
      <w:pPr>
        <w:rPr>
          <w:szCs w:val="22"/>
          <w:lang w:val="sr-Latn-CS"/>
        </w:rPr>
      </w:pPr>
    </w:p>
    <w:p w14:paraId="25F7E9B2" w14:textId="1412A446" w:rsidR="007661F0" w:rsidRPr="00CA46C7" w:rsidRDefault="007661F0" w:rsidP="00EA0376">
      <w:pPr>
        <w:rPr>
          <w:b/>
          <w:szCs w:val="22"/>
          <w:lang w:val="sr-Latn-CS"/>
        </w:rPr>
      </w:pPr>
      <w:r w:rsidRPr="00CA46C7">
        <w:rPr>
          <w:b/>
          <w:bCs/>
          <w:szCs w:val="22"/>
          <w:lang w:val="sr-Latn-CS"/>
        </w:rPr>
        <w:t xml:space="preserve">6.5. </w:t>
      </w:r>
      <w:r w:rsidR="00BF1785" w:rsidRPr="00CA46C7">
        <w:rPr>
          <w:b/>
          <w:szCs w:val="22"/>
          <w:lang w:val="sr-Latn-CS"/>
        </w:rPr>
        <w:t>Vrsta</w:t>
      </w:r>
      <w:r w:rsidRPr="00CA46C7">
        <w:rPr>
          <w:b/>
          <w:szCs w:val="22"/>
          <w:lang w:val="sr-Latn-CS"/>
        </w:rPr>
        <w:t xml:space="preserve"> i sadržaj kontaktne ambalaže</w:t>
      </w:r>
    </w:p>
    <w:p w14:paraId="25F7E9B3" w14:textId="77777777" w:rsidR="007661F0" w:rsidRPr="00CA46C7" w:rsidRDefault="007661F0" w:rsidP="00EA0376">
      <w:pPr>
        <w:rPr>
          <w:b/>
          <w:bCs/>
          <w:szCs w:val="22"/>
          <w:lang w:val="sr-Latn-CS"/>
        </w:rPr>
      </w:pPr>
    </w:p>
    <w:p w14:paraId="25F7E9B4" w14:textId="5E0A02AB" w:rsidR="007661F0" w:rsidRPr="00CA46C7" w:rsidRDefault="007661F0" w:rsidP="00EA0376">
      <w:pPr>
        <w:rPr>
          <w:szCs w:val="22"/>
          <w:lang w:val="sr-Latn-CS"/>
        </w:rPr>
      </w:pPr>
      <w:r w:rsidRPr="00CA46C7">
        <w:rPr>
          <w:szCs w:val="22"/>
          <w:lang w:val="sr-Latn-CS"/>
        </w:rPr>
        <w:t>Unutrašnje pakovanje</w:t>
      </w:r>
      <w:r w:rsidR="00AC0FA0" w:rsidRPr="00CA46C7">
        <w:rPr>
          <w:szCs w:val="22"/>
          <w:lang w:val="sr-Latn-CS"/>
        </w:rPr>
        <w:t xml:space="preserve"> je</w:t>
      </w:r>
      <w:r w:rsidRPr="00CA46C7">
        <w:rPr>
          <w:szCs w:val="22"/>
          <w:lang w:val="sr-Latn-CS"/>
        </w:rPr>
        <w:t xml:space="preserve"> AL/PVC</w:t>
      </w:r>
      <w:r w:rsidR="00DA2CF7" w:rsidRPr="00CA46C7">
        <w:rPr>
          <w:szCs w:val="22"/>
          <w:lang w:val="sr-Latn-CS"/>
        </w:rPr>
        <w:t>/</w:t>
      </w:r>
      <w:r w:rsidRPr="00CA46C7">
        <w:rPr>
          <w:szCs w:val="22"/>
          <w:lang w:val="sr-Latn-CS"/>
        </w:rPr>
        <w:t>PVC blister</w:t>
      </w:r>
      <w:r w:rsidR="000355C7" w:rsidRPr="00CA46C7">
        <w:rPr>
          <w:szCs w:val="22"/>
          <w:lang w:val="sr-Latn-CS"/>
        </w:rPr>
        <w:t>.</w:t>
      </w:r>
    </w:p>
    <w:p w14:paraId="25F7E9B5" w14:textId="46FC7FC4" w:rsidR="007661F0" w:rsidRPr="00CA46C7" w:rsidRDefault="007661F0" w:rsidP="00EA0376">
      <w:pPr>
        <w:rPr>
          <w:szCs w:val="22"/>
          <w:lang w:val="sr-Latn-CS"/>
        </w:rPr>
      </w:pPr>
      <w:r w:rsidRPr="00CA46C7">
        <w:rPr>
          <w:szCs w:val="22"/>
          <w:lang w:val="sr-Latn-CS"/>
        </w:rPr>
        <w:t>Spoljnje pakovanje je složiva kartonska kutija koja sadrži 5 blistera sa po 10 tableta (50 tableta) i Uputstvo za l</w:t>
      </w:r>
      <w:r w:rsidR="00BF1785" w:rsidRPr="00CA46C7">
        <w:rPr>
          <w:szCs w:val="22"/>
          <w:lang w:val="sr-Latn-CS"/>
        </w:rPr>
        <w:t>ij</w:t>
      </w:r>
      <w:r w:rsidRPr="00CA46C7">
        <w:rPr>
          <w:szCs w:val="22"/>
          <w:lang w:val="sr-Latn-CS"/>
        </w:rPr>
        <w:t>ek.</w:t>
      </w:r>
    </w:p>
    <w:p w14:paraId="25F7E9B6" w14:textId="77777777" w:rsidR="007661F0" w:rsidRPr="00CA46C7" w:rsidRDefault="007661F0" w:rsidP="00EA0376">
      <w:pPr>
        <w:rPr>
          <w:szCs w:val="22"/>
          <w:lang w:val="sr-Latn-CS"/>
        </w:rPr>
      </w:pPr>
    </w:p>
    <w:p w14:paraId="25F7E9B7" w14:textId="44464F74" w:rsidR="007661F0" w:rsidRPr="00CA46C7" w:rsidRDefault="007661F0" w:rsidP="00EA0376">
      <w:pPr>
        <w:rPr>
          <w:b/>
          <w:bCs/>
          <w:szCs w:val="22"/>
          <w:lang w:val="sr-Latn-CS"/>
        </w:rPr>
      </w:pPr>
      <w:r w:rsidRPr="00CA46C7">
        <w:rPr>
          <w:b/>
          <w:bCs/>
          <w:szCs w:val="22"/>
          <w:lang w:val="sr-Latn-CS"/>
        </w:rPr>
        <w:t>6.6. Posebne m</w:t>
      </w:r>
      <w:r w:rsidR="00BF1785" w:rsidRPr="00CA46C7">
        <w:rPr>
          <w:b/>
          <w:bCs/>
          <w:szCs w:val="22"/>
          <w:lang w:val="sr-Latn-CS"/>
        </w:rPr>
        <w:t>j</w:t>
      </w:r>
      <w:r w:rsidRPr="00CA46C7">
        <w:rPr>
          <w:b/>
          <w:bCs/>
          <w:szCs w:val="22"/>
          <w:lang w:val="sr-Latn-CS"/>
        </w:rPr>
        <w:t>ere opreza pri odlaganju materijala koji treba odbaciti nakon prim</w:t>
      </w:r>
      <w:r w:rsidR="00BF1785" w:rsidRPr="00CA46C7">
        <w:rPr>
          <w:b/>
          <w:bCs/>
          <w:szCs w:val="22"/>
          <w:lang w:val="sr-Latn-CS"/>
        </w:rPr>
        <w:t>j</w:t>
      </w:r>
      <w:r w:rsidRPr="00CA46C7">
        <w:rPr>
          <w:b/>
          <w:bCs/>
          <w:szCs w:val="22"/>
          <w:lang w:val="sr-Latn-CS"/>
        </w:rPr>
        <w:t>ene l</w:t>
      </w:r>
      <w:r w:rsidR="00BF1785" w:rsidRPr="00CA46C7">
        <w:rPr>
          <w:b/>
          <w:bCs/>
          <w:szCs w:val="22"/>
          <w:lang w:val="sr-Latn-CS"/>
        </w:rPr>
        <w:t>ij</w:t>
      </w:r>
      <w:r w:rsidRPr="00CA46C7">
        <w:rPr>
          <w:b/>
          <w:bCs/>
          <w:szCs w:val="22"/>
          <w:lang w:val="sr-Latn-CS"/>
        </w:rPr>
        <w:t>eka (i druga uputstva za rukovanje l</w:t>
      </w:r>
      <w:r w:rsidR="00BF1785" w:rsidRPr="00CA46C7">
        <w:rPr>
          <w:b/>
          <w:bCs/>
          <w:szCs w:val="22"/>
          <w:lang w:val="sr-Latn-CS"/>
        </w:rPr>
        <w:t>ij</w:t>
      </w:r>
      <w:r w:rsidRPr="00CA46C7">
        <w:rPr>
          <w:b/>
          <w:bCs/>
          <w:szCs w:val="22"/>
          <w:lang w:val="sr-Latn-CS"/>
        </w:rPr>
        <w:t>ekom)</w:t>
      </w:r>
    </w:p>
    <w:p w14:paraId="25F7E9B8" w14:textId="77777777" w:rsidR="007661F0" w:rsidRPr="00B2036A" w:rsidRDefault="007661F0" w:rsidP="00EA0376">
      <w:pPr>
        <w:rPr>
          <w:szCs w:val="22"/>
          <w:lang w:val="sr-Latn-CS"/>
        </w:rPr>
      </w:pPr>
    </w:p>
    <w:p w14:paraId="25F7E9B9" w14:textId="68626EBD" w:rsidR="007661F0" w:rsidRPr="00B2036A" w:rsidRDefault="007661F0" w:rsidP="00EA0376">
      <w:pPr>
        <w:rPr>
          <w:szCs w:val="22"/>
          <w:lang w:val="sr-Latn-RS"/>
        </w:rPr>
      </w:pPr>
      <w:r w:rsidRPr="00B2036A">
        <w:rPr>
          <w:szCs w:val="22"/>
          <w:lang w:val="sr-Latn-RS"/>
        </w:rPr>
        <w:t>Svu neiskorišćenu količinu l</w:t>
      </w:r>
      <w:r w:rsidR="00BF1785">
        <w:rPr>
          <w:szCs w:val="22"/>
          <w:lang w:val="sr-Latn-RS"/>
        </w:rPr>
        <w:t>ij</w:t>
      </w:r>
      <w:r w:rsidRPr="00B2036A">
        <w:rPr>
          <w:szCs w:val="22"/>
          <w:lang w:val="sr-Latn-RS"/>
        </w:rPr>
        <w:t>eka ili otpadnog materijala nakon njegove upotrebe treba ukloniti, u skladu sa važećim propisima.</w:t>
      </w:r>
    </w:p>
    <w:p w14:paraId="6E7D1610" w14:textId="77777777" w:rsidR="00C764A2" w:rsidRDefault="00C764A2" w:rsidP="00EA0376">
      <w:pPr>
        <w:pStyle w:val="NASLOV123"/>
        <w:spacing w:before="0" w:after="0"/>
        <w:jc w:val="both"/>
        <w:rPr>
          <w:lang w:val="sr-Latn-CS"/>
        </w:rPr>
      </w:pPr>
    </w:p>
    <w:p w14:paraId="7543366C" w14:textId="77777777" w:rsidR="00EA0376" w:rsidRDefault="00EA0376" w:rsidP="00EA0376">
      <w:pPr>
        <w:pStyle w:val="NASLOV123"/>
        <w:spacing w:before="0" w:after="0"/>
        <w:jc w:val="both"/>
        <w:rPr>
          <w:lang w:val="sr-Latn-CS"/>
        </w:rPr>
      </w:pPr>
    </w:p>
    <w:p w14:paraId="25F7E9BA" w14:textId="473C7437" w:rsidR="007661F0" w:rsidRDefault="007661F0" w:rsidP="00EA0376">
      <w:pPr>
        <w:pStyle w:val="NASLOV123"/>
        <w:spacing w:before="0" w:after="0"/>
        <w:jc w:val="both"/>
        <w:rPr>
          <w:lang w:val="sr-Latn-CS"/>
        </w:rPr>
      </w:pPr>
      <w:r w:rsidRPr="00B2036A">
        <w:rPr>
          <w:lang w:val="sr-Latn-CS"/>
        </w:rPr>
        <w:t xml:space="preserve">7. NOSILAC DOZVOLE </w:t>
      </w:r>
    </w:p>
    <w:p w14:paraId="5E47324C" w14:textId="77777777" w:rsidR="00EA0376" w:rsidRPr="00B2036A" w:rsidRDefault="00EA0376" w:rsidP="00EA0376">
      <w:pPr>
        <w:pStyle w:val="NASLOV123"/>
        <w:spacing w:before="0" w:after="0"/>
        <w:jc w:val="both"/>
        <w:rPr>
          <w:lang w:val="sr-Latn-CS"/>
        </w:rPr>
      </w:pPr>
    </w:p>
    <w:p w14:paraId="3465579E" w14:textId="762A7284" w:rsidR="00C70FA0" w:rsidRPr="00086A0D" w:rsidRDefault="00C70FA0" w:rsidP="00EA0376">
      <w:pPr>
        <w:tabs>
          <w:tab w:val="clear" w:pos="284"/>
        </w:tabs>
        <w:autoSpaceDE w:val="0"/>
        <w:autoSpaceDN w:val="0"/>
        <w:adjustRightInd w:val="0"/>
        <w:jc w:val="left"/>
        <w:rPr>
          <w:rFonts w:eastAsia="TimesNewRoman,Bold"/>
          <w:b/>
          <w:bCs/>
        </w:rPr>
      </w:pPr>
      <w:r w:rsidRPr="00086A0D">
        <w:rPr>
          <w:rFonts w:eastAsia="TimesNewRoman,Bold"/>
          <w:bCs/>
          <w:szCs w:val="22"/>
        </w:rPr>
        <w:t>G</w:t>
      </w:r>
      <w:r w:rsidR="00BF1785">
        <w:rPr>
          <w:rFonts w:eastAsia="TimesNewRoman,Bold"/>
          <w:bCs/>
          <w:szCs w:val="22"/>
        </w:rPr>
        <w:t>LK pharma d.o.o., ul. Svetozara Markovića, br.46, 81000 Podgorica, Crna Gora</w:t>
      </w:r>
    </w:p>
    <w:p w14:paraId="6BB94A9C" w14:textId="3D2C9DE5" w:rsidR="00C764A2" w:rsidRDefault="00C764A2" w:rsidP="00EA0376">
      <w:pPr>
        <w:pStyle w:val="NASLOV123"/>
        <w:spacing w:before="0" w:after="0"/>
        <w:jc w:val="both"/>
        <w:rPr>
          <w:lang w:val="sr-Latn-CS"/>
        </w:rPr>
      </w:pPr>
    </w:p>
    <w:p w14:paraId="73B23633" w14:textId="77777777" w:rsidR="00EA0376" w:rsidRDefault="00EA0376" w:rsidP="00EA0376">
      <w:pPr>
        <w:pStyle w:val="NASLOV123"/>
        <w:spacing w:before="0" w:after="0"/>
        <w:jc w:val="both"/>
        <w:rPr>
          <w:lang w:val="sr-Latn-CS"/>
        </w:rPr>
      </w:pPr>
    </w:p>
    <w:p w14:paraId="25F7E9BF" w14:textId="2FD9744A" w:rsidR="007661F0" w:rsidRDefault="007661F0" w:rsidP="00EA0376">
      <w:pPr>
        <w:pStyle w:val="NASLOV123"/>
        <w:spacing w:before="0" w:after="0"/>
        <w:jc w:val="both"/>
        <w:rPr>
          <w:lang w:val="sr-Latn-CS"/>
        </w:rPr>
      </w:pPr>
      <w:r w:rsidRPr="00B2036A">
        <w:rPr>
          <w:lang w:val="sr-Latn-CS"/>
        </w:rPr>
        <w:t>8. BROJ DOZVOLE ZA STAVLJANJE L</w:t>
      </w:r>
      <w:r w:rsidR="00BF1785">
        <w:rPr>
          <w:lang w:val="sr-Latn-CS"/>
        </w:rPr>
        <w:t>IJ</w:t>
      </w:r>
      <w:r w:rsidRPr="00B2036A">
        <w:rPr>
          <w:lang w:val="sr-Latn-CS"/>
        </w:rPr>
        <w:t>EKA U PROMET</w:t>
      </w:r>
    </w:p>
    <w:p w14:paraId="444F1240" w14:textId="77777777" w:rsidR="00EA0376" w:rsidRPr="00B2036A" w:rsidRDefault="00EA0376" w:rsidP="00EA0376">
      <w:pPr>
        <w:pStyle w:val="NASLOV123"/>
        <w:spacing w:before="0" w:after="0"/>
        <w:jc w:val="both"/>
        <w:rPr>
          <w:lang w:val="sr-Latn-CS"/>
        </w:rPr>
      </w:pPr>
    </w:p>
    <w:p w14:paraId="25F7E9C0" w14:textId="4CB3620E" w:rsidR="007661F0" w:rsidRPr="00B2036A" w:rsidRDefault="0045544B" w:rsidP="00EA0376">
      <w:pPr>
        <w:rPr>
          <w:szCs w:val="22"/>
          <w:lang w:val="sr-Latn-CS"/>
        </w:rPr>
      </w:pPr>
      <w:r w:rsidRPr="0045544B">
        <w:rPr>
          <w:szCs w:val="22"/>
          <w:lang w:val="sr-Latn-CS"/>
        </w:rPr>
        <w:t>DEXASON®, tableta, 0,5 mg,  blister, 5 x 10 tableta: 2030/15/129 – 1115</w:t>
      </w:r>
    </w:p>
    <w:p w14:paraId="3B5F089A" w14:textId="085A88BC" w:rsidR="00C764A2" w:rsidRDefault="00C764A2" w:rsidP="00EA0376">
      <w:pPr>
        <w:pStyle w:val="NASLOV123"/>
        <w:spacing w:before="0" w:after="0"/>
        <w:jc w:val="both"/>
        <w:rPr>
          <w:lang w:val="sr-Latn-CS"/>
        </w:rPr>
      </w:pPr>
    </w:p>
    <w:p w14:paraId="143C49F3" w14:textId="77777777" w:rsidR="00EA0376" w:rsidRDefault="00EA0376" w:rsidP="00EA0376">
      <w:pPr>
        <w:pStyle w:val="NASLOV123"/>
        <w:spacing w:before="0" w:after="0"/>
        <w:jc w:val="both"/>
        <w:rPr>
          <w:lang w:val="sr-Latn-CS"/>
        </w:rPr>
      </w:pPr>
    </w:p>
    <w:p w14:paraId="25F7E9C1" w14:textId="04443322" w:rsidR="007661F0" w:rsidRDefault="007661F0" w:rsidP="00EA0376">
      <w:pPr>
        <w:pStyle w:val="NASLOV123"/>
        <w:spacing w:before="0" w:after="0"/>
        <w:jc w:val="both"/>
        <w:rPr>
          <w:lang w:val="sr-Latn-CS"/>
        </w:rPr>
      </w:pPr>
      <w:r w:rsidRPr="00B2036A">
        <w:rPr>
          <w:lang w:val="sr-Latn-CS"/>
        </w:rPr>
        <w:t>9. DATUM PRVE DOZVOLE</w:t>
      </w:r>
      <w:r w:rsidR="00BF1785">
        <w:rPr>
          <w:lang w:val="sr-Latn-CS"/>
        </w:rPr>
        <w:t>/</w:t>
      </w:r>
      <w:r w:rsidRPr="00B2036A">
        <w:rPr>
          <w:lang w:val="sr-Latn-CS"/>
        </w:rPr>
        <w:t>OBNOVE DOZVOLE ZA STAVLJANJE L</w:t>
      </w:r>
      <w:r w:rsidR="00BF1785">
        <w:rPr>
          <w:lang w:val="sr-Latn-CS"/>
        </w:rPr>
        <w:t>IJ</w:t>
      </w:r>
      <w:r w:rsidRPr="00B2036A">
        <w:rPr>
          <w:lang w:val="sr-Latn-CS"/>
        </w:rPr>
        <w:t>EKA U PROMET</w:t>
      </w:r>
    </w:p>
    <w:p w14:paraId="476A4112" w14:textId="77777777" w:rsidR="00EA0376" w:rsidRPr="00B2036A" w:rsidRDefault="00EA0376" w:rsidP="00EA0376">
      <w:pPr>
        <w:pStyle w:val="NASLOV123"/>
        <w:spacing w:before="0" w:after="0"/>
        <w:jc w:val="both"/>
        <w:rPr>
          <w:lang w:val="sr-Latn-CS"/>
        </w:rPr>
      </w:pPr>
    </w:p>
    <w:p w14:paraId="2E56AA59" w14:textId="5A4B89A4" w:rsidR="0082434A" w:rsidRPr="005C187F" w:rsidRDefault="0045544B" w:rsidP="00EA0376">
      <w:pPr>
        <w:pStyle w:val="NASLOV123"/>
        <w:spacing w:before="0" w:after="0"/>
        <w:jc w:val="both"/>
        <w:rPr>
          <w:b w:val="0"/>
          <w:lang w:val="sr-Latn-CS"/>
        </w:rPr>
      </w:pPr>
      <w:r w:rsidRPr="005C187F">
        <w:rPr>
          <w:b w:val="0"/>
          <w:lang w:val="sr-Latn-CS"/>
        </w:rPr>
        <w:t>DEXASON®, tableta, 0,5 mg,  blister, 5 x 10 tableta: 06.03.2015. godine</w:t>
      </w:r>
    </w:p>
    <w:p w14:paraId="5F37C398" w14:textId="60AF8360" w:rsidR="00C764A2" w:rsidRDefault="00C764A2" w:rsidP="00EA0376">
      <w:pPr>
        <w:pStyle w:val="NASLOV123"/>
        <w:spacing w:before="0" w:after="0"/>
        <w:jc w:val="both"/>
        <w:rPr>
          <w:lang w:val="sr-Latn-CS"/>
        </w:rPr>
      </w:pPr>
    </w:p>
    <w:p w14:paraId="484FE938" w14:textId="77777777" w:rsidR="00EA0376" w:rsidRDefault="00EA0376" w:rsidP="00EA0376">
      <w:pPr>
        <w:pStyle w:val="NASLOV123"/>
        <w:spacing w:before="0" w:after="0"/>
        <w:jc w:val="both"/>
        <w:rPr>
          <w:lang w:val="sr-Latn-CS"/>
        </w:rPr>
      </w:pPr>
    </w:p>
    <w:p w14:paraId="25F7E9C5" w14:textId="4A3ACB86" w:rsidR="007661F0" w:rsidRDefault="007661F0" w:rsidP="00EA0376">
      <w:pPr>
        <w:pStyle w:val="NASLOV123"/>
        <w:spacing w:before="0" w:after="0"/>
        <w:jc w:val="both"/>
        <w:rPr>
          <w:lang w:val="sr-Latn-CS"/>
        </w:rPr>
      </w:pPr>
      <w:r w:rsidRPr="00B2036A">
        <w:rPr>
          <w:lang w:val="sr-Latn-CS"/>
        </w:rPr>
        <w:t>10. DATUM REVIZIJE TEKSTA</w:t>
      </w:r>
    </w:p>
    <w:p w14:paraId="4C9EACD8" w14:textId="77777777" w:rsidR="00EA0376" w:rsidRPr="00B2036A" w:rsidRDefault="00EA0376" w:rsidP="00EA0376">
      <w:pPr>
        <w:pStyle w:val="NASLOV123"/>
        <w:spacing w:before="0" w:after="0"/>
        <w:jc w:val="both"/>
        <w:rPr>
          <w:lang w:val="sr-Latn-CS"/>
        </w:rPr>
      </w:pPr>
    </w:p>
    <w:p w14:paraId="25F7E9C7" w14:textId="2D30AF12" w:rsidR="007661F0" w:rsidRPr="002C5768" w:rsidRDefault="00185C48" w:rsidP="00EA0376">
      <w:pPr>
        <w:rPr>
          <w:bCs/>
          <w:szCs w:val="22"/>
          <w:lang w:val="sr-Latn-CS"/>
        </w:rPr>
      </w:pPr>
      <w:r>
        <w:rPr>
          <w:bCs/>
          <w:szCs w:val="22"/>
          <w:lang w:val="sr-Latn-CS"/>
        </w:rPr>
        <w:t>Septembar</w:t>
      </w:r>
      <w:r w:rsidR="0045544B">
        <w:rPr>
          <w:bCs/>
          <w:szCs w:val="22"/>
          <w:lang w:val="sr-Latn-CS"/>
        </w:rPr>
        <w:t>, 2023. godine</w:t>
      </w:r>
    </w:p>
    <w:sectPr w:rsidR="007661F0" w:rsidRPr="002C5768" w:rsidSect="005C187F">
      <w:headerReference w:type="even" r:id="rId15"/>
      <w:headerReference w:type="default" r:id="rId16"/>
      <w:footerReference w:type="even" r:id="rId17"/>
      <w:footerReference w:type="default" r:id="rId18"/>
      <w:headerReference w:type="first" r:id="rId19"/>
      <w:pgSz w:w="11907" w:h="16840" w:code="9"/>
      <w:pgMar w:top="1134" w:right="1418" w:bottom="1134" w:left="1418"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3A56F" w14:textId="77777777" w:rsidR="00971EC4" w:rsidRDefault="00971EC4">
      <w:r>
        <w:separator/>
      </w:r>
    </w:p>
  </w:endnote>
  <w:endnote w:type="continuationSeparator" w:id="0">
    <w:p w14:paraId="0EAF8955" w14:textId="77777777" w:rsidR="00971EC4" w:rsidRDefault="0097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E9CC" w14:textId="10BED589" w:rsidR="00A724A4" w:rsidRDefault="00A724A4"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5F7E9CD" w14:textId="77777777" w:rsidR="00A724A4" w:rsidRDefault="00A724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E9CE" w14:textId="168324CA" w:rsidR="00A724A4" w:rsidRPr="0062604B" w:rsidRDefault="00A724A4" w:rsidP="00CE09F3">
    <w:pPr>
      <w:pStyle w:val="Footer"/>
      <w:tabs>
        <w:tab w:val="left" w:pos="5448"/>
      </w:tabs>
      <w:spacing w:before="360"/>
      <w:jc w:val="center"/>
      <w:rPr>
        <w:szCs w:val="22"/>
      </w:rPr>
    </w:pPr>
    <w:r w:rsidRPr="0062604B">
      <w:rPr>
        <w:szCs w:val="22"/>
      </w:rPr>
      <w:fldChar w:fldCharType="begin"/>
    </w:r>
    <w:r w:rsidRPr="0062604B">
      <w:rPr>
        <w:szCs w:val="22"/>
      </w:rPr>
      <w:instrText xml:space="preserve"> PAGE </w:instrText>
    </w:r>
    <w:r w:rsidRPr="0062604B">
      <w:rPr>
        <w:szCs w:val="22"/>
      </w:rPr>
      <w:fldChar w:fldCharType="separate"/>
    </w:r>
    <w:r w:rsidR="00EA0376">
      <w:rPr>
        <w:noProof/>
        <w:szCs w:val="22"/>
      </w:rPr>
      <w:t>7</w:t>
    </w:r>
    <w:r w:rsidRPr="0062604B">
      <w:rPr>
        <w:szCs w:val="22"/>
      </w:rPr>
      <w:fldChar w:fldCharType="end"/>
    </w:r>
    <w:r w:rsidRPr="0062604B">
      <w:rPr>
        <w:szCs w:val="22"/>
      </w:rPr>
      <w:t xml:space="preserve"> / </w:t>
    </w:r>
    <w:r w:rsidRPr="0062604B">
      <w:rPr>
        <w:szCs w:val="22"/>
      </w:rPr>
      <w:fldChar w:fldCharType="begin"/>
    </w:r>
    <w:r w:rsidRPr="0062604B">
      <w:rPr>
        <w:szCs w:val="22"/>
      </w:rPr>
      <w:instrText xml:space="preserve"> NUMPAGES  </w:instrText>
    </w:r>
    <w:r w:rsidRPr="0062604B">
      <w:rPr>
        <w:szCs w:val="22"/>
      </w:rPr>
      <w:fldChar w:fldCharType="separate"/>
    </w:r>
    <w:r w:rsidR="00EA0376">
      <w:rPr>
        <w:noProof/>
        <w:szCs w:val="22"/>
      </w:rPr>
      <w:t>13</w:t>
    </w:r>
    <w:r w:rsidRPr="0062604B">
      <w:rPr>
        <w:szCs w:val="22"/>
      </w:rPr>
      <w:fldChar w:fldCharType="end"/>
    </w:r>
  </w:p>
  <w:p w14:paraId="25F7E9CF" w14:textId="77777777" w:rsidR="00A724A4" w:rsidRPr="00C536C2" w:rsidRDefault="00A724A4"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42B3F" w14:textId="77777777" w:rsidR="00971EC4" w:rsidRDefault="00971EC4">
      <w:r>
        <w:separator/>
      </w:r>
    </w:p>
  </w:footnote>
  <w:footnote w:type="continuationSeparator" w:id="0">
    <w:p w14:paraId="40DE32E6" w14:textId="77777777" w:rsidR="00971EC4" w:rsidRDefault="00971EC4">
      <w:r>
        <w:continuationSeparator/>
      </w:r>
    </w:p>
  </w:footnote>
  <w:footnote w:id="1">
    <w:p w14:paraId="60E77357" w14:textId="691586E4" w:rsidR="00BB1690" w:rsidRPr="005C187F" w:rsidRDefault="00BB1690">
      <w:pPr>
        <w:pStyle w:val="FootnoteText"/>
        <w:rPr>
          <w:lang w:val="sr-Latn-ME"/>
        </w:rPr>
      </w:pPr>
      <w:r>
        <w:rPr>
          <w:rStyle w:val="FootnoteReference"/>
        </w:rPr>
        <w:footnoteRef/>
      </w:r>
      <w:r>
        <w:t xml:space="preserve"> </w:t>
      </w:r>
      <w:r w:rsidRPr="00BB1690">
        <w:t>www.recoverytrial.net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FF344" w14:textId="77777777" w:rsidR="005C187F" w:rsidRDefault="005C1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3B098" w14:textId="77777777" w:rsidR="005C187F" w:rsidRDefault="005C18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EC179" w14:textId="77777777" w:rsidR="005C187F" w:rsidRDefault="005C1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079935CE"/>
    <w:multiLevelType w:val="hybridMultilevel"/>
    <w:tmpl w:val="B10CA77A"/>
    <w:lvl w:ilvl="0" w:tplc="CB82BB10">
      <w:start w:val="1"/>
      <w:numFmt w:val="lowerLetter"/>
      <w:lvlText w:val="%1)"/>
      <w:lvlJc w:val="left"/>
      <w:pPr>
        <w:tabs>
          <w:tab w:val="num" w:pos="720"/>
        </w:tabs>
        <w:ind w:left="720" w:hanging="36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1FEE2581"/>
    <w:multiLevelType w:val="hybridMultilevel"/>
    <w:tmpl w:val="2646A89A"/>
    <w:lvl w:ilvl="0" w:tplc="D30ADCD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4C0BC7"/>
    <w:multiLevelType w:val="hybridMultilevel"/>
    <w:tmpl w:val="EAA8BDC0"/>
    <w:lvl w:ilvl="0" w:tplc="D30ADCD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35D06"/>
    <w:multiLevelType w:val="hybridMultilevel"/>
    <w:tmpl w:val="EF427D12"/>
    <w:lvl w:ilvl="0" w:tplc="D30ADCD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41C6A"/>
    <w:multiLevelType w:val="hybridMultilevel"/>
    <w:tmpl w:val="8F6A4EB6"/>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F90BEF"/>
    <w:multiLevelType w:val="hybridMultilevel"/>
    <w:tmpl w:val="EA18319C"/>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701F0C"/>
    <w:multiLevelType w:val="hybridMultilevel"/>
    <w:tmpl w:val="7A3CC0A6"/>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800149"/>
    <w:multiLevelType w:val="hybridMultilevel"/>
    <w:tmpl w:val="D65AFA00"/>
    <w:lvl w:ilvl="0" w:tplc="D30ADCD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737BAA"/>
    <w:multiLevelType w:val="hybridMultilevel"/>
    <w:tmpl w:val="F6D016E8"/>
    <w:lvl w:ilvl="0" w:tplc="D30ADCD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14CB2"/>
    <w:multiLevelType w:val="hybridMultilevel"/>
    <w:tmpl w:val="206EA5B2"/>
    <w:lvl w:ilvl="0" w:tplc="D30ADCD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7FC165BE"/>
    <w:multiLevelType w:val="hybridMultilevel"/>
    <w:tmpl w:val="C8B2F978"/>
    <w:lvl w:ilvl="0" w:tplc="2D163052">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startOverride w:val="7"/>
    </w:lvlOverride>
  </w:num>
  <w:num w:numId="3">
    <w:abstractNumId w:val="12"/>
  </w:num>
  <w:num w:numId="4">
    <w:abstractNumId w:val="6"/>
  </w:num>
  <w:num w:numId="5">
    <w:abstractNumId w:val="13"/>
  </w:num>
  <w:num w:numId="6">
    <w:abstractNumId w:val="1"/>
  </w:num>
  <w:num w:numId="7">
    <w:abstractNumId w:val="7"/>
  </w:num>
  <w:num w:numId="8">
    <w:abstractNumId w:val="8"/>
  </w:num>
  <w:num w:numId="9">
    <w:abstractNumId w:val="3"/>
  </w:num>
  <w:num w:numId="10">
    <w:abstractNumId w:val="11"/>
  </w:num>
  <w:num w:numId="11">
    <w:abstractNumId w:val="9"/>
  </w:num>
  <w:num w:numId="12">
    <w:abstractNumId w:val="5"/>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6DA"/>
    <w:rsid w:val="00003289"/>
    <w:rsid w:val="00007EF9"/>
    <w:rsid w:val="00010F7D"/>
    <w:rsid w:val="00013033"/>
    <w:rsid w:val="00014B2A"/>
    <w:rsid w:val="00017801"/>
    <w:rsid w:val="00022A19"/>
    <w:rsid w:val="00023A56"/>
    <w:rsid w:val="00024E95"/>
    <w:rsid w:val="00027448"/>
    <w:rsid w:val="00031867"/>
    <w:rsid w:val="000355C7"/>
    <w:rsid w:val="00036329"/>
    <w:rsid w:val="00041F7F"/>
    <w:rsid w:val="0004240F"/>
    <w:rsid w:val="000456C4"/>
    <w:rsid w:val="0005090E"/>
    <w:rsid w:val="0005798D"/>
    <w:rsid w:val="00064273"/>
    <w:rsid w:val="00065819"/>
    <w:rsid w:val="00066333"/>
    <w:rsid w:val="000666A7"/>
    <w:rsid w:val="00071417"/>
    <w:rsid w:val="00083BE0"/>
    <w:rsid w:val="000858E7"/>
    <w:rsid w:val="00086A0D"/>
    <w:rsid w:val="00095FB6"/>
    <w:rsid w:val="0009758B"/>
    <w:rsid w:val="00097BCD"/>
    <w:rsid w:val="000A0F4A"/>
    <w:rsid w:val="000A3FD3"/>
    <w:rsid w:val="000B2620"/>
    <w:rsid w:val="000B63DA"/>
    <w:rsid w:val="000D2B55"/>
    <w:rsid w:val="000D5631"/>
    <w:rsid w:val="000E60CD"/>
    <w:rsid w:val="000E75C0"/>
    <w:rsid w:val="000E7B32"/>
    <w:rsid w:val="00111B10"/>
    <w:rsid w:val="0011272C"/>
    <w:rsid w:val="00114329"/>
    <w:rsid w:val="00135167"/>
    <w:rsid w:val="001363E5"/>
    <w:rsid w:val="00137C31"/>
    <w:rsid w:val="00141639"/>
    <w:rsid w:val="0014180A"/>
    <w:rsid w:val="00147C3D"/>
    <w:rsid w:val="00153EB8"/>
    <w:rsid w:val="00173D18"/>
    <w:rsid w:val="00175772"/>
    <w:rsid w:val="00175A7E"/>
    <w:rsid w:val="00180A2E"/>
    <w:rsid w:val="00185C48"/>
    <w:rsid w:val="0018601D"/>
    <w:rsid w:val="00187207"/>
    <w:rsid w:val="001879E9"/>
    <w:rsid w:val="001930ED"/>
    <w:rsid w:val="00197C57"/>
    <w:rsid w:val="001A6167"/>
    <w:rsid w:val="001B3595"/>
    <w:rsid w:val="001B706A"/>
    <w:rsid w:val="001D10C9"/>
    <w:rsid w:val="001E0A07"/>
    <w:rsid w:val="001E427C"/>
    <w:rsid w:val="001E6145"/>
    <w:rsid w:val="001F2D4E"/>
    <w:rsid w:val="001F39B6"/>
    <w:rsid w:val="001F4629"/>
    <w:rsid w:val="001F5B76"/>
    <w:rsid w:val="001F7C15"/>
    <w:rsid w:val="00205E6B"/>
    <w:rsid w:val="00207665"/>
    <w:rsid w:val="0022218E"/>
    <w:rsid w:val="0022223A"/>
    <w:rsid w:val="00222E4D"/>
    <w:rsid w:val="00224A77"/>
    <w:rsid w:val="00231BAA"/>
    <w:rsid w:val="00234E4D"/>
    <w:rsid w:val="0024132F"/>
    <w:rsid w:val="00242DCD"/>
    <w:rsid w:val="00243CA4"/>
    <w:rsid w:val="0024677E"/>
    <w:rsid w:val="00247C5C"/>
    <w:rsid w:val="00265A7E"/>
    <w:rsid w:val="00273BE0"/>
    <w:rsid w:val="0028020B"/>
    <w:rsid w:val="00286F18"/>
    <w:rsid w:val="0029257B"/>
    <w:rsid w:val="002B606B"/>
    <w:rsid w:val="002B6F6A"/>
    <w:rsid w:val="002C0FBF"/>
    <w:rsid w:val="002C2A8F"/>
    <w:rsid w:val="002C5768"/>
    <w:rsid w:val="002C5BFA"/>
    <w:rsid w:val="002D1441"/>
    <w:rsid w:val="002E3C26"/>
    <w:rsid w:val="002F5E2F"/>
    <w:rsid w:val="00307EAF"/>
    <w:rsid w:val="003168F3"/>
    <w:rsid w:val="00316FC0"/>
    <w:rsid w:val="00336729"/>
    <w:rsid w:val="0034522B"/>
    <w:rsid w:val="00345278"/>
    <w:rsid w:val="003452C0"/>
    <w:rsid w:val="00355623"/>
    <w:rsid w:val="00383195"/>
    <w:rsid w:val="003859F7"/>
    <w:rsid w:val="003904A1"/>
    <w:rsid w:val="003964D9"/>
    <w:rsid w:val="00396C10"/>
    <w:rsid w:val="003A2DF8"/>
    <w:rsid w:val="003A78A4"/>
    <w:rsid w:val="003B1EEC"/>
    <w:rsid w:val="003B2082"/>
    <w:rsid w:val="003B5DED"/>
    <w:rsid w:val="003C18A4"/>
    <w:rsid w:val="003C7E7E"/>
    <w:rsid w:val="003D3CBE"/>
    <w:rsid w:val="003D6549"/>
    <w:rsid w:val="003E3EC7"/>
    <w:rsid w:val="00403A1D"/>
    <w:rsid w:val="00404A5B"/>
    <w:rsid w:val="004073BA"/>
    <w:rsid w:val="004123CD"/>
    <w:rsid w:val="004234ED"/>
    <w:rsid w:val="00427D41"/>
    <w:rsid w:val="00430289"/>
    <w:rsid w:val="00433635"/>
    <w:rsid w:val="004463E6"/>
    <w:rsid w:val="0045544B"/>
    <w:rsid w:val="00462C33"/>
    <w:rsid w:val="004670EB"/>
    <w:rsid w:val="0046773B"/>
    <w:rsid w:val="00472E2B"/>
    <w:rsid w:val="00480834"/>
    <w:rsid w:val="004826C1"/>
    <w:rsid w:val="00492248"/>
    <w:rsid w:val="004966C8"/>
    <w:rsid w:val="00497648"/>
    <w:rsid w:val="004A6564"/>
    <w:rsid w:val="004B1001"/>
    <w:rsid w:val="004B249A"/>
    <w:rsid w:val="004B572C"/>
    <w:rsid w:val="004B5A11"/>
    <w:rsid w:val="004B7A50"/>
    <w:rsid w:val="004C0C32"/>
    <w:rsid w:val="004C0DDA"/>
    <w:rsid w:val="004C1656"/>
    <w:rsid w:val="004C40D0"/>
    <w:rsid w:val="004D0573"/>
    <w:rsid w:val="004D230F"/>
    <w:rsid w:val="004E594F"/>
    <w:rsid w:val="004F031B"/>
    <w:rsid w:val="004F6DC1"/>
    <w:rsid w:val="00500CD4"/>
    <w:rsid w:val="00503974"/>
    <w:rsid w:val="005076F2"/>
    <w:rsid w:val="00507E4E"/>
    <w:rsid w:val="005162EA"/>
    <w:rsid w:val="00520940"/>
    <w:rsid w:val="00521DBE"/>
    <w:rsid w:val="0052230B"/>
    <w:rsid w:val="00522F29"/>
    <w:rsid w:val="00525A8A"/>
    <w:rsid w:val="005276F0"/>
    <w:rsid w:val="00527E8C"/>
    <w:rsid w:val="00530909"/>
    <w:rsid w:val="005370D9"/>
    <w:rsid w:val="0054014B"/>
    <w:rsid w:val="005464E1"/>
    <w:rsid w:val="00551D24"/>
    <w:rsid w:val="00560021"/>
    <w:rsid w:val="005662C7"/>
    <w:rsid w:val="00582D4A"/>
    <w:rsid w:val="005838BB"/>
    <w:rsid w:val="005838D4"/>
    <w:rsid w:val="0058691E"/>
    <w:rsid w:val="005943B4"/>
    <w:rsid w:val="005A3545"/>
    <w:rsid w:val="005A4234"/>
    <w:rsid w:val="005A5E81"/>
    <w:rsid w:val="005B3388"/>
    <w:rsid w:val="005B57E7"/>
    <w:rsid w:val="005C187F"/>
    <w:rsid w:val="005C3F73"/>
    <w:rsid w:val="005C7891"/>
    <w:rsid w:val="005D4C7A"/>
    <w:rsid w:val="005D7DC3"/>
    <w:rsid w:val="005E0816"/>
    <w:rsid w:val="005E359A"/>
    <w:rsid w:val="005F396C"/>
    <w:rsid w:val="00601BF7"/>
    <w:rsid w:val="00603302"/>
    <w:rsid w:val="00604E4F"/>
    <w:rsid w:val="006054EE"/>
    <w:rsid w:val="006118B6"/>
    <w:rsid w:val="006126BD"/>
    <w:rsid w:val="006241B3"/>
    <w:rsid w:val="00625FFC"/>
    <w:rsid w:val="0062604B"/>
    <w:rsid w:val="0062701D"/>
    <w:rsid w:val="006270C0"/>
    <w:rsid w:val="00630195"/>
    <w:rsid w:val="00632C76"/>
    <w:rsid w:val="00637BF4"/>
    <w:rsid w:val="0064548B"/>
    <w:rsid w:val="006559AF"/>
    <w:rsid w:val="00660ED5"/>
    <w:rsid w:val="00675407"/>
    <w:rsid w:val="006838A6"/>
    <w:rsid w:val="00686167"/>
    <w:rsid w:val="00693874"/>
    <w:rsid w:val="00693F46"/>
    <w:rsid w:val="006C7732"/>
    <w:rsid w:val="006E1E37"/>
    <w:rsid w:val="006E26E1"/>
    <w:rsid w:val="006F158F"/>
    <w:rsid w:val="00702A96"/>
    <w:rsid w:val="007342EA"/>
    <w:rsid w:val="00736637"/>
    <w:rsid w:val="00741D0B"/>
    <w:rsid w:val="00744C4F"/>
    <w:rsid w:val="00756B50"/>
    <w:rsid w:val="00764648"/>
    <w:rsid w:val="007661F0"/>
    <w:rsid w:val="007672F3"/>
    <w:rsid w:val="007677A7"/>
    <w:rsid w:val="0077060C"/>
    <w:rsid w:val="007742F7"/>
    <w:rsid w:val="00781196"/>
    <w:rsid w:val="007A0BAD"/>
    <w:rsid w:val="007A1A8D"/>
    <w:rsid w:val="007B004F"/>
    <w:rsid w:val="007B0DEB"/>
    <w:rsid w:val="007B16C4"/>
    <w:rsid w:val="007B2BAB"/>
    <w:rsid w:val="007B3DD5"/>
    <w:rsid w:val="007B617F"/>
    <w:rsid w:val="007B751D"/>
    <w:rsid w:val="007B7E08"/>
    <w:rsid w:val="007C2D7E"/>
    <w:rsid w:val="007D0375"/>
    <w:rsid w:val="007D1039"/>
    <w:rsid w:val="007D17FD"/>
    <w:rsid w:val="007D48C5"/>
    <w:rsid w:val="007D55D6"/>
    <w:rsid w:val="007E06F0"/>
    <w:rsid w:val="007F1B53"/>
    <w:rsid w:val="007F34C1"/>
    <w:rsid w:val="00801C49"/>
    <w:rsid w:val="00802DFC"/>
    <w:rsid w:val="00805AC4"/>
    <w:rsid w:val="00814781"/>
    <w:rsid w:val="0081741E"/>
    <w:rsid w:val="00823F9D"/>
    <w:rsid w:val="0082434A"/>
    <w:rsid w:val="0082521B"/>
    <w:rsid w:val="00827040"/>
    <w:rsid w:val="00834550"/>
    <w:rsid w:val="00834C4C"/>
    <w:rsid w:val="00834DBB"/>
    <w:rsid w:val="00842FFB"/>
    <w:rsid w:val="008477F6"/>
    <w:rsid w:val="00851A65"/>
    <w:rsid w:val="00855193"/>
    <w:rsid w:val="00862581"/>
    <w:rsid w:val="0086351A"/>
    <w:rsid w:val="00864745"/>
    <w:rsid w:val="008709D1"/>
    <w:rsid w:val="00874B61"/>
    <w:rsid w:val="008915BD"/>
    <w:rsid w:val="008969C3"/>
    <w:rsid w:val="008A057A"/>
    <w:rsid w:val="008A48B7"/>
    <w:rsid w:val="008B3EB5"/>
    <w:rsid w:val="008B5CD7"/>
    <w:rsid w:val="008C2243"/>
    <w:rsid w:val="008C5720"/>
    <w:rsid w:val="008C5809"/>
    <w:rsid w:val="008D105F"/>
    <w:rsid w:val="008D133A"/>
    <w:rsid w:val="008D1D57"/>
    <w:rsid w:val="008D78C9"/>
    <w:rsid w:val="008E0FC9"/>
    <w:rsid w:val="008F08E7"/>
    <w:rsid w:val="008F6200"/>
    <w:rsid w:val="009042A4"/>
    <w:rsid w:val="00912B56"/>
    <w:rsid w:val="00913684"/>
    <w:rsid w:val="00923865"/>
    <w:rsid w:val="0093016E"/>
    <w:rsid w:val="00934B4D"/>
    <w:rsid w:val="00942E7F"/>
    <w:rsid w:val="00945DCC"/>
    <w:rsid w:val="00955C75"/>
    <w:rsid w:val="0096511E"/>
    <w:rsid w:val="009672AA"/>
    <w:rsid w:val="009677DF"/>
    <w:rsid w:val="00971EC4"/>
    <w:rsid w:val="00972E49"/>
    <w:rsid w:val="009941DF"/>
    <w:rsid w:val="009946F8"/>
    <w:rsid w:val="00995DCB"/>
    <w:rsid w:val="00996E6B"/>
    <w:rsid w:val="009A1D64"/>
    <w:rsid w:val="009A2DD6"/>
    <w:rsid w:val="009A5C0A"/>
    <w:rsid w:val="009B1292"/>
    <w:rsid w:val="009B2430"/>
    <w:rsid w:val="009B338B"/>
    <w:rsid w:val="009B58AD"/>
    <w:rsid w:val="009B7935"/>
    <w:rsid w:val="009C69B2"/>
    <w:rsid w:val="009C7BA2"/>
    <w:rsid w:val="009D1161"/>
    <w:rsid w:val="009D46B2"/>
    <w:rsid w:val="009D667B"/>
    <w:rsid w:val="009E60DC"/>
    <w:rsid w:val="009E6E26"/>
    <w:rsid w:val="009E7027"/>
    <w:rsid w:val="009F0611"/>
    <w:rsid w:val="009F41EF"/>
    <w:rsid w:val="009F4449"/>
    <w:rsid w:val="009F4CA4"/>
    <w:rsid w:val="009F7030"/>
    <w:rsid w:val="009F76B1"/>
    <w:rsid w:val="00A02252"/>
    <w:rsid w:val="00A07524"/>
    <w:rsid w:val="00A127F1"/>
    <w:rsid w:val="00A1310A"/>
    <w:rsid w:val="00A21628"/>
    <w:rsid w:val="00A25466"/>
    <w:rsid w:val="00A27130"/>
    <w:rsid w:val="00A27521"/>
    <w:rsid w:val="00A3291D"/>
    <w:rsid w:val="00A403CB"/>
    <w:rsid w:val="00A40858"/>
    <w:rsid w:val="00A460B5"/>
    <w:rsid w:val="00A474ED"/>
    <w:rsid w:val="00A554C2"/>
    <w:rsid w:val="00A66459"/>
    <w:rsid w:val="00A7147C"/>
    <w:rsid w:val="00A724A4"/>
    <w:rsid w:val="00A755BF"/>
    <w:rsid w:val="00A7660B"/>
    <w:rsid w:val="00A81B47"/>
    <w:rsid w:val="00A82D02"/>
    <w:rsid w:val="00A86897"/>
    <w:rsid w:val="00A95733"/>
    <w:rsid w:val="00AA3057"/>
    <w:rsid w:val="00AB2AE9"/>
    <w:rsid w:val="00AB5465"/>
    <w:rsid w:val="00AC0FA0"/>
    <w:rsid w:val="00AD2423"/>
    <w:rsid w:val="00AD6EDD"/>
    <w:rsid w:val="00AF28F9"/>
    <w:rsid w:val="00AF4092"/>
    <w:rsid w:val="00B039A3"/>
    <w:rsid w:val="00B13D0F"/>
    <w:rsid w:val="00B2001A"/>
    <w:rsid w:val="00B2036A"/>
    <w:rsid w:val="00B2107E"/>
    <w:rsid w:val="00B2176F"/>
    <w:rsid w:val="00B2255B"/>
    <w:rsid w:val="00B26FAC"/>
    <w:rsid w:val="00B31AA2"/>
    <w:rsid w:val="00B42883"/>
    <w:rsid w:val="00B479C4"/>
    <w:rsid w:val="00B621D6"/>
    <w:rsid w:val="00B71202"/>
    <w:rsid w:val="00B74C0B"/>
    <w:rsid w:val="00B8400D"/>
    <w:rsid w:val="00B85A95"/>
    <w:rsid w:val="00B86690"/>
    <w:rsid w:val="00B93A37"/>
    <w:rsid w:val="00B958C7"/>
    <w:rsid w:val="00BA161E"/>
    <w:rsid w:val="00BA1819"/>
    <w:rsid w:val="00BA5A22"/>
    <w:rsid w:val="00BB147A"/>
    <w:rsid w:val="00BB1690"/>
    <w:rsid w:val="00BB2C24"/>
    <w:rsid w:val="00BB55E5"/>
    <w:rsid w:val="00BC1DFD"/>
    <w:rsid w:val="00BC2EB4"/>
    <w:rsid w:val="00BC4426"/>
    <w:rsid w:val="00BC4D31"/>
    <w:rsid w:val="00BD06BC"/>
    <w:rsid w:val="00BD725A"/>
    <w:rsid w:val="00BF1785"/>
    <w:rsid w:val="00BF3750"/>
    <w:rsid w:val="00BF3D7B"/>
    <w:rsid w:val="00C024DD"/>
    <w:rsid w:val="00C05049"/>
    <w:rsid w:val="00C06244"/>
    <w:rsid w:val="00C11ED3"/>
    <w:rsid w:val="00C27708"/>
    <w:rsid w:val="00C31616"/>
    <w:rsid w:val="00C33A8B"/>
    <w:rsid w:val="00C344A9"/>
    <w:rsid w:val="00C536C2"/>
    <w:rsid w:val="00C55F47"/>
    <w:rsid w:val="00C56CD3"/>
    <w:rsid w:val="00C56E2E"/>
    <w:rsid w:val="00C64A31"/>
    <w:rsid w:val="00C708F1"/>
    <w:rsid w:val="00C70FA0"/>
    <w:rsid w:val="00C7226B"/>
    <w:rsid w:val="00C764A2"/>
    <w:rsid w:val="00C77E75"/>
    <w:rsid w:val="00C82E8B"/>
    <w:rsid w:val="00C96409"/>
    <w:rsid w:val="00CA46C7"/>
    <w:rsid w:val="00CA64ED"/>
    <w:rsid w:val="00CB01F2"/>
    <w:rsid w:val="00CB79D6"/>
    <w:rsid w:val="00CC2941"/>
    <w:rsid w:val="00CC4473"/>
    <w:rsid w:val="00CC4C88"/>
    <w:rsid w:val="00CD0B1F"/>
    <w:rsid w:val="00CD1C6D"/>
    <w:rsid w:val="00CD3EA2"/>
    <w:rsid w:val="00CD3F96"/>
    <w:rsid w:val="00CD4933"/>
    <w:rsid w:val="00CE09F3"/>
    <w:rsid w:val="00CE22D9"/>
    <w:rsid w:val="00CE76DA"/>
    <w:rsid w:val="00CF0996"/>
    <w:rsid w:val="00CF7221"/>
    <w:rsid w:val="00D10EC4"/>
    <w:rsid w:val="00D11E94"/>
    <w:rsid w:val="00D20236"/>
    <w:rsid w:val="00D21471"/>
    <w:rsid w:val="00D23DF8"/>
    <w:rsid w:val="00D26285"/>
    <w:rsid w:val="00D30389"/>
    <w:rsid w:val="00D337F6"/>
    <w:rsid w:val="00D3470A"/>
    <w:rsid w:val="00D37889"/>
    <w:rsid w:val="00D4205B"/>
    <w:rsid w:val="00D43D1E"/>
    <w:rsid w:val="00D44880"/>
    <w:rsid w:val="00D52CDB"/>
    <w:rsid w:val="00D61710"/>
    <w:rsid w:val="00D6611E"/>
    <w:rsid w:val="00D7299F"/>
    <w:rsid w:val="00D85F37"/>
    <w:rsid w:val="00D97B43"/>
    <w:rsid w:val="00DA2CF7"/>
    <w:rsid w:val="00DB09DC"/>
    <w:rsid w:val="00DB31EB"/>
    <w:rsid w:val="00DB3DD1"/>
    <w:rsid w:val="00DB4534"/>
    <w:rsid w:val="00DB6EA8"/>
    <w:rsid w:val="00DC2A82"/>
    <w:rsid w:val="00DD2A82"/>
    <w:rsid w:val="00DD52B4"/>
    <w:rsid w:val="00DD58B8"/>
    <w:rsid w:val="00DE3A04"/>
    <w:rsid w:val="00DF46E4"/>
    <w:rsid w:val="00DF6EDE"/>
    <w:rsid w:val="00E03E65"/>
    <w:rsid w:val="00E04856"/>
    <w:rsid w:val="00E113EC"/>
    <w:rsid w:val="00E31D66"/>
    <w:rsid w:val="00E31F18"/>
    <w:rsid w:val="00E50CD3"/>
    <w:rsid w:val="00E51AEB"/>
    <w:rsid w:val="00E5488B"/>
    <w:rsid w:val="00E56089"/>
    <w:rsid w:val="00E621B3"/>
    <w:rsid w:val="00E7627D"/>
    <w:rsid w:val="00E81CBA"/>
    <w:rsid w:val="00E84398"/>
    <w:rsid w:val="00E85B6D"/>
    <w:rsid w:val="00E86785"/>
    <w:rsid w:val="00E87BE1"/>
    <w:rsid w:val="00EA020F"/>
    <w:rsid w:val="00EA0376"/>
    <w:rsid w:val="00EA1F85"/>
    <w:rsid w:val="00EA2D08"/>
    <w:rsid w:val="00EA5CB5"/>
    <w:rsid w:val="00EC67FD"/>
    <w:rsid w:val="00ED0C25"/>
    <w:rsid w:val="00ED2CA0"/>
    <w:rsid w:val="00ED4585"/>
    <w:rsid w:val="00ED735F"/>
    <w:rsid w:val="00EF76DA"/>
    <w:rsid w:val="00F05906"/>
    <w:rsid w:val="00F279D2"/>
    <w:rsid w:val="00F31CB3"/>
    <w:rsid w:val="00F40BCB"/>
    <w:rsid w:val="00F42610"/>
    <w:rsid w:val="00F451A1"/>
    <w:rsid w:val="00F55F55"/>
    <w:rsid w:val="00F5775F"/>
    <w:rsid w:val="00F630B4"/>
    <w:rsid w:val="00F63F24"/>
    <w:rsid w:val="00F64AE1"/>
    <w:rsid w:val="00F712C5"/>
    <w:rsid w:val="00F72585"/>
    <w:rsid w:val="00F73136"/>
    <w:rsid w:val="00F73A26"/>
    <w:rsid w:val="00F74FFE"/>
    <w:rsid w:val="00F77B6E"/>
    <w:rsid w:val="00F83999"/>
    <w:rsid w:val="00F91C82"/>
    <w:rsid w:val="00F951F9"/>
    <w:rsid w:val="00F95E2F"/>
    <w:rsid w:val="00F96691"/>
    <w:rsid w:val="00FA106A"/>
    <w:rsid w:val="00FA24F5"/>
    <w:rsid w:val="00FA472A"/>
    <w:rsid w:val="00FB24AB"/>
    <w:rsid w:val="00FB475F"/>
    <w:rsid w:val="00FB4A66"/>
    <w:rsid w:val="00FB697D"/>
    <w:rsid w:val="00FC5B8C"/>
    <w:rsid w:val="00FD7D65"/>
    <w:rsid w:val="00FE638F"/>
    <w:rsid w:val="00FF0D13"/>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7E829"/>
  <w15:docId w15:val="{FF5C87B9-FEBE-49CA-952E-3C2DF3F7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97D"/>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838D4"/>
    <w:rPr>
      <w:rFonts w:ascii="Cambria" w:hAnsi="Cambria" w:cs="Times New Roman"/>
      <w:b/>
      <w:bCs/>
      <w:kern w:val="32"/>
      <w:sz w:val="32"/>
      <w:szCs w:val="32"/>
    </w:rPr>
  </w:style>
  <w:style w:type="character" w:customStyle="1" w:styleId="Heading2Char">
    <w:name w:val="Heading 2 Char"/>
    <w:link w:val="Heading2"/>
    <w:uiPriority w:val="99"/>
    <w:semiHidden/>
    <w:locked/>
    <w:rsid w:val="005838D4"/>
    <w:rPr>
      <w:rFonts w:ascii="Cambria" w:hAnsi="Cambria" w:cs="Times New Roman"/>
      <w:b/>
      <w:bCs/>
      <w:i/>
      <w:iCs/>
      <w:sz w:val="28"/>
      <w:szCs w:val="28"/>
    </w:rPr>
  </w:style>
  <w:style w:type="character" w:customStyle="1" w:styleId="Heading3Char">
    <w:name w:val="Heading 3 Char"/>
    <w:link w:val="Heading3"/>
    <w:uiPriority w:val="99"/>
    <w:semiHidden/>
    <w:locked/>
    <w:rsid w:val="005838D4"/>
    <w:rPr>
      <w:rFonts w:ascii="Cambria" w:hAnsi="Cambria" w:cs="Times New Roman"/>
      <w:b/>
      <w:bCs/>
      <w:sz w:val="26"/>
      <w:szCs w:val="26"/>
    </w:rPr>
  </w:style>
  <w:style w:type="character" w:customStyle="1" w:styleId="Heading4Char">
    <w:name w:val="Heading 4 Char"/>
    <w:link w:val="Heading4"/>
    <w:uiPriority w:val="99"/>
    <w:semiHidden/>
    <w:locked/>
    <w:rsid w:val="005838D4"/>
    <w:rPr>
      <w:rFonts w:ascii="Calibri" w:hAnsi="Calibri" w:cs="Times New Roman"/>
      <w:b/>
      <w:bCs/>
      <w:sz w:val="28"/>
      <w:szCs w:val="28"/>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semiHidden/>
    <w:locked/>
    <w:rsid w:val="005838D4"/>
    <w:rPr>
      <w:rFonts w:cs="Times New Roman"/>
      <w:sz w:val="24"/>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locked/>
    <w:rsid w:val="005838D4"/>
    <w:rPr>
      <w:rFonts w:cs="Times New Roman"/>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locked/>
    <w:rsid w:val="005838D4"/>
    <w:rPr>
      <w:rFonts w:cs="Times New Roman"/>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locked/>
    <w:rsid w:val="005838D4"/>
    <w:rPr>
      <w:rFonts w:cs="Times New Roman"/>
      <w:sz w:val="2"/>
    </w:rPr>
  </w:style>
  <w:style w:type="paragraph" w:customStyle="1" w:styleId="NASLOV123">
    <w:name w:val="NASLOV 123"/>
    <w:basedOn w:val="Normal"/>
    <w:uiPriority w:val="99"/>
    <w:rsid w:val="00923865"/>
    <w:pPr>
      <w:spacing w:before="200" w:after="200"/>
      <w:jc w:val="left"/>
    </w:pPr>
    <w:rPr>
      <w:b/>
      <w:szCs w:val="22"/>
    </w:rPr>
  </w:style>
  <w:style w:type="paragraph" w:customStyle="1" w:styleId="Default">
    <w:name w:val="Default"/>
    <w:uiPriority w:val="99"/>
    <w:rsid w:val="0005090E"/>
    <w:pPr>
      <w:autoSpaceDE w:val="0"/>
      <w:autoSpaceDN w:val="0"/>
      <w:adjustRightInd w:val="0"/>
    </w:pPr>
    <w:rPr>
      <w:color w:val="000000"/>
      <w:sz w:val="24"/>
      <w:szCs w:val="24"/>
    </w:rPr>
  </w:style>
  <w:style w:type="paragraph" w:styleId="Revision">
    <w:name w:val="Revision"/>
    <w:hidden/>
    <w:uiPriority w:val="99"/>
    <w:semiHidden/>
    <w:rsid w:val="00153EB8"/>
    <w:rPr>
      <w:sz w:val="22"/>
      <w:szCs w:val="24"/>
    </w:rPr>
  </w:style>
  <w:style w:type="paragraph" w:customStyle="1" w:styleId="footnotedescription">
    <w:name w:val="footnote description"/>
    <w:next w:val="Normal"/>
    <w:link w:val="footnotedescriptionChar"/>
    <w:hidden/>
    <w:rsid w:val="001F7C15"/>
    <w:pPr>
      <w:spacing w:line="259" w:lineRule="auto"/>
    </w:pPr>
    <w:rPr>
      <w:color w:val="000000"/>
      <w:sz w:val="16"/>
      <w:szCs w:val="22"/>
    </w:rPr>
  </w:style>
  <w:style w:type="character" w:customStyle="1" w:styleId="footnotedescriptionChar">
    <w:name w:val="footnote description Char"/>
    <w:link w:val="footnotedescription"/>
    <w:rsid w:val="001F7C15"/>
    <w:rPr>
      <w:color w:val="000000"/>
      <w:sz w:val="16"/>
    </w:rPr>
  </w:style>
  <w:style w:type="character" w:customStyle="1" w:styleId="footnotemark">
    <w:name w:val="footnote mark"/>
    <w:hidden/>
    <w:rsid w:val="001F7C15"/>
    <w:rPr>
      <w:rFonts w:ascii="Times New Roman" w:eastAsia="Times New Roman" w:hAnsi="Times New Roman" w:cs="Times New Roman"/>
      <w:color w:val="000000"/>
      <w:sz w:val="18"/>
      <w:vertAlign w:val="superscript"/>
    </w:rPr>
  </w:style>
  <w:style w:type="table" w:customStyle="1" w:styleId="TableGrid">
    <w:name w:val="TableGrid"/>
    <w:rsid w:val="00686167"/>
    <w:rPr>
      <w:rFonts w:ascii="Calibri" w:hAnsi="Calibri"/>
      <w:sz w:val="22"/>
      <w:szCs w:val="22"/>
    </w:rPr>
    <w:tblPr>
      <w:tblCellMar>
        <w:top w:w="0" w:type="dxa"/>
        <w:left w:w="0" w:type="dxa"/>
        <w:bottom w:w="0" w:type="dxa"/>
        <w:right w:w="0" w:type="dxa"/>
      </w:tblCellMar>
    </w:tblPr>
  </w:style>
  <w:style w:type="character" w:styleId="Hyperlink">
    <w:name w:val="Hyperlink"/>
    <w:uiPriority w:val="99"/>
    <w:unhideWhenUsed/>
    <w:rsid w:val="00632C76"/>
    <w:rPr>
      <w:color w:val="0000FF"/>
      <w:u w:val="single"/>
    </w:rPr>
  </w:style>
  <w:style w:type="character" w:customStyle="1" w:styleId="UnresolvedMention1">
    <w:name w:val="Unresolved Mention1"/>
    <w:uiPriority w:val="99"/>
    <w:semiHidden/>
    <w:unhideWhenUsed/>
    <w:rsid w:val="00632C76"/>
    <w:rPr>
      <w:color w:val="605E5C"/>
      <w:shd w:val="clear" w:color="auto" w:fill="E1DFDD"/>
    </w:rPr>
  </w:style>
  <w:style w:type="paragraph" w:styleId="EndnoteText">
    <w:name w:val="endnote text"/>
    <w:basedOn w:val="Normal"/>
    <w:link w:val="EndnoteTextChar"/>
    <w:uiPriority w:val="99"/>
    <w:semiHidden/>
    <w:unhideWhenUsed/>
    <w:rsid w:val="00BB1690"/>
    <w:rPr>
      <w:sz w:val="20"/>
      <w:szCs w:val="20"/>
    </w:rPr>
  </w:style>
  <w:style w:type="character" w:customStyle="1" w:styleId="EndnoteTextChar">
    <w:name w:val="Endnote Text Char"/>
    <w:link w:val="EndnoteText"/>
    <w:uiPriority w:val="99"/>
    <w:semiHidden/>
    <w:rsid w:val="00BB1690"/>
    <w:rPr>
      <w:lang w:val="en-US" w:eastAsia="en-US"/>
    </w:rPr>
  </w:style>
  <w:style w:type="character" w:styleId="EndnoteReference">
    <w:name w:val="endnote reference"/>
    <w:uiPriority w:val="99"/>
    <w:semiHidden/>
    <w:unhideWhenUsed/>
    <w:rsid w:val="00BB1690"/>
    <w:rPr>
      <w:vertAlign w:val="superscript"/>
    </w:rPr>
  </w:style>
  <w:style w:type="paragraph" w:styleId="FootnoteText">
    <w:name w:val="footnote text"/>
    <w:basedOn w:val="Normal"/>
    <w:link w:val="FootnoteTextChar"/>
    <w:uiPriority w:val="99"/>
    <w:semiHidden/>
    <w:unhideWhenUsed/>
    <w:rsid w:val="00BB1690"/>
    <w:rPr>
      <w:sz w:val="20"/>
      <w:szCs w:val="20"/>
    </w:rPr>
  </w:style>
  <w:style w:type="character" w:customStyle="1" w:styleId="FootnoteTextChar">
    <w:name w:val="Footnote Text Char"/>
    <w:link w:val="FootnoteText"/>
    <w:uiPriority w:val="99"/>
    <w:semiHidden/>
    <w:rsid w:val="00BB1690"/>
    <w:rPr>
      <w:lang w:val="en-US" w:eastAsia="en-US"/>
    </w:rPr>
  </w:style>
  <w:style w:type="character" w:styleId="FootnoteReference">
    <w:name w:val="footnote reference"/>
    <w:uiPriority w:val="99"/>
    <w:semiHidden/>
    <w:unhideWhenUsed/>
    <w:rsid w:val="00BB16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44672">
      <w:marLeft w:val="0"/>
      <w:marRight w:val="0"/>
      <w:marTop w:val="0"/>
      <w:marBottom w:val="0"/>
      <w:divBdr>
        <w:top w:val="none" w:sz="0" w:space="0" w:color="auto"/>
        <w:left w:val="none" w:sz="0" w:space="0" w:color="auto"/>
        <w:bottom w:val="none" w:sz="0" w:space="0" w:color="auto"/>
        <w:right w:val="none" w:sz="0" w:space="0" w:color="auto"/>
      </w:divBdr>
    </w:div>
    <w:div w:id="687486895">
      <w:bodyDiv w:val="1"/>
      <w:marLeft w:val="0"/>
      <w:marRight w:val="0"/>
      <w:marTop w:val="0"/>
      <w:marBottom w:val="0"/>
      <w:divBdr>
        <w:top w:val="none" w:sz="0" w:space="0" w:color="auto"/>
        <w:left w:val="none" w:sz="0" w:space="0" w:color="auto"/>
        <w:bottom w:val="none" w:sz="0" w:space="0" w:color="auto"/>
        <w:right w:val="none" w:sz="0" w:space="0" w:color="auto"/>
      </w:divBdr>
      <w:divsChild>
        <w:div w:id="1135828359">
          <w:marLeft w:val="0"/>
          <w:marRight w:val="0"/>
          <w:marTop w:val="0"/>
          <w:marBottom w:val="0"/>
          <w:divBdr>
            <w:top w:val="none" w:sz="0" w:space="0" w:color="auto"/>
            <w:left w:val="none" w:sz="0" w:space="0" w:color="auto"/>
            <w:bottom w:val="none" w:sz="0" w:space="0" w:color="auto"/>
            <w:right w:val="none" w:sz="0" w:space="0" w:color="auto"/>
          </w:divBdr>
        </w:div>
        <w:div w:id="864292362">
          <w:marLeft w:val="0"/>
          <w:marRight w:val="0"/>
          <w:marTop w:val="0"/>
          <w:marBottom w:val="0"/>
          <w:divBdr>
            <w:top w:val="none" w:sz="0" w:space="0" w:color="auto"/>
            <w:left w:val="none" w:sz="0" w:space="0" w:color="auto"/>
            <w:bottom w:val="none" w:sz="0" w:space="0" w:color="auto"/>
            <w:right w:val="none" w:sz="0" w:space="0" w:color="auto"/>
          </w:divBdr>
        </w:div>
        <w:div w:id="406921269">
          <w:marLeft w:val="0"/>
          <w:marRight w:val="0"/>
          <w:marTop w:val="0"/>
          <w:marBottom w:val="0"/>
          <w:divBdr>
            <w:top w:val="none" w:sz="0" w:space="0" w:color="auto"/>
            <w:left w:val="none" w:sz="0" w:space="0" w:color="auto"/>
            <w:bottom w:val="none" w:sz="0" w:space="0" w:color="auto"/>
            <w:right w:val="none" w:sz="0" w:space="0" w:color="auto"/>
          </w:divBdr>
        </w:div>
      </w:divsChild>
    </w:div>
    <w:div w:id="1146094616">
      <w:bodyDiv w:val="1"/>
      <w:marLeft w:val="0"/>
      <w:marRight w:val="0"/>
      <w:marTop w:val="0"/>
      <w:marBottom w:val="0"/>
      <w:divBdr>
        <w:top w:val="none" w:sz="0" w:space="0" w:color="auto"/>
        <w:left w:val="none" w:sz="0" w:space="0" w:color="auto"/>
        <w:bottom w:val="none" w:sz="0" w:space="0" w:color="auto"/>
        <w:right w:val="none" w:sz="0" w:space="0" w:color="auto"/>
      </w:divBdr>
      <w:divsChild>
        <w:div w:id="1160466043">
          <w:marLeft w:val="0"/>
          <w:marRight w:val="0"/>
          <w:marTop w:val="0"/>
          <w:marBottom w:val="0"/>
          <w:divBdr>
            <w:top w:val="none" w:sz="0" w:space="0" w:color="auto"/>
            <w:left w:val="none" w:sz="0" w:space="0" w:color="auto"/>
            <w:bottom w:val="none" w:sz="0" w:space="0" w:color="auto"/>
            <w:right w:val="none" w:sz="0" w:space="0" w:color="auto"/>
          </w:divBdr>
        </w:div>
        <w:div w:id="1886288098">
          <w:marLeft w:val="0"/>
          <w:marRight w:val="0"/>
          <w:marTop w:val="0"/>
          <w:marBottom w:val="0"/>
          <w:divBdr>
            <w:top w:val="none" w:sz="0" w:space="0" w:color="auto"/>
            <w:left w:val="none" w:sz="0" w:space="0" w:color="auto"/>
            <w:bottom w:val="none" w:sz="0" w:space="0" w:color="auto"/>
            <w:right w:val="none" w:sz="0" w:space="0" w:color="auto"/>
          </w:divBdr>
        </w:div>
        <w:div w:id="828402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rimaryreporting.who-umc.org/M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yperlink" Target="https://www.medrxiv.org/content/10.1101/2020.06.22.20137273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6012C-2CEE-4A12-9F7B-67E3C57D5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2627</TotalTime>
  <Pages>13</Pages>
  <Words>5243</Words>
  <Characters>29891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Tamara Nikezić</cp:lastModifiedBy>
  <cp:revision>209</cp:revision>
  <cp:lastPrinted>2017-08-16T07:24:00Z</cp:lastPrinted>
  <dcterms:created xsi:type="dcterms:W3CDTF">2016-11-17T13:50:00Z</dcterms:created>
  <dcterms:modified xsi:type="dcterms:W3CDTF">2023-09-26T10:50:00Z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2023-09-01T10:27:37Z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ab962dad-9e85-4a5e-b774-24ec4d78a1ff</vt:lpwstr>
  </property>
  <property fmtid="{D5CDD505-2E9C-101B-9397-08002B2CF9AE}" pid="8" name="MSIP_Label_80e91ba7-203e-4ac0-a045-4c37ad0b383b_ContentBits">
    <vt:lpwstr>1</vt:lpwstr>
  </property>
</Properties>
</file>