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6121E" w14:textId="77777777" w:rsidR="002510A5" w:rsidRPr="008A2C89" w:rsidRDefault="002510A5" w:rsidP="002510A5">
      <w:pPr>
        <w:jc w:val="center"/>
        <w:rPr>
          <w:b/>
          <w:bCs/>
          <w:iCs/>
          <w:sz w:val="22"/>
          <w:szCs w:val="22"/>
          <w:u w:val="single"/>
        </w:rPr>
      </w:pPr>
      <w:r w:rsidRPr="008A2C89">
        <w:rPr>
          <w:b/>
          <w:bCs/>
          <w:iCs/>
          <w:sz w:val="22"/>
          <w:szCs w:val="22"/>
          <w:u w:val="single"/>
        </w:rPr>
        <w:t>SAŽETAK KARAKTERISTIKA LIJEKA</w:t>
      </w:r>
    </w:p>
    <w:p w14:paraId="6331F851" w14:textId="77777777" w:rsidR="003C17AB" w:rsidRPr="008A2C89" w:rsidRDefault="003C17AB" w:rsidP="00F5167F">
      <w:pPr>
        <w:tabs>
          <w:tab w:val="left" w:pos="540"/>
          <w:tab w:val="left" w:pos="569"/>
        </w:tabs>
        <w:rPr>
          <w:noProof/>
          <w:sz w:val="22"/>
          <w:szCs w:val="22"/>
          <w:lang w:val="hr-HR"/>
        </w:rPr>
      </w:pPr>
    </w:p>
    <w:p w14:paraId="0F101917" w14:textId="77777777" w:rsidR="00C37FD7" w:rsidRPr="008A2C89" w:rsidRDefault="00C37FD7" w:rsidP="00F5167F">
      <w:pPr>
        <w:tabs>
          <w:tab w:val="left" w:pos="540"/>
          <w:tab w:val="left" w:pos="569"/>
        </w:tabs>
        <w:rPr>
          <w:bCs/>
          <w:sz w:val="22"/>
          <w:szCs w:val="22"/>
        </w:rPr>
      </w:pPr>
    </w:p>
    <w:p w14:paraId="779F3CC7" w14:textId="77777777" w:rsidR="00411B4B" w:rsidRPr="008A2C89" w:rsidRDefault="00411B4B" w:rsidP="00F5167F">
      <w:pPr>
        <w:tabs>
          <w:tab w:val="left" w:pos="540"/>
          <w:tab w:val="left" w:pos="569"/>
        </w:tabs>
        <w:rPr>
          <w:b/>
          <w:bCs/>
          <w:sz w:val="22"/>
          <w:szCs w:val="22"/>
        </w:rPr>
      </w:pPr>
      <w:r w:rsidRPr="008A2C89">
        <w:rPr>
          <w:b/>
          <w:bCs/>
          <w:sz w:val="22"/>
          <w:szCs w:val="22"/>
        </w:rPr>
        <w:t>1.</w:t>
      </w:r>
      <w:r w:rsidR="00F5167F" w:rsidRPr="008A2C89">
        <w:rPr>
          <w:b/>
          <w:bCs/>
          <w:sz w:val="22"/>
          <w:szCs w:val="22"/>
        </w:rPr>
        <w:tab/>
      </w:r>
      <w:r w:rsidR="002846DB" w:rsidRPr="008A2C89">
        <w:rPr>
          <w:b/>
          <w:bCs/>
          <w:sz w:val="22"/>
          <w:szCs w:val="22"/>
        </w:rPr>
        <w:t xml:space="preserve">NAZIV </w:t>
      </w:r>
      <w:r w:rsidRPr="008A2C89">
        <w:rPr>
          <w:b/>
          <w:bCs/>
          <w:sz w:val="22"/>
          <w:szCs w:val="22"/>
        </w:rPr>
        <w:t>LIJEKA</w:t>
      </w:r>
    </w:p>
    <w:p w14:paraId="32EB8BB0" w14:textId="77777777" w:rsidR="00EC2532" w:rsidRPr="008A2C89" w:rsidRDefault="00EC2532">
      <w:pPr>
        <w:rPr>
          <w:sz w:val="22"/>
          <w:szCs w:val="22"/>
          <w:lang w:val="pl-PL"/>
        </w:rPr>
      </w:pPr>
    </w:p>
    <w:p w14:paraId="115AC046" w14:textId="77777777" w:rsidR="00EE0ADA" w:rsidRPr="008A2C89" w:rsidRDefault="00EE0ADA" w:rsidP="00EE0ADA">
      <w:pPr>
        <w:jc w:val="both"/>
        <w:rPr>
          <w:bCs/>
          <w:iCs/>
          <w:sz w:val="22"/>
          <w:szCs w:val="22"/>
          <w:lang w:val="sr-Latn-CS"/>
        </w:rPr>
      </w:pPr>
      <w:r w:rsidRPr="008A2C89">
        <w:rPr>
          <w:bCs/>
          <w:iCs/>
          <w:sz w:val="22"/>
          <w:szCs w:val="22"/>
          <w:lang w:val="sr-Latn-CS"/>
        </w:rPr>
        <w:t>Fulvestrant Pliva</w:t>
      </w:r>
      <w:r w:rsidRPr="008A2C89">
        <w:rPr>
          <w:b/>
          <w:bCs/>
          <w:iCs/>
          <w:sz w:val="22"/>
          <w:szCs w:val="22"/>
          <w:lang w:val="sr-Latn-CS"/>
        </w:rPr>
        <w:t xml:space="preserve">, </w:t>
      </w:r>
      <w:r w:rsidRPr="008A2C89">
        <w:rPr>
          <w:bCs/>
          <w:iCs/>
          <w:sz w:val="22"/>
          <w:szCs w:val="22"/>
          <w:lang w:val="sr-Latn-CS"/>
        </w:rPr>
        <w:t>250 mg/5 ml, rastvor za injekciju u napunjenom injekcionom špricu</w:t>
      </w:r>
    </w:p>
    <w:p w14:paraId="618EEF08" w14:textId="77777777" w:rsidR="00EE0ADA" w:rsidRPr="008A2C89" w:rsidRDefault="00EE0ADA" w:rsidP="00EE0ADA">
      <w:pPr>
        <w:jc w:val="both"/>
        <w:rPr>
          <w:bCs/>
          <w:sz w:val="22"/>
          <w:szCs w:val="22"/>
          <w:lang w:val="sv-SE"/>
        </w:rPr>
      </w:pPr>
    </w:p>
    <w:p w14:paraId="4374E930" w14:textId="77777777" w:rsidR="006D20A5" w:rsidRPr="008A2C89" w:rsidRDefault="006D20A5" w:rsidP="00EE0ADA">
      <w:pPr>
        <w:jc w:val="both"/>
        <w:rPr>
          <w:sz w:val="22"/>
          <w:szCs w:val="22"/>
          <w:lang w:val="sr-Latn-CS"/>
        </w:rPr>
      </w:pPr>
      <w:r w:rsidRPr="008A2C89">
        <w:rPr>
          <w:sz w:val="22"/>
          <w:szCs w:val="22"/>
          <w:lang w:val="sv-SE"/>
        </w:rPr>
        <w:t>INN:</w:t>
      </w:r>
      <w:r w:rsidR="00EE0ADA" w:rsidRPr="008A2C89">
        <w:rPr>
          <w:sz w:val="22"/>
          <w:szCs w:val="22"/>
          <w:lang w:val="sv-SE"/>
        </w:rPr>
        <w:t xml:space="preserve"> fulvestrant</w:t>
      </w:r>
    </w:p>
    <w:p w14:paraId="7722A3C3" w14:textId="77777777" w:rsidR="00530BD7" w:rsidRDefault="00530BD7">
      <w:pPr>
        <w:rPr>
          <w:bCs/>
          <w:sz w:val="22"/>
          <w:szCs w:val="22"/>
          <w:lang w:val="sv-SE"/>
        </w:rPr>
      </w:pPr>
    </w:p>
    <w:p w14:paraId="06F15B11" w14:textId="77777777" w:rsidR="000D24E4" w:rsidRPr="008A2C89" w:rsidRDefault="000D24E4">
      <w:pPr>
        <w:rPr>
          <w:bCs/>
          <w:sz w:val="22"/>
          <w:szCs w:val="22"/>
          <w:lang w:val="sv-SE"/>
        </w:rPr>
      </w:pPr>
    </w:p>
    <w:p w14:paraId="743F4BF4" w14:textId="77777777" w:rsidR="00411B4B" w:rsidRPr="008A2C89" w:rsidRDefault="00411B4B" w:rsidP="00F5167F">
      <w:pPr>
        <w:tabs>
          <w:tab w:val="left" w:pos="540"/>
          <w:tab w:val="left" w:pos="569"/>
        </w:tabs>
        <w:rPr>
          <w:b/>
          <w:bCs/>
          <w:sz w:val="22"/>
          <w:szCs w:val="22"/>
        </w:rPr>
      </w:pPr>
      <w:r w:rsidRPr="008A2C89">
        <w:rPr>
          <w:b/>
          <w:bCs/>
          <w:sz w:val="22"/>
          <w:szCs w:val="22"/>
        </w:rPr>
        <w:t xml:space="preserve">2. </w:t>
      </w:r>
      <w:r w:rsidR="00F5167F" w:rsidRPr="008A2C89">
        <w:rPr>
          <w:b/>
          <w:bCs/>
          <w:sz w:val="22"/>
          <w:szCs w:val="22"/>
        </w:rPr>
        <w:tab/>
      </w:r>
      <w:r w:rsidRPr="008A2C89">
        <w:rPr>
          <w:b/>
          <w:bCs/>
          <w:sz w:val="22"/>
          <w:szCs w:val="22"/>
        </w:rPr>
        <w:t>KVALITATIVNI I KVANTITATIVNI SASTAV</w:t>
      </w:r>
    </w:p>
    <w:p w14:paraId="3B51B2FF" w14:textId="77777777" w:rsidR="00EE0ADA" w:rsidRPr="008A2C89" w:rsidRDefault="00EE0ADA">
      <w:pPr>
        <w:rPr>
          <w:sz w:val="22"/>
          <w:szCs w:val="22"/>
          <w:lang w:val="sr-Latn-CS"/>
        </w:rPr>
      </w:pPr>
    </w:p>
    <w:p w14:paraId="484CB515" w14:textId="77777777" w:rsidR="00EE0ADA" w:rsidRPr="008A2C89" w:rsidRDefault="00EE0ADA" w:rsidP="00EE0ADA">
      <w:pPr>
        <w:rPr>
          <w:sz w:val="22"/>
          <w:szCs w:val="22"/>
          <w:lang w:val="hr-HR"/>
        </w:rPr>
      </w:pPr>
      <w:r w:rsidRPr="008A2C89">
        <w:rPr>
          <w:sz w:val="22"/>
          <w:szCs w:val="22"/>
          <w:lang w:val="hr-HR"/>
        </w:rPr>
        <w:t>Jedan napunjeni injekcioni špric od 5ml sadrži 250 mg fulvestranta.</w:t>
      </w:r>
    </w:p>
    <w:p w14:paraId="41CBB54E" w14:textId="77777777" w:rsidR="00EE0ADA" w:rsidRPr="008A2C89" w:rsidRDefault="00EE0ADA" w:rsidP="00EE0ADA">
      <w:pPr>
        <w:rPr>
          <w:sz w:val="22"/>
          <w:szCs w:val="22"/>
          <w:lang w:val="hr-HR"/>
        </w:rPr>
      </w:pPr>
      <w:r w:rsidRPr="008A2C89">
        <w:rPr>
          <w:sz w:val="22"/>
          <w:szCs w:val="22"/>
          <w:lang w:val="hr-HR"/>
        </w:rPr>
        <w:t xml:space="preserve">Svaki ml sadrži 50mg fulvestranta. </w:t>
      </w:r>
    </w:p>
    <w:p w14:paraId="3EF74089" w14:textId="77777777" w:rsidR="00EE0ADA" w:rsidRPr="008A2C89" w:rsidRDefault="00EE0ADA" w:rsidP="00EE0ADA">
      <w:pPr>
        <w:rPr>
          <w:sz w:val="22"/>
          <w:szCs w:val="22"/>
          <w:lang w:val="hr-HR"/>
        </w:rPr>
      </w:pPr>
    </w:p>
    <w:p w14:paraId="2E73A163" w14:textId="77777777" w:rsidR="00EE0ADA" w:rsidRPr="008A2C89" w:rsidRDefault="00EE0ADA" w:rsidP="00EE0ADA">
      <w:pPr>
        <w:rPr>
          <w:sz w:val="22"/>
          <w:szCs w:val="22"/>
          <w:lang w:val="hr-HR"/>
        </w:rPr>
      </w:pPr>
      <w:r w:rsidRPr="008A2C89">
        <w:rPr>
          <w:sz w:val="22"/>
          <w:szCs w:val="22"/>
          <w:u w:val="single"/>
          <w:lang w:val="hr-HR"/>
        </w:rPr>
        <w:t xml:space="preserve">Pomoćne supstance sa potvrđenim dejstvom: </w:t>
      </w:r>
    </w:p>
    <w:p w14:paraId="25030FBC" w14:textId="77777777" w:rsidR="00EE0ADA" w:rsidRPr="008A2C89" w:rsidRDefault="00EE0ADA" w:rsidP="00EE0ADA">
      <w:pPr>
        <w:rPr>
          <w:sz w:val="22"/>
          <w:szCs w:val="22"/>
          <w:lang w:val="hr-HR"/>
        </w:rPr>
      </w:pPr>
      <w:r w:rsidRPr="008A2C89">
        <w:rPr>
          <w:sz w:val="22"/>
          <w:szCs w:val="22"/>
          <w:lang w:val="hr-HR"/>
        </w:rPr>
        <w:t>Svaki napunjeni injekcioni špric sadrži 474 mg alkohola (etanola) što odgovara 94,8 mg/ml.</w:t>
      </w:r>
    </w:p>
    <w:p w14:paraId="017F5EB1" w14:textId="371C2428" w:rsidR="00EE0ADA" w:rsidRPr="008A2C89" w:rsidRDefault="00EE0ADA" w:rsidP="00EE0ADA">
      <w:pPr>
        <w:rPr>
          <w:sz w:val="22"/>
          <w:szCs w:val="22"/>
          <w:lang w:val="hr-HR"/>
        </w:rPr>
      </w:pPr>
      <w:r w:rsidRPr="008A2C89">
        <w:rPr>
          <w:sz w:val="22"/>
          <w:szCs w:val="22"/>
          <w:lang w:val="hr-HR"/>
        </w:rPr>
        <w:t>Svaki napunjeni injekcioni špric sadrži 500</w:t>
      </w:r>
      <w:r w:rsidR="008F34AA">
        <w:rPr>
          <w:sz w:val="22"/>
          <w:szCs w:val="22"/>
          <w:lang w:val="hr-HR"/>
        </w:rPr>
        <w:t xml:space="preserve"> </w:t>
      </w:r>
      <w:r w:rsidRPr="008A2C89">
        <w:rPr>
          <w:sz w:val="22"/>
          <w:szCs w:val="22"/>
          <w:lang w:val="hr-HR"/>
        </w:rPr>
        <w:t>mg benzil alkohola što odgovara 100 mg/ml.</w:t>
      </w:r>
    </w:p>
    <w:p w14:paraId="0E60530B" w14:textId="06504C06" w:rsidR="00EE0ADA" w:rsidRPr="008A2C89" w:rsidRDefault="00EE0ADA" w:rsidP="00EE0ADA">
      <w:pPr>
        <w:rPr>
          <w:sz w:val="22"/>
          <w:szCs w:val="22"/>
          <w:lang w:val="hr-HR"/>
        </w:rPr>
      </w:pPr>
      <w:r w:rsidRPr="008A2C89">
        <w:rPr>
          <w:sz w:val="22"/>
          <w:szCs w:val="22"/>
          <w:lang w:val="hr-HR"/>
        </w:rPr>
        <w:t>Svaki napunjeni injekcioni špric sadrži 750</w:t>
      </w:r>
      <w:r w:rsidR="008F34AA">
        <w:rPr>
          <w:sz w:val="22"/>
          <w:szCs w:val="22"/>
          <w:lang w:val="hr-HR"/>
        </w:rPr>
        <w:t xml:space="preserve"> </w:t>
      </w:r>
      <w:r w:rsidRPr="008A2C89">
        <w:rPr>
          <w:sz w:val="22"/>
          <w:szCs w:val="22"/>
          <w:lang w:val="hr-HR"/>
        </w:rPr>
        <w:t>mg benzil benzoata što odgovara 150 mg/ml.</w:t>
      </w:r>
    </w:p>
    <w:p w14:paraId="205E7CF4" w14:textId="77777777" w:rsidR="00EE0ADA" w:rsidRPr="008A2C89" w:rsidRDefault="00EE0ADA">
      <w:pPr>
        <w:rPr>
          <w:sz w:val="22"/>
          <w:szCs w:val="22"/>
          <w:lang w:val="sr-Latn-CS"/>
        </w:rPr>
      </w:pPr>
    </w:p>
    <w:p w14:paraId="63EC6535" w14:textId="77777777" w:rsidR="0003793F" w:rsidRPr="008A2C89" w:rsidRDefault="0003793F">
      <w:pPr>
        <w:rPr>
          <w:sz w:val="22"/>
          <w:szCs w:val="22"/>
          <w:lang w:val="sr-Latn-CS"/>
        </w:rPr>
      </w:pPr>
      <w:r w:rsidRPr="008A2C89">
        <w:rPr>
          <w:sz w:val="22"/>
          <w:szCs w:val="22"/>
          <w:lang w:val="sr-Latn-CS"/>
        </w:rPr>
        <w:t>Za spisak svih ekscipijenasa, pogledati dio 6.1.</w:t>
      </w:r>
    </w:p>
    <w:p w14:paraId="7EF38C29" w14:textId="77777777" w:rsidR="0003793F" w:rsidRPr="008A2C89" w:rsidRDefault="0003793F">
      <w:pPr>
        <w:rPr>
          <w:sz w:val="22"/>
          <w:szCs w:val="22"/>
          <w:lang w:val="sr-Latn-CS"/>
        </w:rPr>
      </w:pPr>
    </w:p>
    <w:p w14:paraId="60550A9C" w14:textId="77777777" w:rsidR="00C37FD7" w:rsidRPr="008A2C89" w:rsidRDefault="00C37FD7">
      <w:pPr>
        <w:rPr>
          <w:sz w:val="22"/>
          <w:szCs w:val="22"/>
          <w:lang w:val="sr-Latn-CS"/>
        </w:rPr>
      </w:pPr>
    </w:p>
    <w:p w14:paraId="3984FD7B" w14:textId="77777777" w:rsidR="00411B4B" w:rsidRPr="008A2C89" w:rsidRDefault="00411B4B" w:rsidP="00F5167F">
      <w:pPr>
        <w:tabs>
          <w:tab w:val="left" w:pos="540"/>
          <w:tab w:val="left" w:pos="569"/>
        </w:tabs>
        <w:rPr>
          <w:b/>
          <w:bCs/>
          <w:sz w:val="22"/>
          <w:szCs w:val="22"/>
        </w:rPr>
      </w:pPr>
      <w:r w:rsidRPr="008A2C89">
        <w:rPr>
          <w:b/>
          <w:bCs/>
          <w:sz w:val="22"/>
          <w:szCs w:val="22"/>
        </w:rPr>
        <w:t xml:space="preserve">3. </w:t>
      </w:r>
      <w:r w:rsidR="00F5167F" w:rsidRPr="008A2C89">
        <w:rPr>
          <w:b/>
          <w:bCs/>
          <w:sz w:val="22"/>
          <w:szCs w:val="22"/>
        </w:rPr>
        <w:tab/>
      </w:r>
      <w:r w:rsidRPr="008A2C89">
        <w:rPr>
          <w:b/>
          <w:bCs/>
          <w:sz w:val="22"/>
          <w:szCs w:val="22"/>
        </w:rPr>
        <w:t>FARMACEUTSKI OBLIK</w:t>
      </w:r>
      <w:r w:rsidR="009F2D23" w:rsidRPr="008A2C89">
        <w:rPr>
          <w:b/>
          <w:bCs/>
          <w:sz w:val="22"/>
          <w:szCs w:val="22"/>
        </w:rPr>
        <w:t xml:space="preserve"> </w:t>
      </w:r>
    </w:p>
    <w:p w14:paraId="3DFD265C" w14:textId="77777777" w:rsidR="00EE0ADA" w:rsidRPr="008A2C89" w:rsidRDefault="00EE0ADA" w:rsidP="00F5167F">
      <w:pPr>
        <w:tabs>
          <w:tab w:val="left" w:pos="540"/>
          <w:tab w:val="left" w:pos="569"/>
        </w:tabs>
        <w:rPr>
          <w:b/>
          <w:bCs/>
          <w:sz w:val="22"/>
          <w:szCs w:val="22"/>
        </w:rPr>
      </w:pPr>
    </w:p>
    <w:p w14:paraId="33B5669F" w14:textId="77777777" w:rsidR="00EE0ADA" w:rsidRPr="008A2C89" w:rsidRDefault="00EE0ADA" w:rsidP="00EE0ADA">
      <w:pPr>
        <w:jc w:val="both"/>
        <w:rPr>
          <w:bCs/>
          <w:sz w:val="22"/>
          <w:szCs w:val="22"/>
          <w:lang w:val="sr-Latn-CS"/>
        </w:rPr>
      </w:pPr>
      <w:r w:rsidRPr="008A2C89">
        <w:rPr>
          <w:bCs/>
          <w:sz w:val="22"/>
          <w:szCs w:val="22"/>
          <w:lang w:val="sr-Latn-CS"/>
        </w:rPr>
        <w:t>Rastvor za injekciju u napunjenom injekcionom špricu.</w:t>
      </w:r>
    </w:p>
    <w:p w14:paraId="512EBB60" w14:textId="0857BD82" w:rsidR="00411B4B" w:rsidRPr="008A2C89" w:rsidRDefault="00EE0ADA" w:rsidP="00EE0ADA">
      <w:pPr>
        <w:jc w:val="both"/>
        <w:rPr>
          <w:bCs/>
          <w:sz w:val="22"/>
          <w:szCs w:val="22"/>
          <w:lang w:val="sr-Latn-CS"/>
        </w:rPr>
      </w:pPr>
      <w:r w:rsidRPr="008A2C89">
        <w:rPr>
          <w:bCs/>
          <w:sz w:val="22"/>
          <w:szCs w:val="22"/>
          <w:lang w:val="sr-Latn-CS"/>
        </w:rPr>
        <w:t xml:space="preserve">Bistar, bezbojan do žut, viskozni rastvor. Prije upotrebe treba provjeriti da rastvori za parenteralnu primjenu </w:t>
      </w:r>
      <w:r w:rsidR="000D24E4">
        <w:rPr>
          <w:bCs/>
          <w:sz w:val="22"/>
          <w:szCs w:val="22"/>
          <w:lang w:val="sr-Latn-CS"/>
        </w:rPr>
        <w:t xml:space="preserve">ne </w:t>
      </w:r>
      <w:r w:rsidRPr="008A2C89">
        <w:rPr>
          <w:bCs/>
          <w:sz w:val="22"/>
          <w:szCs w:val="22"/>
          <w:lang w:val="sr-Latn-CS"/>
        </w:rPr>
        <w:t>sadrže vidljive čestice i da li je došlo do promjene boje.</w:t>
      </w:r>
    </w:p>
    <w:p w14:paraId="08D73502" w14:textId="77777777" w:rsidR="00EC2532" w:rsidRDefault="00EC2532">
      <w:pPr>
        <w:rPr>
          <w:bCs/>
          <w:sz w:val="22"/>
          <w:szCs w:val="22"/>
          <w:lang w:val="sr-Latn-CS"/>
        </w:rPr>
      </w:pPr>
    </w:p>
    <w:p w14:paraId="43194D1E" w14:textId="77777777" w:rsidR="000D24E4" w:rsidRPr="008A2C89" w:rsidRDefault="000D24E4">
      <w:pPr>
        <w:rPr>
          <w:bCs/>
          <w:sz w:val="22"/>
          <w:szCs w:val="22"/>
          <w:lang w:val="sr-Latn-CS"/>
        </w:rPr>
      </w:pPr>
    </w:p>
    <w:p w14:paraId="3CB04500" w14:textId="77777777" w:rsidR="00411B4B" w:rsidRPr="008A2C89" w:rsidRDefault="00411B4B" w:rsidP="00F5167F">
      <w:pPr>
        <w:tabs>
          <w:tab w:val="left" w:pos="540"/>
          <w:tab w:val="left" w:pos="569"/>
        </w:tabs>
        <w:rPr>
          <w:b/>
          <w:bCs/>
          <w:sz w:val="22"/>
          <w:szCs w:val="22"/>
        </w:rPr>
      </w:pPr>
      <w:r w:rsidRPr="008A2C89">
        <w:rPr>
          <w:b/>
          <w:bCs/>
          <w:sz w:val="22"/>
          <w:szCs w:val="22"/>
        </w:rPr>
        <w:t xml:space="preserve">4. </w:t>
      </w:r>
      <w:r w:rsidR="00480FB1" w:rsidRPr="008A2C89">
        <w:rPr>
          <w:b/>
          <w:bCs/>
          <w:sz w:val="22"/>
          <w:szCs w:val="22"/>
        </w:rPr>
        <w:tab/>
      </w:r>
      <w:r w:rsidRPr="008A2C89">
        <w:rPr>
          <w:b/>
          <w:bCs/>
          <w:sz w:val="22"/>
          <w:szCs w:val="22"/>
        </w:rPr>
        <w:t>KLINIČKI PODACI</w:t>
      </w:r>
    </w:p>
    <w:p w14:paraId="5153E751" w14:textId="77777777" w:rsidR="00CD6F02" w:rsidRPr="008A2C89" w:rsidRDefault="00CD6F02" w:rsidP="00480FB1">
      <w:pPr>
        <w:tabs>
          <w:tab w:val="left" w:pos="540"/>
          <w:tab w:val="left" w:pos="569"/>
        </w:tabs>
        <w:rPr>
          <w:bCs/>
          <w:sz w:val="22"/>
          <w:szCs w:val="22"/>
        </w:rPr>
      </w:pPr>
    </w:p>
    <w:p w14:paraId="1ADDF1DC" w14:textId="77777777" w:rsidR="00411B4B" w:rsidRPr="008A2C89" w:rsidRDefault="00411B4B" w:rsidP="00480FB1">
      <w:pPr>
        <w:tabs>
          <w:tab w:val="left" w:pos="540"/>
          <w:tab w:val="left" w:pos="569"/>
        </w:tabs>
        <w:rPr>
          <w:b/>
          <w:bCs/>
          <w:sz w:val="22"/>
          <w:szCs w:val="22"/>
        </w:rPr>
      </w:pPr>
      <w:r w:rsidRPr="008A2C89">
        <w:rPr>
          <w:b/>
          <w:bCs/>
          <w:sz w:val="22"/>
          <w:szCs w:val="22"/>
        </w:rPr>
        <w:t xml:space="preserve">4.1. </w:t>
      </w:r>
      <w:r w:rsidR="00480FB1" w:rsidRPr="008A2C89">
        <w:rPr>
          <w:b/>
          <w:bCs/>
          <w:sz w:val="22"/>
          <w:szCs w:val="22"/>
        </w:rPr>
        <w:tab/>
      </w:r>
      <w:r w:rsidRPr="008A2C89">
        <w:rPr>
          <w:b/>
          <w:bCs/>
          <w:sz w:val="22"/>
          <w:szCs w:val="22"/>
        </w:rPr>
        <w:t>Terapijske indikacije</w:t>
      </w:r>
    </w:p>
    <w:p w14:paraId="4F9439D2" w14:textId="77777777" w:rsidR="00EE0ADA" w:rsidRPr="008A2C89" w:rsidRDefault="00EE0ADA" w:rsidP="00480FB1">
      <w:pPr>
        <w:tabs>
          <w:tab w:val="left" w:pos="540"/>
          <w:tab w:val="left" w:pos="569"/>
        </w:tabs>
        <w:rPr>
          <w:b/>
          <w:bCs/>
          <w:sz w:val="22"/>
          <w:szCs w:val="22"/>
        </w:rPr>
      </w:pPr>
    </w:p>
    <w:p w14:paraId="047B1046" w14:textId="77777777" w:rsidR="00EE0ADA" w:rsidRPr="008A2C89" w:rsidRDefault="00EE0ADA" w:rsidP="00EE0ADA">
      <w:pPr>
        <w:autoSpaceDE w:val="0"/>
        <w:autoSpaceDN w:val="0"/>
        <w:adjustRightInd w:val="0"/>
        <w:spacing w:line="259" w:lineRule="auto"/>
        <w:jc w:val="both"/>
        <w:rPr>
          <w:rFonts w:eastAsia="Calibri"/>
          <w:sz w:val="22"/>
          <w:szCs w:val="22"/>
          <w:lang w:val="sr-Latn-CS"/>
        </w:rPr>
      </w:pPr>
      <w:r w:rsidRPr="008A2C89">
        <w:rPr>
          <w:rFonts w:eastAsia="Calibri"/>
          <w:sz w:val="22"/>
          <w:szCs w:val="22"/>
          <w:lang w:val="sr-Latn-CS"/>
        </w:rPr>
        <w:t>Lijek Fulvestrant Pliva je indikovan:</w:t>
      </w:r>
    </w:p>
    <w:p w14:paraId="002BFEE3" w14:textId="77777777" w:rsidR="00EE0ADA" w:rsidRPr="009338F8" w:rsidRDefault="00EE0ADA" w:rsidP="00EE0ADA">
      <w:pPr>
        <w:numPr>
          <w:ilvl w:val="0"/>
          <w:numId w:val="12"/>
        </w:numPr>
        <w:autoSpaceDE w:val="0"/>
        <w:autoSpaceDN w:val="0"/>
        <w:adjustRightInd w:val="0"/>
        <w:spacing w:after="160" w:line="259" w:lineRule="auto"/>
        <w:jc w:val="both"/>
        <w:rPr>
          <w:rFonts w:eastAsia="Calibri"/>
          <w:sz w:val="22"/>
          <w:szCs w:val="22"/>
          <w:lang w:val="sr-Latn-CS"/>
        </w:rPr>
      </w:pPr>
      <w:r w:rsidRPr="009338F8">
        <w:rPr>
          <w:rFonts w:eastAsia="Calibri"/>
          <w:sz w:val="22"/>
          <w:szCs w:val="22"/>
          <w:lang w:val="sr-Latn-CS"/>
        </w:rPr>
        <w:t>Kao monoterapija kod postmenopauzalnih žena sa lokalno uznapredovalim ili metastatskim karcinomom dojke sa pozitivnim estrogenskim receptorima:</w:t>
      </w:r>
    </w:p>
    <w:p w14:paraId="32DDF972" w14:textId="77777777" w:rsidR="00EE0ADA" w:rsidRPr="008A2C89" w:rsidRDefault="00EE0ADA" w:rsidP="00EE0ADA">
      <w:pPr>
        <w:numPr>
          <w:ilvl w:val="0"/>
          <w:numId w:val="13"/>
        </w:numPr>
        <w:autoSpaceDE w:val="0"/>
        <w:autoSpaceDN w:val="0"/>
        <w:adjustRightInd w:val="0"/>
        <w:spacing w:after="160" w:line="259" w:lineRule="auto"/>
        <w:jc w:val="both"/>
        <w:rPr>
          <w:rFonts w:eastAsia="Calibri"/>
          <w:sz w:val="22"/>
          <w:szCs w:val="22"/>
          <w:lang w:val="sr-Latn-CS"/>
        </w:rPr>
      </w:pPr>
      <w:r w:rsidRPr="008A2C89">
        <w:rPr>
          <w:rFonts w:eastAsia="Calibri"/>
          <w:sz w:val="22"/>
          <w:szCs w:val="22"/>
          <w:lang w:val="sr-Latn-CS"/>
        </w:rPr>
        <w:t>koje nijesu prethodno primale endokrinu terapiju, ili</w:t>
      </w:r>
    </w:p>
    <w:p w14:paraId="08B75FFD" w14:textId="77777777" w:rsidR="00EE0ADA" w:rsidRPr="008A2C89" w:rsidRDefault="00EE0ADA" w:rsidP="00EE0ADA">
      <w:pPr>
        <w:numPr>
          <w:ilvl w:val="0"/>
          <w:numId w:val="13"/>
        </w:numPr>
        <w:autoSpaceDE w:val="0"/>
        <w:autoSpaceDN w:val="0"/>
        <w:adjustRightInd w:val="0"/>
        <w:spacing w:after="160" w:line="259" w:lineRule="auto"/>
        <w:jc w:val="both"/>
        <w:rPr>
          <w:rFonts w:eastAsia="Calibri"/>
          <w:sz w:val="22"/>
          <w:szCs w:val="22"/>
          <w:lang w:val="sr-Latn-CS"/>
        </w:rPr>
      </w:pPr>
      <w:r w:rsidRPr="008A2C89">
        <w:rPr>
          <w:rFonts w:eastAsia="Calibri"/>
          <w:sz w:val="22"/>
          <w:szCs w:val="22"/>
          <w:lang w:val="sr-Latn-CS"/>
        </w:rPr>
        <w:t>u slučaju relapsa bolesti tokom ili nakon adjuvantne antiestrogenske terapije, ili progresije bolesti tokom terapije antiestrogenom.</w:t>
      </w:r>
    </w:p>
    <w:p w14:paraId="7DEA190A" w14:textId="77777777" w:rsidR="00EE0ADA" w:rsidRPr="008A2C89" w:rsidRDefault="00EE0ADA" w:rsidP="00EE0ADA">
      <w:pPr>
        <w:numPr>
          <w:ilvl w:val="0"/>
          <w:numId w:val="12"/>
        </w:numPr>
        <w:autoSpaceDE w:val="0"/>
        <w:autoSpaceDN w:val="0"/>
        <w:adjustRightInd w:val="0"/>
        <w:spacing w:after="160" w:line="259" w:lineRule="auto"/>
        <w:jc w:val="both"/>
        <w:rPr>
          <w:rFonts w:eastAsia="Calibri"/>
          <w:sz w:val="22"/>
          <w:szCs w:val="22"/>
          <w:lang w:val="sr-Latn-CS"/>
        </w:rPr>
      </w:pPr>
      <w:r w:rsidRPr="008A2C89">
        <w:rPr>
          <w:rFonts w:eastAsia="Calibri"/>
          <w:sz w:val="22"/>
          <w:szCs w:val="22"/>
          <w:lang w:val="sr-Latn-CS"/>
        </w:rPr>
        <w:t xml:space="preserve">U kombinaciji sa palbociklibom u tretmanu lokalno uznapredovalog ili metastatskog karcinoma dojke pozitivnog na hormonske receptore (HR) i negativnog na receptor 2 humanog epidermalnog faktora rasta (HER-2) kod žena koje su prethodno primale endokrinu terapiju (vidjeti </w:t>
      </w:r>
      <w:r w:rsidR="00E84A37" w:rsidRPr="008A2C89">
        <w:rPr>
          <w:rFonts w:eastAsia="Calibri"/>
          <w:sz w:val="22"/>
          <w:szCs w:val="22"/>
          <w:lang w:val="sr-Latn-CS"/>
        </w:rPr>
        <w:t>dio</w:t>
      </w:r>
      <w:r w:rsidRPr="008A2C89">
        <w:rPr>
          <w:rFonts w:eastAsia="Calibri"/>
          <w:sz w:val="22"/>
          <w:szCs w:val="22"/>
          <w:lang w:val="sr-Latn-CS"/>
        </w:rPr>
        <w:t xml:space="preserve"> 5.1).</w:t>
      </w:r>
    </w:p>
    <w:p w14:paraId="18CF9450" w14:textId="77777777" w:rsidR="00EE0ADA" w:rsidRPr="008A2C89" w:rsidRDefault="00EE0ADA" w:rsidP="000F1A7D">
      <w:pPr>
        <w:tabs>
          <w:tab w:val="left" w:pos="540"/>
          <w:tab w:val="left" w:pos="569"/>
        </w:tabs>
        <w:spacing w:line="259" w:lineRule="auto"/>
        <w:jc w:val="both"/>
        <w:rPr>
          <w:rFonts w:eastAsia="Calibri"/>
          <w:sz w:val="22"/>
          <w:szCs w:val="22"/>
          <w:lang w:val="sr-Latn-CS"/>
        </w:rPr>
      </w:pPr>
      <w:r w:rsidRPr="008A2C89">
        <w:rPr>
          <w:rFonts w:eastAsia="Calibri"/>
          <w:sz w:val="22"/>
          <w:szCs w:val="22"/>
          <w:lang w:val="sr-Latn-CS"/>
        </w:rPr>
        <w:t>Kod pre ili perimenopauzalnih žena, kombinovana terapija sa palbociklibom bi trebalo da se kombinuje sa agonistom hormona koji oslobađa luteinizirajući hormon (</w:t>
      </w:r>
      <w:r w:rsidR="000F1A7D" w:rsidRPr="000F1A7D">
        <w:rPr>
          <w:rFonts w:eastAsia="Calibri"/>
          <w:sz w:val="22"/>
          <w:szCs w:val="22"/>
          <w:lang w:val="sr-Latn-CS"/>
        </w:rPr>
        <w:t xml:space="preserve">engl. </w:t>
      </w:r>
      <w:r w:rsidR="000F1A7D" w:rsidRPr="00AE5D50">
        <w:rPr>
          <w:rFonts w:eastAsia="Calibri"/>
          <w:i/>
          <w:sz w:val="22"/>
          <w:szCs w:val="22"/>
          <w:lang w:val="sr-Latn-CS"/>
        </w:rPr>
        <w:t>Luteinizing hormone releasing hormone</w:t>
      </w:r>
      <w:r w:rsidR="000F1A7D" w:rsidRPr="000F1A7D">
        <w:rPr>
          <w:rFonts w:eastAsia="Calibri"/>
          <w:sz w:val="22"/>
          <w:szCs w:val="22"/>
          <w:lang w:val="sr-Latn-CS"/>
        </w:rPr>
        <w:t>,</w:t>
      </w:r>
      <w:r w:rsidR="000F1A7D">
        <w:rPr>
          <w:rFonts w:eastAsia="Calibri"/>
          <w:sz w:val="22"/>
          <w:szCs w:val="22"/>
          <w:lang w:val="sr-Latn-CS"/>
        </w:rPr>
        <w:t xml:space="preserve"> </w:t>
      </w:r>
      <w:r w:rsidRPr="008A2C89">
        <w:rPr>
          <w:rFonts w:eastAsia="Calibri"/>
          <w:sz w:val="22"/>
          <w:szCs w:val="22"/>
          <w:lang w:val="sr-Latn-CS"/>
        </w:rPr>
        <w:t>LHRH).</w:t>
      </w:r>
    </w:p>
    <w:p w14:paraId="6E798851" w14:textId="77777777" w:rsidR="00411B4B" w:rsidRPr="008A2C89" w:rsidRDefault="00411B4B" w:rsidP="00480FB1">
      <w:pPr>
        <w:tabs>
          <w:tab w:val="left" w:pos="540"/>
          <w:tab w:val="left" w:pos="569"/>
        </w:tabs>
        <w:rPr>
          <w:bCs/>
          <w:sz w:val="22"/>
          <w:szCs w:val="22"/>
        </w:rPr>
      </w:pPr>
    </w:p>
    <w:p w14:paraId="476F81AA" w14:textId="77777777" w:rsidR="00411B4B" w:rsidRPr="008A2C89" w:rsidRDefault="00411B4B" w:rsidP="00480FB1">
      <w:pPr>
        <w:tabs>
          <w:tab w:val="left" w:pos="540"/>
          <w:tab w:val="left" w:pos="569"/>
        </w:tabs>
        <w:rPr>
          <w:b/>
          <w:bCs/>
          <w:sz w:val="22"/>
          <w:szCs w:val="22"/>
        </w:rPr>
      </w:pPr>
      <w:r w:rsidRPr="008A2C89">
        <w:rPr>
          <w:b/>
          <w:bCs/>
          <w:sz w:val="22"/>
          <w:szCs w:val="22"/>
        </w:rPr>
        <w:t xml:space="preserve">4.2. </w:t>
      </w:r>
      <w:r w:rsidR="00480FB1" w:rsidRPr="008A2C89">
        <w:rPr>
          <w:b/>
          <w:bCs/>
          <w:sz w:val="22"/>
          <w:szCs w:val="22"/>
        </w:rPr>
        <w:tab/>
      </w:r>
      <w:r w:rsidRPr="008A2C89">
        <w:rPr>
          <w:b/>
          <w:bCs/>
          <w:sz w:val="22"/>
          <w:szCs w:val="22"/>
        </w:rPr>
        <w:t>Doziranje i način primjene</w:t>
      </w:r>
    </w:p>
    <w:p w14:paraId="1BCE2283" w14:textId="77777777" w:rsidR="0072020E" w:rsidRPr="008A2C89" w:rsidRDefault="0072020E" w:rsidP="00480FB1">
      <w:pPr>
        <w:tabs>
          <w:tab w:val="left" w:pos="540"/>
          <w:tab w:val="left" w:pos="569"/>
        </w:tabs>
        <w:rPr>
          <w:bCs/>
          <w:sz w:val="22"/>
          <w:szCs w:val="22"/>
        </w:rPr>
      </w:pPr>
    </w:p>
    <w:p w14:paraId="4E0EC791" w14:textId="77777777" w:rsidR="00E84A37" w:rsidRPr="008A2C89" w:rsidRDefault="00E84A37" w:rsidP="00E84A37">
      <w:pPr>
        <w:autoSpaceDE w:val="0"/>
        <w:autoSpaceDN w:val="0"/>
        <w:adjustRightInd w:val="0"/>
        <w:spacing w:line="259" w:lineRule="auto"/>
        <w:jc w:val="both"/>
        <w:rPr>
          <w:rFonts w:eastAsia="TimesNewRoman"/>
          <w:color w:val="000000"/>
          <w:sz w:val="22"/>
          <w:szCs w:val="22"/>
          <w:u w:val="single"/>
          <w:lang w:val="hr-HR"/>
        </w:rPr>
      </w:pPr>
      <w:r w:rsidRPr="008A2C89">
        <w:rPr>
          <w:rFonts w:eastAsia="TimesNewRoman"/>
          <w:color w:val="000000"/>
          <w:sz w:val="22"/>
          <w:szCs w:val="22"/>
          <w:u w:val="single"/>
          <w:lang w:val="hr-HR"/>
        </w:rPr>
        <w:t>Doziranje</w:t>
      </w:r>
    </w:p>
    <w:p w14:paraId="280AE68F" w14:textId="77777777" w:rsidR="00E84A37" w:rsidRPr="008A2C89" w:rsidRDefault="00E84A37" w:rsidP="00E84A37">
      <w:pPr>
        <w:autoSpaceDE w:val="0"/>
        <w:autoSpaceDN w:val="0"/>
        <w:adjustRightInd w:val="0"/>
        <w:spacing w:line="259" w:lineRule="auto"/>
        <w:jc w:val="both"/>
        <w:rPr>
          <w:rFonts w:eastAsia="TimesNewRoman,Bold"/>
          <w:i/>
          <w:iCs/>
          <w:color w:val="000000"/>
          <w:sz w:val="22"/>
          <w:szCs w:val="22"/>
          <w:lang w:val="hr-HR"/>
        </w:rPr>
      </w:pPr>
      <w:r w:rsidRPr="008A2C89">
        <w:rPr>
          <w:rFonts w:eastAsia="TimesNewRoman,Bold"/>
          <w:i/>
          <w:iCs/>
          <w:color w:val="000000"/>
          <w:sz w:val="22"/>
          <w:szCs w:val="22"/>
          <w:lang w:val="hr-HR"/>
        </w:rPr>
        <w:t>Odrasle žene (uključujući starije)</w:t>
      </w:r>
    </w:p>
    <w:p w14:paraId="453BD078" w14:textId="77777777" w:rsidR="00E84A37" w:rsidRPr="008A2C89" w:rsidRDefault="00E84A37" w:rsidP="00E84A37">
      <w:pPr>
        <w:autoSpaceDE w:val="0"/>
        <w:autoSpaceDN w:val="0"/>
        <w:adjustRightInd w:val="0"/>
        <w:spacing w:line="259" w:lineRule="auto"/>
        <w:jc w:val="both"/>
        <w:rPr>
          <w:rFonts w:eastAsia="Calibri"/>
          <w:bCs/>
          <w:color w:val="FF0000"/>
          <w:sz w:val="22"/>
          <w:szCs w:val="22"/>
          <w:lang w:val="sr-Latn-CS"/>
        </w:rPr>
      </w:pPr>
      <w:r w:rsidRPr="008A2C89">
        <w:rPr>
          <w:rFonts w:eastAsia="Calibri"/>
          <w:bCs/>
          <w:sz w:val="22"/>
          <w:szCs w:val="22"/>
          <w:lang w:val="sr-Latn-CS"/>
        </w:rPr>
        <w:lastRenderedPageBreak/>
        <w:t>Preporučena doza je 500 mg u razmacima od mjesec dana, uz jednu dodatnu dozu od 500 mg koja se daje dvije nedjelje nakon početne doze.</w:t>
      </w:r>
      <w:r w:rsidRPr="008A2C89">
        <w:rPr>
          <w:rFonts w:eastAsia="Calibri"/>
          <w:color w:val="000000"/>
          <w:sz w:val="22"/>
          <w:szCs w:val="22"/>
          <w:lang w:val="hr-HR"/>
        </w:rPr>
        <w:t xml:space="preserve"> </w:t>
      </w:r>
      <w:r w:rsidRPr="008A2C89">
        <w:rPr>
          <w:rFonts w:eastAsia="Calibri"/>
          <w:bCs/>
          <w:color w:val="FF0000"/>
          <w:sz w:val="22"/>
          <w:szCs w:val="22"/>
          <w:lang w:val="sr-Latn-CS"/>
        </w:rPr>
        <w:t xml:space="preserve"> </w:t>
      </w:r>
    </w:p>
    <w:p w14:paraId="22B9613D" w14:textId="77777777" w:rsidR="00E84A37" w:rsidRPr="008A2C89" w:rsidRDefault="00E84A37" w:rsidP="00E84A37">
      <w:pPr>
        <w:autoSpaceDE w:val="0"/>
        <w:autoSpaceDN w:val="0"/>
        <w:adjustRightInd w:val="0"/>
        <w:spacing w:line="259" w:lineRule="auto"/>
        <w:jc w:val="both"/>
        <w:rPr>
          <w:rFonts w:eastAsia="TimesNewRoman"/>
          <w:color w:val="000000"/>
          <w:sz w:val="22"/>
          <w:szCs w:val="22"/>
          <w:lang w:val="hr-HR"/>
        </w:rPr>
      </w:pPr>
    </w:p>
    <w:p w14:paraId="3CD42C3D" w14:textId="77777777" w:rsidR="00E84A37" w:rsidRPr="00585C79" w:rsidRDefault="00E84A37" w:rsidP="00E84A37">
      <w:pPr>
        <w:autoSpaceDE w:val="0"/>
        <w:autoSpaceDN w:val="0"/>
        <w:adjustRightInd w:val="0"/>
        <w:spacing w:line="259" w:lineRule="auto"/>
        <w:jc w:val="both"/>
        <w:rPr>
          <w:rFonts w:eastAsiaTheme="minorHAnsi"/>
          <w:sz w:val="22"/>
          <w:szCs w:val="22"/>
          <w:lang w:val="hr-HR"/>
        </w:rPr>
      </w:pPr>
      <w:r w:rsidRPr="00585C79">
        <w:rPr>
          <w:rFonts w:eastAsiaTheme="minorHAnsi"/>
          <w:sz w:val="22"/>
          <w:szCs w:val="22"/>
          <w:lang w:val="hr-HR"/>
        </w:rPr>
        <w:t>Kada se lijek fulvestrant primjenjuje u kombinaciji sa palbociklibom, vidjeti i Sažetak karakteristika lijeka za palbociklib.</w:t>
      </w:r>
    </w:p>
    <w:p w14:paraId="32B1FA26" w14:textId="77777777" w:rsidR="00E84A37" w:rsidRPr="00585C79" w:rsidRDefault="00E84A37" w:rsidP="00E84A37">
      <w:pPr>
        <w:autoSpaceDE w:val="0"/>
        <w:autoSpaceDN w:val="0"/>
        <w:adjustRightInd w:val="0"/>
        <w:spacing w:line="259" w:lineRule="auto"/>
        <w:jc w:val="both"/>
        <w:rPr>
          <w:rFonts w:eastAsiaTheme="minorHAnsi"/>
          <w:sz w:val="22"/>
          <w:szCs w:val="22"/>
          <w:lang w:val="hr-HR"/>
        </w:rPr>
      </w:pPr>
      <w:r w:rsidRPr="00585C79">
        <w:rPr>
          <w:rFonts w:eastAsiaTheme="minorHAnsi"/>
          <w:sz w:val="22"/>
          <w:szCs w:val="22"/>
          <w:lang w:val="hr-HR"/>
        </w:rPr>
        <w:t>Prije početka liječenja kombinacijom lijeka Fulvestrant Pliva i palbocikliba, te tokom njegovog trajanja, žene u pre/perimenopauzi treba liječiti agonistima LHRH, u skladu sa lokalnom kliničkom praksom.</w:t>
      </w:r>
    </w:p>
    <w:p w14:paraId="70D66369" w14:textId="77777777" w:rsidR="00E84A37" w:rsidRPr="008A2C89" w:rsidRDefault="00E84A37" w:rsidP="00E84A37">
      <w:pPr>
        <w:autoSpaceDE w:val="0"/>
        <w:autoSpaceDN w:val="0"/>
        <w:adjustRightInd w:val="0"/>
        <w:spacing w:line="259" w:lineRule="auto"/>
        <w:jc w:val="both"/>
        <w:rPr>
          <w:rFonts w:eastAsia="TimesNewRoman"/>
          <w:color w:val="000000"/>
          <w:sz w:val="22"/>
          <w:szCs w:val="22"/>
          <w:lang w:val="hr-HR"/>
        </w:rPr>
      </w:pPr>
    </w:p>
    <w:p w14:paraId="6BB0AAA7" w14:textId="77777777" w:rsidR="00E84A37" w:rsidRPr="008A2C89" w:rsidRDefault="00E84A37" w:rsidP="00E84A37">
      <w:pPr>
        <w:spacing w:line="276" w:lineRule="auto"/>
        <w:jc w:val="both"/>
        <w:rPr>
          <w:rFonts w:eastAsia="Calibri"/>
          <w:bCs/>
          <w:iCs/>
          <w:sz w:val="22"/>
          <w:szCs w:val="22"/>
          <w:u w:val="single"/>
          <w:lang w:val="sr-Latn-CS"/>
        </w:rPr>
      </w:pPr>
      <w:r w:rsidRPr="008A2C89">
        <w:rPr>
          <w:rFonts w:eastAsia="Calibri"/>
          <w:bCs/>
          <w:iCs/>
          <w:sz w:val="22"/>
          <w:szCs w:val="22"/>
          <w:u w:val="single"/>
          <w:lang w:val="sr-Latn-CS"/>
        </w:rPr>
        <w:t>Posebne populacije</w:t>
      </w:r>
    </w:p>
    <w:p w14:paraId="738FBE14" w14:textId="77777777" w:rsidR="00E84A37" w:rsidRPr="008A2C89" w:rsidRDefault="00E84A37" w:rsidP="00E84A37">
      <w:pPr>
        <w:spacing w:line="276" w:lineRule="auto"/>
        <w:jc w:val="both"/>
        <w:rPr>
          <w:rFonts w:eastAsia="Calibri"/>
          <w:bCs/>
          <w:i/>
          <w:iCs/>
          <w:sz w:val="22"/>
          <w:szCs w:val="22"/>
          <w:lang w:val="sr-Latn-CS"/>
        </w:rPr>
      </w:pPr>
      <w:r w:rsidRPr="008A2C89">
        <w:rPr>
          <w:rFonts w:eastAsia="Calibri"/>
          <w:bCs/>
          <w:i/>
          <w:iCs/>
          <w:sz w:val="22"/>
          <w:szCs w:val="22"/>
          <w:lang w:val="sr-Latn-CS"/>
        </w:rPr>
        <w:t>Oštećenje funkcije bubrega:</w:t>
      </w:r>
    </w:p>
    <w:p w14:paraId="6C7BF761" w14:textId="77777777" w:rsidR="00E84A37" w:rsidRPr="008A2C89" w:rsidRDefault="00E84A37" w:rsidP="00E84A37">
      <w:pPr>
        <w:autoSpaceDE w:val="0"/>
        <w:autoSpaceDN w:val="0"/>
        <w:adjustRightInd w:val="0"/>
        <w:spacing w:line="259" w:lineRule="auto"/>
        <w:jc w:val="both"/>
        <w:rPr>
          <w:rFonts w:eastAsia="Calibri"/>
          <w:bCs/>
          <w:color w:val="FF0000"/>
          <w:sz w:val="22"/>
          <w:szCs w:val="22"/>
          <w:lang w:val="sr-Latn-CS"/>
        </w:rPr>
      </w:pPr>
      <w:r w:rsidRPr="008A2C89">
        <w:rPr>
          <w:rFonts w:eastAsia="Calibri"/>
          <w:color w:val="000000"/>
          <w:sz w:val="22"/>
          <w:szCs w:val="22"/>
          <w:lang w:val="hr-HR"/>
        </w:rPr>
        <w:t xml:space="preserve">Ne preporučuje se prilagođavanje doze za pacijentkinje sa blagim do umjerenim oštećenjem bubrežne funkcije (klirens kreatinina ≥ 30 ml/min). Nijesu ispitane bezbjednost primjene i efikasnost kod pacijentkinja sa teškim oštećenjem bubrežne funkcije (klirens kreatinina &lt; 30 ml/min), pa se zato kod tih pacijentkinja preporučuje oprez (vidjeti dio 4.4). </w:t>
      </w:r>
    </w:p>
    <w:p w14:paraId="6ACE36A7" w14:textId="77777777" w:rsidR="00E84A37" w:rsidRPr="008A2C89" w:rsidRDefault="00E84A37" w:rsidP="00E84A37">
      <w:pPr>
        <w:spacing w:line="276" w:lineRule="auto"/>
        <w:jc w:val="both"/>
        <w:rPr>
          <w:rFonts w:eastAsia="Calibri"/>
          <w:bCs/>
          <w:i/>
          <w:iCs/>
          <w:sz w:val="22"/>
          <w:szCs w:val="22"/>
          <w:lang w:val="sr-Latn-CS"/>
        </w:rPr>
      </w:pPr>
    </w:p>
    <w:p w14:paraId="04138C99" w14:textId="77777777" w:rsidR="00E84A37" w:rsidRPr="008A2C89" w:rsidRDefault="00E84A37" w:rsidP="00E84A37">
      <w:pPr>
        <w:spacing w:line="276" w:lineRule="auto"/>
        <w:jc w:val="both"/>
        <w:rPr>
          <w:rFonts w:eastAsia="Calibri"/>
          <w:bCs/>
          <w:i/>
          <w:iCs/>
          <w:sz w:val="22"/>
          <w:szCs w:val="22"/>
          <w:lang w:val="sr-Latn-CS"/>
        </w:rPr>
      </w:pPr>
      <w:r w:rsidRPr="008A2C89">
        <w:rPr>
          <w:rFonts w:eastAsia="Calibri"/>
          <w:bCs/>
          <w:i/>
          <w:iCs/>
          <w:sz w:val="22"/>
          <w:szCs w:val="22"/>
          <w:lang w:val="sr-Latn-CS"/>
        </w:rPr>
        <w:t xml:space="preserve">Oštećenje funkcije jetre: </w:t>
      </w:r>
    </w:p>
    <w:p w14:paraId="7D057AA8"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Ne preporučuje se prilagođavanje doze za pacijentkinje sa blagim do umjerenim oštećenjem funkcije jetre.</w:t>
      </w:r>
    </w:p>
    <w:p w14:paraId="563F7E42"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Međutim, budući da može biti povećana izloženost fulvestrantu, kod tih pacijentkinja lijek Fulvestrant Pliva treba primjenjivati uz oprez. Nema podataka kod pacijentkinja sa teškim oštećenjem funkcije jetre (vidjeti djelove 4.3, 4.4 i 5.2).</w:t>
      </w:r>
    </w:p>
    <w:p w14:paraId="5CDB944C" w14:textId="77777777" w:rsidR="00E84A37" w:rsidRPr="008A2C89" w:rsidRDefault="00E84A37" w:rsidP="00E84A37">
      <w:pPr>
        <w:spacing w:line="276" w:lineRule="auto"/>
        <w:jc w:val="both"/>
        <w:rPr>
          <w:rFonts w:eastAsia="Calibri"/>
          <w:bCs/>
          <w:i/>
          <w:iCs/>
          <w:sz w:val="22"/>
          <w:szCs w:val="22"/>
          <w:u w:val="single"/>
          <w:lang w:val="sr-Latn-CS"/>
        </w:rPr>
      </w:pPr>
    </w:p>
    <w:p w14:paraId="6ED51E25" w14:textId="77777777" w:rsidR="00E84A37" w:rsidRPr="008A2C89" w:rsidRDefault="00E84A37" w:rsidP="00E84A37">
      <w:pPr>
        <w:spacing w:line="276" w:lineRule="auto"/>
        <w:jc w:val="both"/>
        <w:rPr>
          <w:rFonts w:eastAsia="Calibri"/>
          <w:bCs/>
          <w:iCs/>
          <w:sz w:val="22"/>
          <w:szCs w:val="22"/>
          <w:u w:val="single"/>
          <w:lang w:val="sr-Latn-CS"/>
        </w:rPr>
      </w:pPr>
      <w:r w:rsidRPr="008A2C89">
        <w:rPr>
          <w:rFonts w:eastAsia="Calibri"/>
          <w:bCs/>
          <w:iCs/>
          <w:sz w:val="22"/>
          <w:szCs w:val="22"/>
          <w:u w:val="single"/>
          <w:lang w:val="sr-Latn-CS"/>
        </w:rPr>
        <w:t>Pedijatrijska populacija:</w:t>
      </w:r>
    </w:p>
    <w:p w14:paraId="00F258EC" w14:textId="290DE9B0" w:rsidR="00E84A37" w:rsidRPr="008A2C89" w:rsidRDefault="00E84A37" w:rsidP="00E84A37">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Bezbjednost i efikasnost lijeka Fulvestrant Pliva kod djece uzrasta od rođenja do 18 godina nijesu još ustanovljene. Trenutno dostupni podaci opisani su u djelovima 5.1 i 5.2</w:t>
      </w:r>
      <w:r w:rsidR="00817896">
        <w:rPr>
          <w:rFonts w:eastAsia="Calibri"/>
          <w:color w:val="000000"/>
          <w:sz w:val="22"/>
          <w:szCs w:val="22"/>
          <w:lang w:val="hr-HR"/>
        </w:rPr>
        <w:t>,</w:t>
      </w:r>
      <w:r w:rsidRPr="008A2C89">
        <w:rPr>
          <w:rFonts w:eastAsia="Calibri"/>
          <w:color w:val="000000"/>
          <w:sz w:val="22"/>
          <w:szCs w:val="22"/>
          <w:lang w:val="hr-HR"/>
        </w:rPr>
        <w:t xml:space="preserve"> međutim, nije moguće dati preporuku o doziranju.</w:t>
      </w:r>
    </w:p>
    <w:p w14:paraId="6C4A035D" w14:textId="77777777" w:rsidR="00E84A37" w:rsidRPr="008A2C89" w:rsidRDefault="00E84A37" w:rsidP="00E84A37">
      <w:pPr>
        <w:spacing w:line="276" w:lineRule="auto"/>
        <w:jc w:val="both"/>
        <w:rPr>
          <w:rFonts w:eastAsia="Calibri"/>
          <w:bCs/>
          <w:color w:val="FF0000"/>
          <w:sz w:val="22"/>
          <w:szCs w:val="22"/>
          <w:lang w:val="sr-Latn-CS"/>
        </w:rPr>
      </w:pPr>
    </w:p>
    <w:p w14:paraId="6E6FF860" w14:textId="77777777" w:rsidR="00E84A37" w:rsidRPr="008A2C89" w:rsidRDefault="00E84A37" w:rsidP="00E84A37">
      <w:pPr>
        <w:spacing w:line="276" w:lineRule="auto"/>
        <w:jc w:val="both"/>
        <w:rPr>
          <w:rFonts w:eastAsia="Calibri"/>
          <w:bCs/>
          <w:sz w:val="22"/>
          <w:szCs w:val="22"/>
          <w:u w:val="single"/>
          <w:lang w:val="sr-Latn-CS"/>
        </w:rPr>
      </w:pPr>
      <w:r w:rsidRPr="008A2C89">
        <w:rPr>
          <w:rFonts w:eastAsia="Calibri"/>
          <w:bCs/>
          <w:sz w:val="22"/>
          <w:szCs w:val="22"/>
          <w:u w:val="single"/>
          <w:lang w:val="sr-Latn-CS"/>
        </w:rPr>
        <w:t>Način primjene</w:t>
      </w:r>
    </w:p>
    <w:p w14:paraId="58986E57"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 xml:space="preserve">Lijek Fulvestrant Pliva treba primijeniti kao dvije uzastopne injekcije od 5 ml, sporom intramuskularnom injekcijom (1-2 minuta po injekciji), po jednu u svaki mišić </w:t>
      </w:r>
      <w:r w:rsidRPr="009338F8">
        <w:rPr>
          <w:rFonts w:eastAsia="Calibri"/>
          <w:color w:val="000000"/>
          <w:sz w:val="22"/>
          <w:szCs w:val="22"/>
          <w:lang w:val="hr-HR"/>
        </w:rPr>
        <w:t>stražnjice (</w:t>
      </w:r>
      <w:r w:rsidRPr="008A2C89">
        <w:rPr>
          <w:rFonts w:eastAsia="Calibri"/>
          <w:color w:val="000000"/>
          <w:sz w:val="22"/>
          <w:szCs w:val="22"/>
          <w:lang w:val="hr-HR"/>
        </w:rPr>
        <w:t xml:space="preserve">glutealni dio). </w:t>
      </w:r>
    </w:p>
    <w:p w14:paraId="6ACDD5FF"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Zbog blizine išijadičnog živca, potreban je oprez ako se lijek Fulvestrant Pliva primjenjuje na dorzoglutealnom mjestu injiciranja.</w:t>
      </w:r>
    </w:p>
    <w:p w14:paraId="75978208"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 xml:space="preserve">Za detaljna uputstva za primjenu, vidjeti dio 6.6. </w:t>
      </w:r>
    </w:p>
    <w:p w14:paraId="50646A69" w14:textId="77777777" w:rsidR="00452E9D" w:rsidRPr="00585C79" w:rsidRDefault="00452E9D" w:rsidP="00480FB1">
      <w:pPr>
        <w:tabs>
          <w:tab w:val="left" w:pos="540"/>
          <w:tab w:val="left" w:pos="569"/>
        </w:tabs>
        <w:rPr>
          <w:bCs/>
          <w:sz w:val="22"/>
          <w:szCs w:val="22"/>
          <w:lang w:val="hr-HR"/>
        </w:rPr>
      </w:pPr>
    </w:p>
    <w:p w14:paraId="37532193" w14:textId="77777777" w:rsidR="00411B4B" w:rsidRPr="008A2C89" w:rsidRDefault="00411B4B" w:rsidP="00480FB1">
      <w:pPr>
        <w:tabs>
          <w:tab w:val="left" w:pos="540"/>
          <w:tab w:val="left" w:pos="569"/>
        </w:tabs>
        <w:rPr>
          <w:b/>
          <w:bCs/>
          <w:sz w:val="22"/>
          <w:szCs w:val="22"/>
        </w:rPr>
      </w:pPr>
      <w:r w:rsidRPr="008A2C89">
        <w:rPr>
          <w:b/>
          <w:bCs/>
          <w:sz w:val="22"/>
          <w:szCs w:val="22"/>
        </w:rPr>
        <w:t xml:space="preserve">4.3. </w:t>
      </w:r>
      <w:r w:rsidR="00480FB1" w:rsidRPr="008A2C89">
        <w:rPr>
          <w:b/>
          <w:bCs/>
          <w:sz w:val="22"/>
          <w:szCs w:val="22"/>
        </w:rPr>
        <w:tab/>
      </w:r>
      <w:r w:rsidRPr="008A2C89">
        <w:rPr>
          <w:b/>
          <w:bCs/>
          <w:sz w:val="22"/>
          <w:szCs w:val="22"/>
        </w:rPr>
        <w:t>Kontraindikacije</w:t>
      </w:r>
    </w:p>
    <w:p w14:paraId="0B3BDFAB" w14:textId="77777777" w:rsidR="00E84A37" w:rsidRPr="008A2C89" w:rsidRDefault="00E84A37" w:rsidP="00480FB1">
      <w:pPr>
        <w:tabs>
          <w:tab w:val="left" w:pos="540"/>
          <w:tab w:val="left" w:pos="569"/>
        </w:tabs>
        <w:rPr>
          <w:b/>
          <w:bCs/>
          <w:sz w:val="22"/>
          <w:szCs w:val="22"/>
        </w:rPr>
      </w:pPr>
    </w:p>
    <w:p w14:paraId="13005FBE" w14:textId="77777777" w:rsidR="00E84A37" w:rsidRPr="008A2C89" w:rsidRDefault="00E84A37" w:rsidP="00E84A37">
      <w:pPr>
        <w:autoSpaceDE w:val="0"/>
        <w:autoSpaceDN w:val="0"/>
        <w:adjustRightInd w:val="0"/>
        <w:spacing w:line="259" w:lineRule="auto"/>
        <w:jc w:val="both"/>
        <w:rPr>
          <w:rFonts w:eastAsia="Calibri"/>
          <w:bCs/>
          <w:sz w:val="22"/>
          <w:szCs w:val="22"/>
          <w:lang w:val="sr-Latn-CS"/>
        </w:rPr>
      </w:pPr>
      <w:r w:rsidRPr="008A2C89">
        <w:rPr>
          <w:rFonts w:eastAsia="Calibri"/>
          <w:bCs/>
          <w:sz w:val="22"/>
          <w:szCs w:val="22"/>
          <w:lang w:val="sr-Latn-CS"/>
        </w:rPr>
        <w:t xml:space="preserve">Preosjetljivost na aktivnu supstancu ili na bilo koju pomoćnu supstancu navedenu u dijelu 6.1.                                      Trudnoća i dojenje (vidjeti dio 4.6). </w:t>
      </w:r>
    </w:p>
    <w:p w14:paraId="1065AD7B" w14:textId="77777777" w:rsidR="00E84A37" w:rsidRPr="008A2C89" w:rsidRDefault="00E84A37" w:rsidP="00E84A37">
      <w:pPr>
        <w:autoSpaceDE w:val="0"/>
        <w:autoSpaceDN w:val="0"/>
        <w:adjustRightInd w:val="0"/>
        <w:spacing w:line="259" w:lineRule="auto"/>
        <w:jc w:val="both"/>
        <w:rPr>
          <w:rFonts w:eastAsia="Calibri"/>
          <w:bCs/>
          <w:sz w:val="22"/>
          <w:szCs w:val="22"/>
          <w:lang w:val="sr-Latn-CS"/>
        </w:rPr>
      </w:pPr>
      <w:r w:rsidRPr="008A2C89">
        <w:rPr>
          <w:rFonts w:eastAsia="Calibri"/>
          <w:bCs/>
          <w:sz w:val="22"/>
          <w:szCs w:val="22"/>
          <w:lang w:val="sr-Latn-CS"/>
        </w:rPr>
        <w:t>Teško oštećenje funkcije jetre (vidjeti djelove 4.4 i 5.2).</w:t>
      </w:r>
    </w:p>
    <w:p w14:paraId="27BCF6AA" w14:textId="77777777" w:rsidR="0072020E" w:rsidRPr="00585C79" w:rsidRDefault="0072020E" w:rsidP="00480FB1">
      <w:pPr>
        <w:tabs>
          <w:tab w:val="left" w:pos="540"/>
          <w:tab w:val="left" w:pos="569"/>
        </w:tabs>
        <w:rPr>
          <w:bCs/>
          <w:sz w:val="22"/>
          <w:szCs w:val="22"/>
          <w:lang w:val="sr-Latn-CS"/>
        </w:rPr>
      </w:pPr>
    </w:p>
    <w:p w14:paraId="174FAD54" w14:textId="77777777" w:rsidR="00411B4B" w:rsidRPr="00585C79" w:rsidRDefault="00411B4B" w:rsidP="00480FB1">
      <w:pPr>
        <w:tabs>
          <w:tab w:val="left" w:pos="540"/>
          <w:tab w:val="left" w:pos="569"/>
        </w:tabs>
        <w:rPr>
          <w:b/>
          <w:bCs/>
          <w:sz w:val="22"/>
          <w:szCs w:val="22"/>
          <w:lang w:val="sr-Latn-CS"/>
        </w:rPr>
      </w:pPr>
      <w:r w:rsidRPr="00585C79">
        <w:rPr>
          <w:b/>
          <w:bCs/>
          <w:sz w:val="22"/>
          <w:szCs w:val="22"/>
          <w:lang w:val="sr-Latn-CS"/>
        </w:rPr>
        <w:t xml:space="preserve">4.4. </w:t>
      </w:r>
      <w:r w:rsidR="00480FB1" w:rsidRPr="00585C79">
        <w:rPr>
          <w:b/>
          <w:bCs/>
          <w:sz w:val="22"/>
          <w:szCs w:val="22"/>
          <w:lang w:val="sr-Latn-CS"/>
        </w:rPr>
        <w:tab/>
      </w:r>
      <w:r w:rsidRPr="008A2C89">
        <w:rPr>
          <w:b/>
          <w:bCs/>
          <w:sz w:val="22"/>
          <w:szCs w:val="22"/>
        </w:rPr>
        <w:t>Posebna</w:t>
      </w:r>
      <w:r w:rsidRPr="00585C79">
        <w:rPr>
          <w:b/>
          <w:bCs/>
          <w:sz w:val="22"/>
          <w:szCs w:val="22"/>
          <w:lang w:val="sr-Latn-CS"/>
        </w:rPr>
        <w:t xml:space="preserve"> </w:t>
      </w:r>
      <w:r w:rsidRPr="008A2C89">
        <w:rPr>
          <w:b/>
          <w:bCs/>
          <w:sz w:val="22"/>
          <w:szCs w:val="22"/>
        </w:rPr>
        <w:t>upozorenja</w:t>
      </w:r>
      <w:r w:rsidRPr="00585C79">
        <w:rPr>
          <w:b/>
          <w:bCs/>
          <w:sz w:val="22"/>
          <w:szCs w:val="22"/>
          <w:lang w:val="sr-Latn-CS"/>
        </w:rPr>
        <w:t xml:space="preserve"> </w:t>
      </w:r>
      <w:r w:rsidRPr="008A2C89">
        <w:rPr>
          <w:b/>
          <w:bCs/>
          <w:sz w:val="22"/>
          <w:szCs w:val="22"/>
        </w:rPr>
        <w:t>i</w:t>
      </w:r>
      <w:r w:rsidRPr="00585C79">
        <w:rPr>
          <w:b/>
          <w:bCs/>
          <w:sz w:val="22"/>
          <w:szCs w:val="22"/>
          <w:lang w:val="sr-Latn-CS"/>
        </w:rPr>
        <w:t xml:space="preserve"> </w:t>
      </w:r>
      <w:r w:rsidRPr="008A2C89">
        <w:rPr>
          <w:b/>
          <w:bCs/>
          <w:sz w:val="22"/>
          <w:szCs w:val="22"/>
        </w:rPr>
        <w:t>mjere</w:t>
      </w:r>
      <w:r w:rsidRPr="00585C79">
        <w:rPr>
          <w:b/>
          <w:bCs/>
          <w:sz w:val="22"/>
          <w:szCs w:val="22"/>
          <w:lang w:val="sr-Latn-CS"/>
        </w:rPr>
        <w:t xml:space="preserve"> </w:t>
      </w:r>
      <w:r w:rsidRPr="008A2C89">
        <w:rPr>
          <w:b/>
          <w:bCs/>
          <w:sz w:val="22"/>
          <w:szCs w:val="22"/>
        </w:rPr>
        <w:t>opreza</w:t>
      </w:r>
      <w:r w:rsidRPr="00585C79">
        <w:rPr>
          <w:b/>
          <w:bCs/>
          <w:sz w:val="22"/>
          <w:szCs w:val="22"/>
          <w:lang w:val="sr-Latn-CS"/>
        </w:rPr>
        <w:t xml:space="preserve"> </w:t>
      </w:r>
      <w:r w:rsidRPr="008A2C89">
        <w:rPr>
          <w:b/>
          <w:bCs/>
          <w:sz w:val="22"/>
          <w:szCs w:val="22"/>
        </w:rPr>
        <w:t>pri</w:t>
      </w:r>
      <w:r w:rsidRPr="00585C79">
        <w:rPr>
          <w:b/>
          <w:bCs/>
          <w:sz w:val="22"/>
          <w:szCs w:val="22"/>
          <w:lang w:val="sr-Latn-CS"/>
        </w:rPr>
        <w:t xml:space="preserve"> </w:t>
      </w:r>
      <w:r w:rsidRPr="008A2C89">
        <w:rPr>
          <w:b/>
          <w:bCs/>
          <w:sz w:val="22"/>
          <w:szCs w:val="22"/>
        </w:rPr>
        <w:t>upotrebi</w:t>
      </w:r>
      <w:r w:rsidRPr="00585C79">
        <w:rPr>
          <w:b/>
          <w:bCs/>
          <w:sz w:val="22"/>
          <w:szCs w:val="22"/>
          <w:lang w:val="sr-Latn-CS"/>
        </w:rPr>
        <w:t xml:space="preserve"> </w:t>
      </w:r>
      <w:r w:rsidRPr="008A2C89">
        <w:rPr>
          <w:b/>
          <w:bCs/>
          <w:sz w:val="22"/>
          <w:szCs w:val="22"/>
        </w:rPr>
        <w:t>lijeka</w:t>
      </w:r>
    </w:p>
    <w:p w14:paraId="66B933A0" w14:textId="77777777" w:rsidR="0072020E" w:rsidRPr="00585C79" w:rsidRDefault="0072020E" w:rsidP="00480FB1">
      <w:pPr>
        <w:tabs>
          <w:tab w:val="left" w:pos="540"/>
          <w:tab w:val="left" w:pos="569"/>
        </w:tabs>
        <w:rPr>
          <w:bCs/>
          <w:sz w:val="22"/>
          <w:szCs w:val="22"/>
          <w:lang w:val="sr-Latn-CS"/>
        </w:rPr>
      </w:pPr>
    </w:p>
    <w:p w14:paraId="69FE5F3C"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 xml:space="preserve">Lijek Fulvestrant Pliva treba primjenjivati oprezno kod pacijentkinja sa blagim do umjerenim oštećenjem funkcije jetre (vidjeti djelove 4.2, 4.3 i 5.2). </w:t>
      </w:r>
    </w:p>
    <w:p w14:paraId="5E986007"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p>
    <w:p w14:paraId="16A8E794"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 xml:space="preserve">Lijek Fulvestrant Pliva treba primjenjivati oprezno kod pacijentkinja sa teškim oštećenjem bubrežne funkcije (klirens kreatinina manji od 30 ml/min). </w:t>
      </w:r>
    </w:p>
    <w:p w14:paraId="68C8D5FB"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p>
    <w:p w14:paraId="7BC5E761"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 xml:space="preserve">S obzirom na intramuskularni način primjene, lijek Fulvestrant Pliva treba primjenjivati oprezno kod pacijentkinja sa hemoragičnom dijatezom, trombocitopenijom ili kod onih koje uzimaju antikoagulantnu terapiju. </w:t>
      </w:r>
    </w:p>
    <w:p w14:paraId="724A7556"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p>
    <w:p w14:paraId="2D84633F" w14:textId="15CAC707" w:rsidR="00E84A37" w:rsidRPr="008A2C89" w:rsidRDefault="00E84A37" w:rsidP="00E84A37">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lastRenderedPageBreak/>
        <w:t xml:space="preserve">Tromboembolijski događaji su često </w:t>
      </w:r>
      <w:r w:rsidR="004B0B0A">
        <w:rPr>
          <w:rFonts w:eastAsia="Calibri"/>
          <w:color w:val="000000"/>
          <w:sz w:val="22"/>
          <w:szCs w:val="22"/>
          <w:lang w:val="hr-HR"/>
        </w:rPr>
        <w:t>uočeni</w:t>
      </w:r>
      <w:r w:rsidR="004B0B0A" w:rsidRPr="008A2C89">
        <w:rPr>
          <w:rFonts w:eastAsia="Calibri"/>
          <w:color w:val="000000"/>
          <w:sz w:val="22"/>
          <w:szCs w:val="22"/>
          <w:lang w:val="hr-HR"/>
        </w:rPr>
        <w:t xml:space="preserve"> </w:t>
      </w:r>
      <w:r w:rsidRPr="008A2C89">
        <w:rPr>
          <w:rFonts w:eastAsia="Calibri"/>
          <w:color w:val="000000"/>
          <w:sz w:val="22"/>
          <w:szCs w:val="22"/>
          <w:lang w:val="hr-HR"/>
        </w:rPr>
        <w:t xml:space="preserve">kod žena sa uznapredovalim karcinomom dojke i bili su zabilježeni u kliničkim ispitivanjima sa fulvestrantom (vidjeti dio 4.8). Ovo treba uzeti u obzir kada se lijek Fulvestrant Pliva propisuje pacijentkinjama sa tom vrstom rizika. </w:t>
      </w:r>
    </w:p>
    <w:p w14:paraId="4AE03D3B"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p>
    <w:p w14:paraId="1799D601" w14:textId="77777777" w:rsidR="00E84A37" w:rsidRPr="008A2C89" w:rsidRDefault="00E84A37" w:rsidP="00E84A37">
      <w:pPr>
        <w:autoSpaceDE w:val="0"/>
        <w:autoSpaceDN w:val="0"/>
        <w:adjustRightInd w:val="0"/>
        <w:spacing w:line="259" w:lineRule="auto"/>
        <w:jc w:val="both"/>
        <w:rPr>
          <w:rFonts w:eastAsiaTheme="minorHAnsi"/>
          <w:color w:val="000000"/>
          <w:sz w:val="22"/>
          <w:szCs w:val="22"/>
          <w:shd w:val="clear" w:color="auto" w:fill="FFFFFF"/>
          <w:lang w:val="hr-HR"/>
        </w:rPr>
      </w:pPr>
      <w:r w:rsidRPr="00585C79">
        <w:rPr>
          <w:rFonts w:eastAsiaTheme="minorHAnsi"/>
          <w:color w:val="000000"/>
          <w:sz w:val="22"/>
          <w:szCs w:val="22"/>
          <w:shd w:val="clear" w:color="auto" w:fill="FFFFFF"/>
          <w:lang w:val="hr-HR"/>
        </w:rPr>
        <w:t xml:space="preserve">Događaji povezani sa mjestom injiciranja, uključujući išijas, neuralgiju, neuropatski bol i perifernu neuropatiju, su prijavljeni sa primjenom injekcije lijeka Fulvestrant Pliva. </w:t>
      </w:r>
      <w:r w:rsidRPr="008A2C89">
        <w:rPr>
          <w:rFonts w:eastAsiaTheme="minorHAnsi"/>
          <w:color w:val="000000"/>
          <w:sz w:val="22"/>
          <w:szCs w:val="22"/>
          <w:shd w:val="clear" w:color="auto" w:fill="FFFFFF"/>
          <w:lang w:val="hr-HR"/>
        </w:rPr>
        <w:t>Zbog blizine išijadičnog živca, potreban je oprez ako se lijek Fulvestrant Pliva primjenjuje na dorzoglutealnom mjestu injiciranja (vidjeti djelove 4.2 i 4.8).</w:t>
      </w:r>
    </w:p>
    <w:p w14:paraId="03B3A87A" w14:textId="77777777" w:rsidR="00E84A37" w:rsidRPr="008A2C89" w:rsidRDefault="00E84A37" w:rsidP="00E84A37">
      <w:pPr>
        <w:autoSpaceDE w:val="0"/>
        <w:autoSpaceDN w:val="0"/>
        <w:adjustRightInd w:val="0"/>
        <w:spacing w:line="259" w:lineRule="auto"/>
        <w:jc w:val="both"/>
        <w:rPr>
          <w:rFonts w:eastAsiaTheme="minorHAnsi"/>
          <w:color w:val="000000"/>
          <w:sz w:val="22"/>
          <w:szCs w:val="22"/>
          <w:shd w:val="clear" w:color="auto" w:fill="FFFFFF"/>
          <w:lang w:val="sr-Latn-ME"/>
        </w:rPr>
      </w:pPr>
    </w:p>
    <w:p w14:paraId="1E530812"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 xml:space="preserve">Nema podataka o dugoročnom uticaju fulvestranta na kosti. S obzirom na mehanizam djelovanja fulvestranta, postoji mogući rizik od osteoporoze. </w:t>
      </w:r>
    </w:p>
    <w:p w14:paraId="72695368"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p>
    <w:p w14:paraId="4DB1B7D0" w14:textId="44DE42C8" w:rsidR="00E84A37" w:rsidRPr="00585C79" w:rsidRDefault="00E84A37" w:rsidP="00E84A37">
      <w:pPr>
        <w:autoSpaceDE w:val="0"/>
        <w:autoSpaceDN w:val="0"/>
        <w:adjustRightInd w:val="0"/>
        <w:spacing w:line="259" w:lineRule="auto"/>
        <w:jc w:val="both"/>
        <w:rPr>
          <w:rFonts w:eastAsia="Calibri"/>
          <w:color w:val="000000"/>
          <w:sz w:val="22"/>
          <w:szCs w:val="22"/>
          <w:lang w:val="hr-HR"/>
        </w:rPr>
      </w:pPr>
      <w:r w:rsidRPr="00585C79">
        <w:rPr>
          <w:rFonts w:eastAsia="Calibri"/>
          <w:color w:val="000000"/>
          <w:sz w:val="22"/>
          <w:szCs w:val="22"/>
          <w:lang w:val="hr-HR"/>
        </w:rPr>
        <w:t xml:space="preserve">Nijesu proučavane efikasnost i bezbjednost </w:t>
      </w:r>
      <w:r w:rsidR="00DA43EF" w:rsidRPr="00585C79">
        <w:rPr>
          <w:rFonts w:eastAsia="Calibri"/>
          <w:color w:val="000000"/>
          <w:sz w:val="22"/>
          <w:szCs w:val="22"/>
          <w:lang w:val="hr-HR"/>
        </w:rPr>
        <w:t>fulvestranta</w:t>
      </w:r>
      <w:r w:rsidRPr="00585C79">
        <w:rPr>
          <w:rFonts w:eastAsia="Calibri"/>
          <w:color w:val="000000"/>
          <w:sz w:val="22"/>
          <w:szCs w:val="22"/>
          <w:lang w:val="hr-HR"/>
        </w:rPr>
        <w:t xml:space="preserve"> kod pacijentkinja sa kritičnom visceralnom bolešću (kao monoterapija ili u kombinaciji sa palbociklibom). </w:t>
      </w:r>
    </w:p>
    <w:p w14:paraId="35E58A4B" w14:textId="77777777" w:rsidR="00E84A37" w:rsidRPr="00585C79" w:rsidRDefault="00E84A37" w:rsidP="00E84A37">
      <w:pPr>
        <w:autoSpaceDE w:val="0"/>
        <w:autoSpaceDN w:val="0"/>
        <w:adjustRightInd w:val="0"/>
        <w:spacing w:line="259" w:lineRule="auto"/>
        <w:jc w:val="both"/>
        <w:rPr>
          <w:rFonts w:eastAsia="Calibri"/>
          <w:color w:val="000000"/>
          <w:sz w:val="22"/>
          <w:szCs w:val="22"/>
          <w:lang w:val="hr-HR"/>
        </w:rPr>
      </w:pPr>
    </w:p>
    <w:p w14:paraId="41F73005" w14:textId="1DB4BD36" w:rsidR="00E84A37" w:rsidRPr="00585C79" w:rsidRDefault="00E84A37" w:rsidP="00E84A37">
      <w:pPr>
        <w:autoSpaceDE w:val="0"/>
        <w:autoSpaceDN w:val="0"/>
        <w:adjustRightInd w:val="0"/>
        <w:spacing w:line="259" w:lineRule="auto"/>
        <w:jc w:val="both"/>
        <w:rPr>
          <w:rFonts w:eastAsia="Calibri"/>
          <w:color w:val="000000"/>
          <w:sz w:val="22"/>
          <w:szCs w:val="22"/>
          <w:lang w:val="hr-HR"/>
        </w:rPr>
      </w:pPr>
      <w:r w:rsidRPr="00585C79">
        <w:rPr>
          <w:rFonts w:eastAsia="Calibri"/>
          <w:color w:val="000000"/>
          <w:sz w:val="22"/>
          <w:szCs w:val="22"/>
          <w:lang w:val="hr-HR"/>
        </w:rPr>
        <w:t xml:space="preserve">Takođe pogledati Sažetak karakteristika lijeka za palbociklib, kada se </w:t>
      </w:r>
      <w:r w:rsidR="00DA43EF" w:rsidRPr="00585C79">
        <w:rPr>
          <w:rFonts w:eastAsia="Calibri"/>
          <w:color w:val="000000"/>
          <w:sz w:val="22"/>
          <w:szCs w:val="22"/>
          <w:lang w:val="hr-HR"/>
        </w:rPr>
        <w:t>fulvestrant</w:t>
      </w:r>
      <w:r w:rsidRPr="00585C79">
        <w:rPr>
          <w:rFonts w:eastAsia="Calibri"/>
          <w:color w:val="000000"/>
          <w:sz w:val="22"/>
          <w:szCs w:val="22"/>
          <w:lang w:val="hr-HR"/>
        </w:rPr>
        <w:t xml:space="preserve"> kombinuje sa palbociklibom. </w:t>
      </w:r>
    </w:p>
    <w:p w14:paraId="42FA0250" w14:textId="77777777" w:rsidR="00E84A37" w:rsidRPr="00585C79" w:rsidRDefault="00E84A37" w:rsidP="00E84A37">
      <w:pPr>
        <w:autoSpaceDE w:val="0"/>
        <w:autoSpaceDN w:val="0"/>
        <w:adjustRightInd w:val="0"/>
        <w:spacing w:line="259" w:lineRule="auto"/>
        <w:jc w:val="both"/>
        <w:rPr>
          <w:rFonts w:eastAsia="Calibri"/>
          <w:color w:val="000000"/>
          <w:sz w:val="22"/>
          <w:szCs w:val="22"/>
          <w:lang w:val="hr-HR"/>
        </w:rPr>
      </w:pPr>
    </w:p>
    <w:p w14:paraId="0C379061" w14:textId="77777777" w:rsidR="00E84A37" w:rsidRPr="00585C79" w:rsidRDefault="00E84A37" w:rsidP="00E84A37">
      <w:pPr>
        <w:autoSpaceDE w:val="0"/>
        <w:autoSpaceDN w:val="0"/>
        <w:adjustRightInd w:val="0"/>
        <w:spacing w:line="259" w:lineRule="auto"/>
        <w:jc w:val="both"/>
        <w:rPr>
          <w:rFonts w:eastAsia="Calibri"/>
          <w:i/>
          <w:color w:val="000000"/>
          <w:sz w:val="22"/>
          <w:szCs w:val="22"/>
          <w:u w:val="single"/>
          <w:lang w:val="hr-HR"/>
        </w:rPr>
      </w:pPr>
      <w:r w:rsidRPr="00585C79">
        <w:rPr>
          <w:rFonts w:eastAsia="Calibri"/>
          <w:i/>
          <w:color w:val="000000"/>
          <w:sz w:val="22"/>
          <w:szCs w:val="22"/>
          <w:u w:val="single"/>
          <w:lang w:val="hr-HR"/>
        </w:rPr>
        <w:t>Interakcije</w:t>
      </w:r>
      <w:r w:rsidRPr="008A2C89">
        <w:rPr>
          <w:rFonts w:eastAsia="Calibri"/>
          <w:i/>
          <w:color w:val="000000"/>
          <w:sz w:val="22"/>
          <w:szCs w:val="22"/>
          <w:u w:val="single"/>
          <w:lang w:val="hr-HR"/>
        </w:rPr>
        <w:t xml:space="preserve"> sa testiranjem antitijela na estradiol</w:t>
      </w:r>
    </w:p>
    <w:p w14:paraId="4AAAA07F"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p>
    <w:p w14:paraId="0EDBF803" w14:textId="77777777" w:rsidR="00E84A37" w:rsidRPr="008A2C89" w:rsidRDefault="00E84A37" w:rsidP="00E84A37">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 xml:space="preserve">Zbog strukturne sličnosti fulvestranta i estradiola, fulvestrant može da interferira sa testiranjima estradiola zasnovanim na prisustvu antitijela, i može rezultovati lažno povišenim nivoima estradiola. </w:t>
      </w:r>
    </w:p>
    <w:p w14:paraId="27C656B2" w14:textId="77777777" w:rsidR="00E84A37" w:rsidRPr="008A2C89" w:rsidRDefault="00E84A37" w:rsidP="00E84A37">
      <w:pPr>
        <w:spacing w:line="276" w:lineRule="auto"/>
        <w:jc w:val="both"/>
        <w:rPr>
          <w:rFonts w:eastAsia="Calibri"/>
          <w:bCs/>
          <w:sz w:val="22"/>
          <w:szCs w:val="22"/>
          <w:u w:val="single"/>
          <w:lang w:val="sr-Latn-CS"/>
        </w:rPr>
      </w:pPr>
    </w:p>
    <w:p w14:paraId="7EF8A8B4" w14:textId="77777777" w:rsidR="00E84A37" w:rsidRPr="008A2C89" w:rsidRDefault="00E84A37" w:rsidP="00E84A37">
      <w:pPr>
        <w:spacing w:line="276" w:lineRule="auto"/>
        <w:jc w:val="both"/>
        <w:rPr>
          <w:rFonts w:eastAsia="Calibri"/>
          <w:bCs/>
          <w:sz w:val="22"/>
          <w:szCs w:val="22"/>
          <w:u w:val="single"/>
          <w:lang w:val="sr-Latn-CS"/>
        </w:rPr>
      </w:pPr>
      <w:r w:rsidRPr="008A2C89">
        <w:rPr>
          <w:rFonts w:eastAsia="Calibri"/>
          <w:bCs/>
          <w:sz w:val="22"/>
          <w:szCs w:val="22"/>
          <w:u w:val="single"/>
          <w:lang w:val="sr-Latn-CS"/>
        </w:rPr>
        <w:t xml:space="preserve">Pedijatrijska populacija                                                                                                                       </w:t>
      </w:r>
    </w:p>
    <w:p w14:paraId="246CEA84" w14:textId="77777777" w:rsidR="00E84A37" w:rsidRPr="008A2C89" w:rsidRDefault="00E84A37" w:rsidP="00E84A37">
      <w:pPr>
        <w:spacing w:line="276" w:lineRule="auto"/>
        <w:jc w:val="both"/>
        <w:rPr>
          <w:rFonts w:eastAsia="Calibri"/>
          <w:sz w:val="22"/>
          <w:szCs w:val="22"/>
          <w:lang w:val="hr-HR"/>
        </w:rPr>
      </w:pPr>
      <w:r w:rsidRPr="008A2C89">
        <w:rPr>
          <w:rFonts w:eastAsia="Calibri"/>
          <w:bCs/>
          <w:sz w:val="22"/>
          <w:szCs w:val="22"/>
          <w:lang w:val="sr-Latn-CS"/>
        </w:rPr>
        <w:t xml:space="preserve">Lijek </w:t>
      </w:r>
      <w:r w:rsidRPr="008A2C89">
        <w:rPr>
          <w:rFonts w:eastAsia="Calibri"/>
          <w:color w:val="000000"/>
          <w:sz w:val="22"/>
          <w:szCs w:val="22"/>
          <w:lang w:val="hr-HR"/>
        </w:rPr>
        <w:t>Fulvestrant Pliva se ne preporučuje za primjenu kod djece i adolescenata, jer nijesu ustanovljene bezbjednost i efikasnost u toj grupi pacijentkinja (vidjeti dio 5.1).</w:t>
      </w:r>
      <w:r w:rsidRPr="008A2C89">
        <w:rPr>
          <w:rFonts w:eastAsia="Calibri"/>
          <w:sz w:val="22"/>
          <w:szCs w:val="22"/>
          <w:lang w:val="hr-HR"/>
        </w:rPr>
        <w:t xml:space="preserve"> </w:t>
      </w:r>
    </w:p>
    <w:p w14:paraId="016D9DCD" w14:textId="77777777" w:rsidR="00E84A37" w:rsidRPr="008A2C89" w:rsidRDefault="00E84A37" w:rsidP="00E84A37">
      <w:pPr>
        <w:spacing w:line="276" w:lineRule="auto"/>
        <w:jc w:val="both"/>
        <w:rPr>
          <w:rFonts w:eastAsia="Calibri"/>
          <w:bCs/>
          <w:sz w:val="22"/>
          <w:szCs w:val="22"/>
          <w:u w:val="single"/>
          <w:lang w:val="sr-Latn-CS"/>
        </w:rPr>
      </w:pPr>
    </w:p>
    <w:p w14:paraId="654B7EC3" w14:textId="77777777" w:rsidR="00E84A37" w:rsidRPr="00585C79" w:rsidRDefault="00E84A37" w:rsidP="00E84A37">
      <w:pPr>
        <w:tabs>
          <w:tab w:val="left" w:pos="540"/>
          <w:tab w:val="left" w:pos="569"/>
        </w:tabs>
        <w:spacing w:line="259" w:lineRule="auto"/>
        <w:jc w:val="both"/>
        <w:rPr>
          <w:rFonts w:eastAsiaTheme="minorHAnsi"/>
          <w:bCs/>
          <w:sz w:val="22"/>
          <w:szCs w:val="22"/>
          <w:u w:val="single"/>
          <w:lang w:val="sr-Latn-CS"/>
        </w:rPr>
      </w:pPr>
      <w:r w:rsidRPr="008A2C89">
        <w:rPr>
          <w:rFonts w:eastAsiaTheme="minorHAnsi"/>
          <w:bCs/>
          <w:sz w:val="22"/>
          <w:szCs w:val="22"/>
          <w:u w:val="single"/>
        </w:rPr>
        <w:t>Pomo</w:t>
      </w:r>
      <w:r w:rsidRPr="00585C79">
        <w:rPr>
          <w:rFonts w:eastAsiaTheme="minorHAnsi"/>
          <w:bCs/>
          <w:sz w:val="22"/>
          <w:szCs w:val="22"/>
          <w:u w:val="single"/>
          <w:lang w:val="sr-Latn-CS"/>
        </w:rPr>
        <w:t>ć</w:t>
      </w:r>
      <w:r w:rsidRPr="008A2C89">
        <w:rPr>
          <w:rFonts w:eastAsiaTheme="minorHAnsi"/>
          <w:bCs/>
          <w:sz w:val="22"/>
          <w:szCs w:val="22"/>
          <w:u w:val="single"/>
        </w:rPr>
        <w:t>ne</w:t>
      </w:r>
      <w:r w:rsidRPr="00585C79">
        <w:rPr>
          <w:rFonts w:eastAsiaTheme="minorHAnsi"/>
          <w:bCs/>
          <w:sz w:val="22"/>
          <w:szCs w:val="22"/>
          <w:u w:val="single"/>
          <w:lang w:val="sr-Latn-CS"/>
        </w:rPr>
        <w:t xml:space="preserve"> </w:t>
      </w:r>
      <w:r w:rsidRPr="008A2C89">
        <w:rPr>
          <w:rFonts w:eastAsiaTheme="minorHAnsi"/>
          <w:bCs/>
          <w:sz w:val="22"/>
          <w:szCs w:val="22"/>
          <w:u w:val="single"/>
        </w:rPr>
        <w:t>supstance</w:t>
      </w:r>
    </w:p>
    <w:p w14:paraId="1C4AEF03" w14:textId="77777777" w:rsidR="00E84A37" w:rsidRPr="00585C79" w:rsidRDefault="00E84A37" w:rsidP="00E84A37">
      <w:pPr>
        <w:tabs>
          <w:tab w:val="left" w:pos="540"/>
          <w:tab w:val="left" w:pos="569"/>
        </w:tabs>
        <w:spacing w:line="259" w:lineRule="auto"/>
        <w:jc w:val="both"/>
        <w:rPr>
          <w:rFonts w:eastAsiaTheme="minorHAnsi"/>
          <w:bCs/>
          <w:i/>
          <w:sz w:val="22"/>
          <w:szCs w:val="22"/>
          <w:lang w:val="sr-Latn-CS"/>
        </w:rPr>
      </w:pPr>
      <w:r w:rsidRPr="008A2C89">
        <w:rPr>
          <w:rFonts w:eastAsiaTheme="minorHAnsi"/>
          <w:bCs/>
          <w:i/>
          <w:sz w:val="22"/>
          <w:szCs w:val="22"/>
        </w:rPr>
        <w:t>Etanol</w:t>
      </w:r>
      <w:r w:rsidRPr="00585C79">
        <w:rPr>
          <w:rFonts w:eastAsiaTheme="minorHAnsi"/>
          <w:bCs/>
          <w:i/>
          <w:sz w:val="22"/>
          <w:szCs w:val="22"/>
          <w:lang w:val="sr-Latn-CS"/>
        </w:rPr>
        <w:t xml:space="preserve"> </w:t>
      </w:r>
      <w:proofErr w:type="gramStart"/>
      <w:r w:rsidRPr="00585C79">
        <w:rPr>
          <w:rFonts w:eastAsiaTheme="minorHAnsi"/>
          <w:bCs/>
          <w:i/>
          <w:sz w:val="22"/>
          <w:szCs w:val="22"/>
          <w:lang w:val="sr-Latn-CS"/>
        </w:rPr>
        <w:t>96%</w:t>
      </w:r>
      <w:proofErr w:type="gramEnd"/>
      <w:r w:rsidRPr="00585C79">
        <w:rPr>
          <w:rFonts w:eastAsiaTheme="minorHAnsi"/>
          <w:bCs/>
          <w:i/>
          <w:sz w:val="22"/>
          <w:szCs w:val="22"/>
          <w:lang w:val="sr-Latn-CS"/>
        </w:rPr>
        <w:t xml:space="preserve"> (</w:t>
      </w:r>
      <w:r w:rsidRPr="008A2C89">
        <w:rPr>
          <w:rFonts w:eastAsiaTheme="minorHAnsi"/>
          <w:bCs/>
          <w:i/>
          <w:sz w:val="22"/>
          <w:szCs w:val="22"/>
        </w:rPr>
        <w:t>alkohol</w:t>
      </w:r>
      <w:r w:rsidRPr="00585C79">
        <w:rPr>
          <w:rFonts w:eastAsiaTheme="minorHAnsi"/>
          <w:bCs/>
          <w:i/>
          <w:sz w:val="22"/>
          <w:szCs w:val="22"/>
          <w:lang w:val="sr-Latn-CS"/>
        </w:rPr>
        <w:t>)</w:t>
      </w:r>
    </w:p>
    <w:p w14:paraId="01C001D0" w14:textId="77777777" w:rsidR="00E84A37" w:rsidRPr="00585C79" w:rsidRDefault="00E84A37" w:rsidP="00E84A37">
      <w:pPr>
        <w:tabs>
          <w:tab w:val="left" w:pos="540"/>
          <w:tab w:val="left" w:pos="569"/>
        </w:tabs>
        <w:spacing w:line="259" w:lineRule="auto"/>
        <w:jc w:val="both"/>
        <w:rPr>
          <w:rFonts w:eastAsiaTheme="minorHAnsi"/>
          <w:bCs/>
          <w:sz w:val="22"/>
          <w:szCs w:val="22"/>
          <w:lang w:val="sr-Latn-CS"/>
        </w:rPr>
      </w:pPr>
      <w:r w:rsidRPr="008A2C89">
        <w:rPr>
          <w:rFonts w:eastAsiaTheme="minorHAnsi"/>
          <w:bCs/>
          <w:sz w:val="22"/>
          <w:szCs w:val="22"/>
          <w:lang w:val="en-GB"/>
        </w:rPr>
        <w:t>Mala</w:t>
      </w:r>
      <w:r w:rsidRPr="00585C79">
        <w:rPr>
          <w:rFonts w:eastAsiaTheme="minorHAnsi"/>
          <w:bCs/>
          <w:sz w:val="22"/>
          <w:szCs w:val="22"/>
          <w:lang w:val="sr-Latn-CS"/>
        </w:rPr>
        <w:t xml:space="preserve"> </w:t>
      </w:r>
      <w:r w:rsidRPr="008A2C89">
        <w:rPr>
          <w:rFonts w:eastAsiaTheme="minorHAnsi"/>
          <w:bCs/>
          <w:sz w:val="22"/>
          <w:szCs w:val="22"/>
          <w:lang w:val="en-GB"/>
        </w:rPr>
        <w:t>koli</w:t>
      </w:r>
      <w:r w:rsidRPr="00585C79">
        <w:rPr>
          <w:rFonts w:eastAsiaTheme="minorHAnsi"/>
          <w:bCs/>
          <w:sz w:val="22"/>
          <w:szCs w:val="22"/>
          <w:lang w:val="sr-Latn-CS"/>
        </w:rPr>
        <w:t>č</w:t>
      </w:r>
      <w:r w:rsidRPr="008A2C89">
        <w:rPr>
          <w:rFonts w:eastAsiaTheme="minorHAnsi"/>
          <w:bCs/>
          <w:sz w:val="22"/>
          <w:szCs w:val="22"/>
          <w:lang w:val="en-GB"/>
        </w:rPr>
        <w:t>ina</w:t>
      </w:r>
      <w:r w:rsidRPr="00585C79">
        <w:rPr>
          <w:rFonts w:eastAsiaTheme="minorHAnsi"/>
          <w:bCs/>
          <w:sz w:val="22"/>
          <w:szCs w:val="22"/>
          <w:lang w:val="sr-Latn-CS"/>
        </w:rPr>
        <w:t xml:space="preserve"> </w:t>
      </w:r>
      <w:r w:rsidRPr="008A2C89">
        <w:rPr>
          <w:rFonts w:eastAsiaTheme="minorHAnsi"/>
          <w:bCs/>
          <w:sz w:val="22"/>
          <w:szCs w:val="22"/>
          <w:lang w:val="en-GB"/>
        </w:rPr>
        <w:t>etanola</w:t>
      </w:r>
      <w:r w:rsidRPr="00585C79">
        <w:rPr>
          <w:rFonts w:eastAsiaTheme="minorHAnsi"/>
          <w:bCs/>
          <w:sz w:val="22"/>
          <w:szCs w:val="22"/>
          <w:lang w:val="sr-Latn-CS"/>
        </w:rPr>
        <w:t xml:space="preserve"> </w:t>
      </w:r>
      <w:r w:rsidRPr="008A2C89">
        <w:rPr>
          <w:rFonts w:eastAsiaTheme="minorHAnsi"/>
          <w:bCs/>
          <w:sz w:val="22"/>
          <w:szCs w:val="22"/>
          <w:lang w:val="en-GB"/>
        </w:rPr>
        <w:t>prisutna</w:t>
      </w:r>
      <w:r w:rsidRPr="00585C79">
        <w:rPr>
          <w:rFonts w:eastAsiaTheme="minorHAnsi"/>
          <w:bCs/>
          <w:sz w:val="22"/>
          <w:szCs w:val="22"/>
          <w:lang w:val="sr-Latn-CS"/>
        </w:rPr>
        <w:t xml:space="preserve"> </w:t>
      </w:r>
      <w:r w:rsidRPr="008A2C89">
        <w:rPr>
          <w:rFonts w:eastAsiaTheme="minorHAnsi"/>
          <w:bCs/>
          <w:sz w:val="22"/>
          <w:szCs w:val="22"/>
          <w:lang w:val="en-GB"/>
        </w:rPr>
        <w:t>u</w:t>
      </w:r>
      <w:r w:rsidRPr="00585C79">
        <w:rPr>
          <w:rFonts w:eastAsiaTheme="minorHAnsi"/>
          <w:bCs/>
          <w:sz w:val="22"/>
          <w:szCs w:val="22"/>
          <w:lang w:val="sr-Latn-CS"/>
        </w:rPr>
        <w:t xml:space="preserve"> </w:t>
      </w:r>
      <w:r w:rsidRPr="008A2C89">
        <w:rPr>
          <w:rFonts w:eastAsiaTheme="minorHAnsi"/>
          <w:bCs/>
          <w:sz w:val="22"/>
          <w:szCs w:val="22"/>
          <w:lang w:val="en-GB"/>
        </w:rPr>
        <w:t>ovom</w:t>
      </w:r>
      <w:r w:rsidRPr="00585C79">
        <w:rPr>
          <w:rFonts w:eastAsiaTheme="minorHAnsi"/>
          <w:bCs/>
          <w:sz w:val="22"/>
          <w:szCs w:val="22"/>
          <w:lang w:val="sr-Latn-CS"/>
        </w:rPr>
        <w:t xml:space="preserve"> </w:t>
      </w:r>
      <w:r w:rsidRPr="008A2C89">
        <w:rPr>
          <w:rFonts w:eastAsiaTheme="minorHAnsi"/>
          <w:bCs/>
          <w:sz w:val="22"/>
          <w:szCs w:val="22"/>
          <w:lang w:val="en-GB"/>
        </w:rPr>
        <w:t>lijeku</w:t>
      </w:r>
      <w:r w:rsidRPr="00585C79">
        <w:rPr>
          <w:rFonts w:eastAsiaTheme="minorHAnsi"/>
          <w:bCs/>
          <w:sz w:val="22"/>
          <w:szCs w:val="22"/>
          <w:lang w:val="sr-Latn-CS"/>
        </w:rPr>
        <w:t xml:space="preserve"> </w:t>
      </w:r>
      <w:r w:rsidRPr="008A2C89">
        <w:rPr>
          <w:rFonts w:eastAsiaTheme="minorHAnsi"/>
          <w:bCs/>
          <w:sz w:val="22"/>
          <w:szCs w:val="22"/>
          <w:lang w:val="en-GB"/>
        </w:rPr>
        <w:t>ne</w:t>
      </w:r>
      <w:r w:rsidRPr="00585C79">
        <w:rPr>
          <w:rFonts w:eastAsiaTheme="minorHAnsi"/>
          <w:bCs/>
          <w:sz w:val="22"/>
          <w:szCs w:val="22"/>
          <w:lang w:val="sr-Latn-CS"/>
        </w:rPr>
        <w:t>ć</w:t>
      </w:r>
      <w:r w:rsidRPr="008A2C89">
        <w:rPr>
          <w:rFonts w:eastAsiaTheme="minorHAnsi"/>
          <w:bCs/>
          <w:sz w:val="22"/>
          <w:szCs w:val="22"/>
          <w:lang w:val="en-GB"/>
        </w:rPr>
        <w:t>e</w:t>
      </w:r>
      <w:r w:rsidRPr="00585C79">
        <w:rPr>
          <w:rFonts w:eastAsiaTheme="minorHAnsi"/>
          <w:bCs/>
          <w:sz w:val="22"/>
          <w:szCs w:val="22"/>
          <w:lang w:val="sr-Latn-CS"/>
        </w:rPr>
        <w:t xml:space="preserve"> </w:t>
      </w:r>
      <w:r w:rsidRPr="008A2C89">
        <w:rPr>
          <w:rFonts w:eastAsiaTheme="minorHAnsi"/>
          <w:bCs/>
          <w:sz w:val="22"/>
          <w:szCs w:val="22"/>
          <w:lang w:val="en-GB"/>
        </w:rPr>
        <w:t>imati</w:t>
      </w:r>
      <w:r w:rsidRPr="00585C79">
        <w:rPr>
          <w:rFonts w:eastAsiaTheme="minorHAnsi"/>
          <w:bCs/>
          <w:sz w:val="22"/>
          <w:szCs w:val="22"/>
          <w:lang w:val="sr-Latn-CS"/>
        </w:rPr>
        <w:t xml:space="preserve"> </w:t>
      </w:r>
      <w:r w:rsidRPr="008A2C89">
        <w:rPr>
          <w:rFonts w:eastAsiaTheme="minorHAnsi"/>
          <w:bCs/>
          <w:sz w:val="22"/>
          <w:szCs w:val="22"/>
          <w:lang w:val="en-GB"/>
        </w:rPr>
        <w:t>nikakvo</w:t>
      </w:r>
      <w:r w:rsidRPr="00585C79">
        <w:rPr>
          <w:rFonts w:eastAsiaTheme="minorHAnsi"/>
          <w:bCs/>
          <w:sz w:val="22"/>
          <w:szCs w:val="22"/>
          <w:lang w:val="sr-Latn-CS"/>
        </w:rPr>
        <w:t xml:space="preserve"> </w:t>
      </w:r>
      <w:r w:rsidRPr="008A2C89">
        <w:rPr>
          <w:rFonts w:eastAsiaTheme="minorHAnsi"/>
          <w:bCs/>
          <w:sz w:val="22"/>
          <w:szCs w:val="22"/>
          <w:lang w:val="en-GB"/>
        </w:rPr>
        <w:t>primjetno</w:t>
      </w:r>
      <w:r w:rsidRPr="00585C79">
        <w:rPr>
          <w:rFonts w:eastAsiaTheme="minorHAnsi"/>
          <w:bCs/>
          <w:sz w:val="22"/>
          <w:szCs w:val="22"/>
          <w:lang w:val="sr-Latn-CS"/>
        </w:rPr>
        <w:t xml:space="preserve"> </w:t>
      </w:r>
      <w:r w:rsidRPr="008A2C89">
        <w:rPr>
          <w:rFonts w:eastAsiaTheme="minorHAnsi"/>
          <w:bCs/>
          <w:sz w:val="22"/>
          <w:szCs w:val="22"/>
          <w:lang w:val="en-GB"/>
        </w:rPr>
        <w:t>dejstvo</w:t>
      </w:r>
      <w:r w:rsidRPr="00585C79">
        <w:rPr>
          <w:rFonts w:eastAsiaTheme="minorHAnsi"/>
          <w:bCs/>
          <w:sz w:val="22"/>
          <w:szCs w:val="22"/>
          <w:lang w:val="sr-Latn-CS"/>
        </w:rPr>
        <w:t>.</w:t>
      </w:r>
    </w:p>
    <w:p w14:paraId="3E12331F" w14:textId="77777777" w:rsidR="00E84A37" w:rsidRPr="00585C79" w:rsidRDefault="00E84A37" w:rsidP="00E84A37">
      <w:pPr>
        <w:tabs>
          <w:tab w:val="left" w:pos="540"/>
          <w:tab w:val="left" w:pos="569"/>
        </w:tabs>
        <w:spacing w:line="259" w:lineRule="auto"/>
        <w:jc w:val="both"/>
        <w:rPr>
          <w:rFonts w:eastAsiaTheme="minorHAnsi"/>
          <w:bCs/>
          <w:sz w:val="22"/>
          <w:szCs w:val="22"/>
          <w:lang w:val="sr-Latn-CS"/>
        </w:rPr>
      </w:pPr>
    </w:p>
    <w:p w14:paraId="5B400CB2" w14:textId="77777777" w:rsidR="00E84A37" w:rsidRPr="00585C79" w:rsidRDefault="00E84A37" w:rsidP="00E84A37">
      <w:pPr>
        <w:tabs>
          <w:tab w:val="left" w:pos="540"/>
          <w:tab w:val="left" w:pos="569"/>
        </w:tabs>
        <w:spacing w:line="259" w:lineRule="auto"/>
        <w:jc w:val="both"/>
        <w:rPr>
          <w:rFonts w:eastAsiaTheme="minorHAnsi"/>
          <w:bCs/>
          <w:i/>
          <w:sz w:val="22"/>
          <w:szCs w:val="22"/>
          <w:lang w:val="sr-Latn-CS"/>
        </w:rPr>
      </w:pPr>
      <w:r w:rsidRPr="008A2C89">
        <w:rPr>
          <w:rFonts w:eastAsiaTheme="minorHAnsi"/>
          <w:bCs/>
          <w:i/>
          <w:sz w:val="22"/>
          <w:szCs w:val="22"/>
        </w:rPr>
        <w:t>Benzil</w:t>
      </w:r>
      <w:r w:rsidRPr="00585C79">
        <w:rPr>
          <w:rFonts w:eastAsiaTheme="minorHAnsi"/>
          <w:bCs/>
          <w:i/>
          <w:sz w:val="22"/>
          <w:szCs w:val="22"/>
          <w:lang w:val="sr-Latn-CS"/>
        </w:rPr>
        <w:t xml:space="preserve"> </w:t>
      </w:r>
      <w:r w:rsidRPr="008A2C89">
        <w:rPr>
          <w:rFonts w:eastAsiaTheme="minorHAnsi"/>
          <w:bCs/>
          <w:i/>
          <w:sz w:val="22"/>
          <w:szCs w:val="22"/>
        </w:rPr>
        <w:t>alkohol</w:t>
      </w:r>
    </w:p>
    <w:p w14:paraId="4333F0BD" w14:textId="39CB9031" w:rsidR="00E84A37" w:rsidRPr="00585C79" w:rsidRDefault="00E84A37" w:rsidP="00E84A37">
      <w:pPr>
        <w:tabs>
          <w:tab w:val="left" w:pos="540"/>
          <w:tab w:val="left" w:pos="569"/>
        </w:tabs>
        <w:spacing w:line="259" w:lineRule="auto"/>
        <w:jc w:val="both"/>
        <w:rPr>
          <w:rFonts w:eastAsiaTheme="minorHAnsi"/>
          <w:bCs/>
          <w:sz w:val="22"/>
          <w:szCs w:val="22"/>
          <w:lang w:val="sr-Latn-CS"/>
        </w:rPr>
      </w:pPr>
      <w:r w:rsidRPr="008A2C89">
        <w:rPr>
          <w:rFonts w:eastAsiaTheme="minorHAnsi"/>
          <w:bCs/>
          <w:sz w:val="22"/>
          <w:szCs w:val="22"/>
          <w:lang w:val="en-GB"/>
        </w:rPr>
        <w:t>Benzilni</w:t>
      </w:r>
      <w:r w:rsidRPr="00585C79">
        <w:rPr>
          <w:rFonts w:eastAsiaTheme="minorHAnsi"/>
          <w:bCs/>
          <w:sz w:val="22"/>
          <w:szCs w:val="22"/>
          <w:lang w:val="sr-Latn-CS"/>
        </w:rPr>
        <w:t xml:space="preserve"> </w:t>
      </w:r>
      <w:r w:rsidRPr="008A2C89">
        <w:rPr>
          <w:rFonts w:eastAsiaTheme="minorHAnsi"/>
          <w:bCs/>
          <w:sz w:val="22"/>
          <w:szCs w:val="22"/>
          <w:lang w:val="en-GB"/>
        </w:rPr>
        <w:t>alkohol</w:t>
      </w:r>
      <w:r w:rsidRPr="00585C79">
        <w:rPr>
          <w:rFonts w:eastAsiaTheme="minorHAnsi"/>
          <w:bCs/>
          <w:sz w:val="22"/>
          <w:szCs w:val="22"/>
          <w:lang w:val="sr-Latn-CS"/>
        </w:rPr>
        <w:t xml:space="preserve"> </w:t>
      </w:r>
      <w:r w:rsidRPr="008A2C89">
        <w:rPr>
          <w:rFonts w:eastAsiaTheme="minorHAnsi"/>
          <w:bCs/>
          <w:sz w:val="22"/>
          <w:szCs w:val="22"/>
          <w:lang w:val="en-GB"/>
        </w:rPr>
        <w:t>mo</w:t>
      </w:r>
      <w:r w:rsidR="008614CB" w:rsidRPr="00585C79">
        <w:rPr>
          <w:rFonts w:eastAsiaTheme="minorHAnsi"/>
          <w:bCs/>
          <w:sz w:val="22"/>
          <w:szCs w:val="22"/>
          <w:lang w:val="sr-Latn-CS"/>
        </w:rPr>
        <w:t>ž</w:t>
      </w:r>
      <w:r w:rsidR="008614CB">
        <w:rPr>
          <w:rFonts w:eastAsiaTheme="minorHAnsi"/>
          <w:bCs/>
          <w:sz w:val="22"/>
          <w:szCs w:val="22"/>
          <w:lang w:val="en-GB"/>
        </w:rPr>
        <w:t>e</w:t>
      </w:r>
      <w:r w:rsidRPr="00585C79">
        <w:rPr>
          <w:rFonts w:eastAsiaTheme="minorHAnsi"/>
          <w:bCs/>
          <w:sz w:val="22"/>
          <w:szCs w:val="22"/>
          <w:lang w:val="sr-Latn-CS"/>
        </w:rPr>
        <w:t xml:space="preserve"> </w:t>
      </w:r>
      <w:r w:rsidRPr="008A2C89">
        <w:rPr>
          <w:rFonts w:eastAsiaTheme="minorHAnsi"/>
          <w:bCs/>
          <w:sz w:val="22"/>
          <w:szCs w:val="22"/>
          <w:lang w:val="en-GB"/>
        </w:rPr>
        <w:t>uzrokovati</w:t>
      </w:r>
      <w:r w:rsidRPr="00585C79">
        <w:rPr>
          <w:rFonts w:eastAsiaTheme="minorHAnsi"/>
          <w:bCs/>
          <w:sz w:val="22"/>
          <w:szCs w:val="22"/>
          <w:lang w:val="sr-Latn-CS"/>
        </w:rPr>
        <w:t xml:space="preserve"> </w:t>
      </w:r>
      <w:r w:rsidRPr="008A2C89">
        <w:rPr>
          <w:rFonts w:eastAsiaTheme="minorHAnsi"/>
          <w:bCs/>
          <w:sz w:val="22"/>
          <w:szCs w:val="22"/>
          <w:lang w:val="en-GB"/>
        </w:rPr>
        <w:t>alergijske</w:t>
      </w:r>
      <w:r w:rsidRPr="00585C79">
        <w:rPr>
          <w:rFonts w:eastAsiaTheme="minorHAnsi"/>
          <w:bCs/>
          <w:sz w:val="22"/>
          <w:szCs w:val="22"/>
          <w:lang w:val="sr-Latn-CS"/>
        </w:rPr>
        <w:t xml:space="preserve"> </w:t>
      </w:r>
      <w:r w:rsidRPr="008A2C89">
        <w:rPr>
          <w:rFonts w:eastAsiaTheme="minorHAnsi"/>
          <w:bCs/>
          <w:sz w:val="22"/>
          <w:szCs w:val="22"/>
          <w:lang w:val="en-GB"/>
        </w:rPr>
        <w:t>reakcije</w:t>
      </w:r>
      <w:r w:rsidRPr="00585C79">
        <w:rPr>
          <w:rFonts w:eastAsiaTheme="minorHAnsi"/>
          <w:bCs/>
          <w:sz w:val="22"/>
          <w:szCs w:val="22"/>
          <w:lang w:val="sr-Latn-CS"/>
        </w:rPr>
        <w:t xml:space="preserve">. </w:t>
      </w:r>
    </w:p>
    <w:p w14:paraId="3AA767F7" w14:textId="608A5C66" w:rsidR="00E84A37" w:rsidRPr="00585C79" w:rsidRDefault="00E84A37" w:rsidP="00E84A37">
      <w:pPr>
        <w:tabs>
          <w:tab w:val="left" w:pos="540"/>
          <w:tab w:val="left" w:pos="569"/>
        </w:tabs>
        <w:spacing w:line="259" w:lineRule="auto"/>
        <w:jc w:val="both"/>
        <w:rPr>
          <w:rFonts w:eastAsiaTheme="minorHAnsi"/>
          <w:bCs/>
          <w:sz w:val="22"/>
          <w:szCs w:val="22"/>
          <w:lang w:val="sr-Latn-CS"/>
        </w:rPr>
      </w:pPr>
      <w:r w:rsidRPr="008A2C89">
        <w:rPr>
          <w:rFonts w:eastAsiaTheme="minorHAnsi"/>
          <w:bCs/>
          <w:sz w:val="22"/>
          <w:szCs w:val="22"/>
          <w:lang w:val="en-GB"/>
        </w:rPr>
        <w:t>Velike</w:t>
      </w:r>
      <w:r w:rsidRPr="00585C79">
        <w:rPr>
          <w:rFonts w:eastAsiaTheme="minorHAnsi"/>
          <w:bCs/>
          <w:sz w:val="22"/>
          <w:szCs w:val="22"/>
          <w:lang w:val="sr-Latn-CS"/>
        </w:rPr>
        <w:t xml:space="preserve"> </w:t>
      </w:r>
      <w:r w:rsidRPr="008A2C89">
        <w:rPr>
          <w:rFonts w:eastAsiaTheme="minorHAnsi"/>
          <w:bCs/>
          <w:sz w:val="22"/>
          <w:szCs w:val="22"/>
          <w:lang w:val="en-GB"/>
        </w:rPr>
        <w:t>koli</w:t>
      </w:r>
      <w:r w:rsidRPr="00585C79">
        <w:rPr>
          <w:rFonts w:eastAsiaTheme="minorHAnsi"/>
          <w:bCs/>
          <w:sz w:val="22"/>
          <w:szCs w:val="22"/>
          <w:lang w:val="sr-Latn-CS"/>
        </w:rPr>
        <w:t>č</w:t>
      </w:r>
      <w:r w:rsidRPr="008A2C89">
        <w:rPr>
          <w:rFonts w:eastAsiaTheme="minorHAnsi"/>
          <w:bCs/>
          <w:sz w:val="22"/>
          <w:szCs w:val="22"/>
          <w:lang w:val="en-GB"/>
        </w:rPr>
        <w:t>ine</w:t>
      </w:r>
      <w:r w:rsidRPr="00585C79">
        <w:rPr>
          <w:rFonts w:eastAsiaTheme="minorHAnsi"/>
          <w:bCs/>
          <w:sz w:val="22"/>
          <w:szCs w:val="22"/>
          <w:lang w:val="sr-Latn-CS"/>
        </w:rPr>
        <w:t xml:space="preserve"> </w:t>
      </w:r>
      <w:r w:rsidRPr="008A2C89">
        <w:rPr>
          <w:rFonts w:eastAsiaTheme="minorHAnsi"/>
          <w:bCs/>
          <w:sz w:val="22"/>
          <w:szCs w:val="22"/>
          <w:lang w:val="en-GB"/>
        </w:rPr>
        <w:t>benzil</w:t>
      </w:r>
      <w:r w:rsidRPr="00585C79">
        <w:rPr>
          <w:rFonts w:eastAsiaTheme="minorHAnsi"/>
          <w:bCs/>
          <w:sz w:val="22"/>
          <w:szCs w:val="22"/>
          <w:lang w:val="sr-Latn-CS"/>
        </w:rPr>
        <w:t xml:space="preserve"> </w:t>
      </w:r>
      <w:r w:rsidRPr="008A2C89">
        <w:rPr>
          <w:rFonts w:eastAsiaTheme="minorHAnsi"/>
          <w:bCs/>
          <w:sz w:val="22"/>
          <w:szCs w:val="22"/>
          <w:lang w:val="en-GB"/>
        </w:rPr>
        <w:t>alkohola</w:t>
      </w:r>
      <w:r w:rsidRPr="00585C79">
        <w:rPr>
          <w:rFonts w:eastAsiaTheme="minorHAnsi"/>
          <w:bCs/>
          <w:sz w:val="22"/>
          <w:szCs w:val="22"/>
          <w:lang w:val="sr-Latn-CS"/>
        </w:rPr>
        <w:t xml:space="preserve"> </w:t>
      </w:r>
      <w:r w:rsidRPr="008A2C89">
        <w:rPr>
          <w:rFonts w:eastAsiaTheme="minorHAnsi"/>
          <w:bCs/>
          <w:sz w:val="22"/>
          <w:szCs w:val="22"/>
          <w:lang w:val="en-GB"/>
        </w:rPr>
        <w:t>se</w:t>
      </w:r>
      <w:r w:rsidRPr="00585C79">
        <w:rPr>
          <w:rFonts w:eastAsiaTheme="minorHAnsi"/>
          <w:bCs/>
          <w:sz w:val="22"/>
          <w:szCs w:val="22"/>
          <w:lang w:val="sr-Latn-CS"/>
        </w:rPr>
        <w:t xml:space="preserve"> </w:t>
      </w:r>
      <w:r w:rsidRPr="008A2C89">
        <w:rPr>
          <w:rFonts w:eastAsiaTheme="minorHAnsi"/>
          <w:bCs/>
          <w:sz w:val="22"/>
          <w:szCs w:val="22"/>
          <w:lang w:val="en-GB"/>
        </w:rPr>
        <w:t>mogu</w:t>
      </w:r>
      <w:r w:rsidRPr="00585C79">
        <w:rPr>
          <w:rFonts w:eastAsiaTheme="minorHAnsi"/>
          <w:bCs/>
          <w:sz w:val="22"/>
          <w:szCs w:val="22"/>
          <w:lang w:val="sr-Latn-CS"/>
        </w:rPr>
        <w:t xml:space="preserve"> </w:t>
      </w:r>
      <w:r w:rsidRPr="008A2C89">
        <w:rPr>
          <w:rFonts w:eastAsiaTheme="minorHAnsi"/>
          <w:bCs/>
          <w:sz w:val="22"/>
          <w:szCs w:val="22"/>
          <w:lang w:val="en-GB"/>
        </w:rPr>
        <w:t>nakupiti</w:t>
      </w:r>
      <w:r w:rsidRPr="00585C79">
        <w:rPr>
          <w:rFonts w:eastAsiaTheme="minorHAnsi"/>
          <w:bCs/>
          <w:sz w:val="22"/>
          <w:szCs w:val="22"/>
          <w:lang w:val="sr-Latn-CS"/>
        </w:rPr>
        <w:t xml:space="preserve"> </w:t>
      </w:r>
      <w:r w:rsidRPr="008A2C89">
        <w:rPr>
          <w:rFonts w:eastAsiaTheme="minorHAnsi"/>
          <w:bCs/>
          <w:sz w:val="22"/>
          <w:szCs w:val="22"/>
          <w:lang w:val="en-GB"/>
        </w:rPr>
        <w:t>u</w:t>
      </w:r>
      <w:r w:rsidRPr="00585C79">
        <w:rPr>
          <w:rFonts w:eastAsiaTheme="minorHAnsi"/>
          <w:bCs/>
          <w:sz w:val="22"/>
          <w:szCs w:val="22"/>
          <w:lang w:val="sr-Latn-CS"/>
        </w:rPr>
        <w:t xml:space="preserve"> </w:t>
      </w:r>
      <w:r w:rsidRPr="008A2C89">
        <w:rPr>
          <w:rFonts w:eastAsiaTheme="minorHAnsi"/>
          <w:bCs/>
          <w:sz w:val="22"/>
          <w:szCs w:val="22"/>
          <w:lang w:val="en-GB"/>
        </w:rPr>
        <w:t>tijelu</w:t>
      </w:r>
      <w:r w:rsidRPr="00585C79">
        <w:rPr>
          <w:rFonts w:eastAsiaTheme="minorHAnsi"/>
          <w:bCs/>
          <w:sz w:val="22"/>
          <w:szCs w:val="22"/>
          <w:lang w:val="sr-Latn-CS"/>
        </w:rPr>
        <w:t xml:space="preserve"> </w:t>
      </w:r>
      <w:r w:rsidRPr="008A2C89">
        <w:rPr>
          <w:rFonts w:eastAsiaTheme="minorHAnsi"/>
          <w:bCs/>
          <w:sz w:val="22"/>
          <w:szCs w:val="22"/>
          <w:lang w:val="en-GB"/>
        </w:rPr>
        <w:t>i</w:t>
      </w:r>
      <w:r w:rsidRPr="00585C79">
        <w:rPr>
          <w:rFonts w:eastAsiaTheme="minorHAnsi"/>
          <w:bCs/>
          <w:sz w:val="22"/>
          <w:szCs w:val="22"/>
          <w:lang w:val="sr-Latn-CS"/>
        </w:rPr>
        <w:t xml:space="preserve"> </w:t>
      </w:r>
      <w:r w:rsidRPr="008A2C89">
        <w:rPr>
          <w:rFonts w:eastAsiaTheme="minorHAnsi"/>
          <w:bCs/>
          <w:sz w:val="22"/>
          <w:szCs w:val="22"/>
          <w:lang w:val="en-GB"/>
        </w:rPr>
        <w:t>mogu</w:t>
      </w:r>
      <w:r w:rsidRPr="00585C79">
        <w:rPr>
          <w:rFonts w:eastAsiaTheme="minorHAnsi"/>
          <w:bCs/>
          <w:sz w:val="22"/>
          <w:szCs w:val="22"/>
          <w:lang w:val="sr-Latn-CS"/>
        </w:rPr>
        <w:t xml:space="preserve"> </w:t>
      </w:r>
      <w:r w:rsidRPr="008A2C89">
        <w:rPr>
          <w:rFonts w:eastAsiaTheme="minorHAnsi"/>
          <w:bCs/>
          <w:sz w:val="22"/>
          <w:szCs w:val="22"/>
          <w:lang w:val="en-GB"/>
        </w:rPr>
        <w:t>prouzrokovati</w:t>
      </w:r>
      <w:r w:rsidRPr="00585C79">
        <w:rPr>
          <w:rFonts w:eastAsiaTheme="minorHAnsi"/>
          <w:bCs/>
          <w:sz w:val="22"/>
          <w:szCs w:val="22"/>
          <w:lang w:val="sr-Latn-CS"/>
        </w:rPr>
        <w:t xml:space="preserve"> </w:t>
      </w:r>
      <w:r w:rsidRPr="008A2C89">
        <w:rPr>
          <w:rFonts w:eastAsiaTheme="minorHAnsi"/>
          <w:bCs/>
          <w:sz w:val="22"/>
          <w:szCs w:val="22"/>
          <w:lang w:val="en-GB"/>
        </w:rPr>
        <w:t>ne</w:t>
      </w:r>
      <w:r w:rsidRPr="00585C79">
        <w:rPr>
          <w:rFonts w:eastAsiaTheme="minorHAnsi"/>
          <w:bCs/>
          <w:sz w:val="22"/>
          <w:szCs w:val="22"/>
          <w:lang w:val="sr-Latn-CS"/>
        </w:rPr>
        <w:t>ž</w:t>
      </w:r>
      <w:r w:rsidRPr="008A2C89">
        <w:rPr>
          <w:rFonts w:eastAsiaTheme="minorHAnsi"/>
          <w:bCs/>
          <w:sz w:val="22"/>
          <w:szCs w:val="22"/>
          <w:lang w:val="en-GB"/>
        </w:rPr>
        <w:t>eljena</w:t>
      </w:r>
      <w:r w:rsidRPr="00585C79">
        <w:rPr>
          <w:rFonts w:eastAsiaTheme="minorHAnsi"/>
          <w:bCs/>
          <w:sz w:val="22"/>
          <w:szCs w:val="22"/>
          <w:lang w:val="sr-Latn-CS"/>
        </w:rPr>
        <w:t xml:space="preserve"> </w:t>
      </w:r>
      <w:r w:rsidRPr="008A2C89">
        <w:rPr>
          <w:rFonts w:eastAsiaTheme="minorHAnsi"/>
          <w:bCs/>
          <w:sz w:val="22"/>
          <w:szCs w:val="22"/>
          <w:lang w:val="en-GB"/>
        </w:rPr>
        <w:t>dejstva</w:t>
      </w:r>
      <w:r w:rsidRPr="00585C79">
        <w:rPr>
          <w:rFonts w:eastAsiaTheme="minorHAnsi"/>
          <w:bCs/>
          <w:sz w:val="22"/>
          <w:szCs w:val="22"/>
          <w:lang w:val="sr-Latn-CS"/>
        </w:rPr>
        <w:t xml:space="preserve"> (</w:t>
      </w:r>
      <w:r w:rsidRPr="008A2C89">
        <w:rPr>
          <w:rFonts w:eastAsiaTheme="minorHAnsi"/>
          <w:bCs/>
          <w:sz w:val="22"/>
          <w:szCs w:val="22"/>
          <w:lang w:val="en-GB"/>
        </w:rPr>
        <w:t>metaboli</w:t>
      </w:r>
      <w:r w:rsidRPr="00585C79">
        <w:rPr>
          <w:rFonts w:eastAsiaTheme="minorHAnsi"/>
          <w:bCs/>
          <w:sz w:val="22"/>
          <w:szCs w:val="22"/>
          <w:lang w:val="sr-Latn-CS"/>
        </w:rPr>
        <w:t>č</w:t>
      </w:r>
      <w:r w:rsidRPr="008A2C89">
        <w:rPr>
          <w:rFonts w:eastAsiaTheme="minorHAnsi"/>
          <w:bCs/>
          <w:sz w:val="22"/>
          <w:szCs w:val="22"/>
          <w:lang w:val="en-GB"/>
        </w:rPr>
        <w:t>ka</w:t>
      </w:r>
      <w:r w:rsidRPr="00585C79">
        <w:rPr>
          <w:rFonts w:eastAsiaTheme="minorHAnsi"/>
          <w:bCs/>
          <w:sz w:val="22"/>
          <w:szCs w:val="22"/>
          <w:lang w:val="sr-Latn-CS"/>
        </w:rPr>
        <w:t xml:space="preserve"> </w:t>
      </w:r>
      <w:r w:rsidRPr="008A2C89">
        <w:rPr>
          <w:rFonts w:eastAsiaTheme="minorHAnsi"/>
          <w:bCs/>
          <w:sz w:val="22"/>
          <w:szCs w:val="22"/>
          <w:lang w:val="en-GB"/>
        </w:rPr>
        <w:t>acidoza</w:t>
      </w:r>
      <w:r w:rsidRPr="00585C79">
        <w:rPr>
          <w:rFonts w:eastAsiaTheme="minorHAnsi"/>
          <w:bCs/>
          <w:sz w:val="22"/>
          <w:szCs w:val="22"/>
          <w:lang w:val="sr-Latn-CS"/>
        </w:rPr>
        <w:t xml:space="preserve">). </w:t>
      </w:r>
      <w:r w:rsidRPr="008A2C89">
        <w:rPr>
          <w:rFonts w:eastAsiaTheme="minorHAnsi"/>
          <w:bCs/>
          <w:sz w:val="22"/>
          <w:szCs w:val="22"/>
          <w:lang w:val="en-GB"/>
        </w:rPr>
        <w:t>Treba</w:t>
      </w:r>
      <w:r w:rsidRPr="00585C79">
        <w:rPr>
          <w:rFonts w:eastAsiaTheme="minorHAnsi"/>
          <w:bCs/>
          <w:sz w:val="22"/>
          <w:szCs w:val="22"/>
          <w:lang w:val="sr-Latn-CS"/>
        </w:rPr>
        <w:t xml:space="preserve"> </w:t>
      </w:r>
      <w:r w:rsidRPr="008A2C89">
        <w:rPr>
          <w:rFonts w:eastAsiaTheme="minorHAnsi"/>
          <w:bCs/>
          <w:sz w:val="22"/>
          <w:szCs w:val="22"/>
          <w:lang w:val="en-GB"/>
        </w:rPr>
        <w:t>se</w:t>
      </w:r>
      <w:r w:rsidRPr="00585C79">
        <w:rPr>
          <w:rFonts w:eastAsiaTheme="minorHAnsi"/>
          <w:bCs/>
          <w:sz w:val="22"/>
          <w:szCs w:val="22"/>
          <w:lang w:val="sr-Latn-CS"/>
        </w:rPr>
        <w:t xml:space="preserve"> </w:t>
      </w:r>
      <w:r w:rsidRPr="008A2C89">
        <w:rPr>
          <w:rFonts w:eastAsiaTheme="minorHAnsi"/>
          <w:bCs/>
          <w:sz w:val="22"/>
          <w:szCs w:val="22"/>
          <w:lang w:val="en-GB"/>
        </w:rPr>
        <w:t>primjenjivati</w:t>
      </w:r>
      <w:r w:rsidRPr="00585C79">
        <w:rPr>
          <w:rFonts w:eastAsiaTheme="minorHAnsi"/>
          <w:bCs/>
          <w:sz w:val="22"/>
          <w:szCs w:val="22"/>
          <w:lang w:val="sr-Latn-CS"/>
        </w:rPr>
        <w:t xml:space="preserve"> </w:t>
      </w:r>
      <w:r w:rsidRPr="008A2C89">
        <w:rPr>
          <w:rFonts w:eastAsiaTheme="minorHAnsi"/>
          <w:bCs/>
          <w:sz w:val="22"/>
          <w:szCs w:val="22"/>
          <w:lang w:val="en-GB"/>
        </w:rPr>
        <w:t>uz</w:t>
      </w:r>
      <w:r w:rsidRPr="00585C79">
        <w:rPr>
          <w:rFonts w:eastAsiaTheme="minorHAnsi"/>
          <w:bCs/>
          <w:sz w:val="22"/>
          <w:szCs w:val="22"/>
          <w:lang w:val="sr-Latn-CS"/>
        </w:rPr>
        <w:t xml:space="preserve"> </w:t>
      </w:r>
      <w:r w:rsidRPr="008A2C89">
        <w:rPr>
          <w:rFonts w:eastAsiaTheme="minorHAnsi"/>
          <w:bCs/>
          <w:sz w:val="22"/>
          <w:szCs w:val="22"/>
          <w:lang w:val="en-GB"/>
        </w:rPr>
        <w:t>oprez</w:t>
      </w:r>
      <w:r w:rsidRPr="00585C79">
        <w:rPr>
          <w:rFonts w:eastAsiaTheme="minorHAnsi"/>
          <w:bCs/>
          <w:sz w:val="22"/>
          <w:szCs w:val="22"/>
          <w:lang w:val="sr-Latn-CS"/>
        </w:rPr>
        <w:t xml:space="preserve"> </w:t>
      </w:r>
      <w:r w:rsidRPr="008A2C89">
        <w:rPr>
          <w:rFonts w:eastAsiaTheme="minorHAnsi"/>
          <w:bCs/>
          <w:sz w:val="22"/>
          <w:szCs w:val="22"/>
          <w:lang w:val="en-GB"/>
        </w:rPr>
        <w:t>i</w:t>
      </w:r>
      <w:r w:rsidRPr="00585C79">
        <w:rPr>
          <w:rFonts w:eastAsiaTheme="minorHAnsi"/>
          <w:bCs/>
          <w:sz w:val="22"/>
          <w:szCs w:val="22"/>
          <w:lang w:val="sr-Latn-CS"/>
        </w:rPr>
        <w:t xml:space="preserve"> </w:t>
      </w:r>
      <w:r w:rsidRPr="008A2C89">
        <w:rPr>
          <w:rFonts w:eastAsiaTheme="minorHAnsi"/>
          <w:bCs/>
          <w:sz w:val="22"/>
          <w:szCs w:val="22"/>
          <w:lang w:val="en-GB"/>
        </w:rPr>
        <w:t>samo</w:t>
      </w:r>
      <w:r w:rsidRPr="00585C79">
        <w:rPr>
          <w:rFonts w:eastAsiaTheme="minorHAnsi"/>
          <w:bCs/>
          <w:sz w:val="22"/>
          <w:szCs w:val="22"/>
          <w:lang w:val="sr-Latn-CS"/>
        </w:rPr>
        <w:t xml:space="preserve"> </w:t>
      </w:r>
      <w:r w:rsidRPr="008A2C89">
        <w:rPr>
          <w:rFonts w:eastAsiaTheme="minorHAnsi"/>
          <w:bCs/>
          <w:sz w:val="22"/>
          <w:szCs w:val="22"/>
          <w:lang w:val="en-GB"/>
        </w:rPr>
        <w:t>ako</w:t>
      </w:r>
      <w:r w:rsidRPr="00585C79">
        <w:rPr>
          <w:rFonts w:eastAsiaTheme="minorHAnsi"/>
          <w:bCs/>
          <w:sz w:val="22"/>
          <w:szCs w:val="22"/>
          <w:lang w:val="sr-Latn-CS"/>
        </w:rPr>
        <w:t xml:space="preserve"> </w:t>
      </w:r>
      <w:r w:rsidRPr="008A2C89">
        <w:rPr>
          <w:rFonts w:eastAsiaTheme="minorHAnsi"/>
          <w:bCs/>
          <w:sz w:val="22"/>
          <w:szCs w:val="22"/>
          <w:lang w:val="en-GB"/>
        </w:rPr>
        <w:t>je</w:t>
      </w:r>
      <w:r w:rsidRPr="00585C79">
        <w:rPr>
          <w:rFonts w:eastAsiaTheme="minorHAnsi"/>
          <w:bCs/>
          <w:sz w:val="22"/>
          <w:szCs w:val="22"/>
          <w:lang w:val="sr-Latn-CS"/>
        </w:rPr>
        <w:t xml:space="preserve"> </w:t>
      </w:r>
      <w:r w:rsidRPr="008A2C89">
        <w:rPr>
          <w:rFonts w:eastAsiaTheme="minorHAnsi"/>
          <w:bCs/>
          <w:sz w:val="22"/>
          <w:szCs w:val="22"/>
          <w:lang w:val="en-GB"/>
        </w:rPr>
        <w:t>neophodno</w:t>
      </w:r>
      <w:r w:rsidRPr="00585C79">
        <w:rPr>
          <w:rFonts w:eastAsiaTheme="minorHAnsi"/>
          <w:bCs/>
          <w:sz w:val="22"/>
          <w:szCs w:val="22"/>
          <w:lang w:val="sr-Latn-CS"/>
        </w:rPr>
        <w:t xml:space="preserve">, </w:t>
      </w:r>
      <w:r w:rsidRPr="008A2C89">
        <w:rPr>
          <w:rFonts w:eastAsiaTheme="minorHAnsi"/>
          <w:bCs/>
          <w:sz w:val="22"/>
          <w:szCs w:val="22"/>
          <w:lang w:val="en-GB"/>
        </w:rPr>
        <w:t>naro</w:t>
      </w:r>
      <w:r w:rsidRPr="00585C79">
        <w:rPr>
          <w:rFonts w:eastAsiaTheme="minorHAnsi"/>
          <w:bCs/>
          <w:sz w:val="22"/>
          <w:szCs w:val="22"/>
          <w:lang w:val="sr-Latn-CS"/>
        </w:rPr>
        <w:t>č</w:t>
      </w:r>
      <w:r w:rsidRPr="008A2C89">
        <w:rPr>
          <w:rFonts w:eastAsiaTheme="minorHAnsi"/>
          <w:bCs/>
          <w:sz w:val="22"/>
          <w:szCs w:val="22"/>
          <w:lang w:val="en-GB"/>
        </w:rPr>
        <w:t>ito</w:t>
      </w:r>
      <w:r w:rsidRPr="00585C79">
        <w:rPr>
          <w:rFonts w:eastAsiaTheme="minorHAnsi"/>
          <w:bCs/>
          <w:sz w:val="22"/>
          <w:szCs w:val="22"/>
          <w:lang w:val="sr-Latn-CS"/>
        </w:rPr>
        <w:t xml:space="preserve"> </w:t>
      </w:r>
      <w:r w:rsidRPr="008A2C89">
        <w:rPr>
          <w:rFonts w:eastAsiaTheme="minorHAnsi"/>
          <w:bCs/>
          <w:sz w:val="22"/>
          <w:szCs w:val="22"/>
          <w:lang w:val="en-GB"/>
        </w:rPr>
        <w:t>kod</w:t>
      </w:r>
      <w:r w:rsidRPr="00585C79">
        <w:rPr>
          <w:rFonts w:eastAsiaTheme="minorHAnsi"/>
          <w:bCs/>
          <w:sz w:val="22"/>
          <w:szCs w:val="22"/>
          <w:lang w:val="sr-Latn-CS"/>
        </w:rPr>
        <w:t xml:space="preserve"> </w:t>
      </w:r>
      <w:r w:rsidRPr="008A2C89">
        <w:rPr>
          <w:rFonts w:eastAsiaTheme="minorHAnsi"/>
          <w:bCs/>
          <w:sz w:val="22"/>
          <w:szCs w:val="22"/>
          <w:lang w:val="en-GB"/>
        </w:rPr>
        <w:t>pacijenata</w:t>
      </w:r>
      <w:r w:rsidR="008F34AA">
        <w:rPr>
          <w:rFonts w:eastAsiaTheme="minorHAnsi"/>
          <w:bCs/>
          <w:sz w:val="22"/>
          <w:szCs w:val="22"/>
          <w:lang w:val="sr-Latn-CS"/>
        </w:rPr>
        <w:t xml:space="preserve"> </w:t>
      </w:r>
      <w:proofErr w:type="gramStart"/>
      <w:r w:rsidRPr="008A2C89">
        <w:rPr>
          <w:rFonts w:eastAsiaTheme="minorHAnsi"/>
          <w:bCs/>
          <w:sz w:val="22"/>
          <w:szCs w:val="22"/>
          <w:lang w:val="en-GB"/>
        </w:rPr>
        <w:t>sa</w:t>
      </w:r>
      <w:proofErr w:type="gramEnd"/>
      <w:r w:rsidRPr="00585C79">
        <w:rPr>
          <w:rFonts w:eastAsiaTheme="minorHAnsi"/>
          <w:bCs/>
          <w:sz w:val="22"/>
          <w:szCs w:val="22"/>
          <w:lang w:val="sr-Latn-CS"/>
        </w:rPr>
        <w:t xml:space="preserve"> </w:t>
      </w:r>
      <w:r w:rsidRPr="008A2C89">
        <w:rPr>
          <w:rFonts w:eastAsiaTheme="minorHAnsi"/>
          <w:bCs/>
          <w:sz w:val="22"/>
          <w:szCs w:val="22"/>
          <w:lang w:val="en-GB"/>
        </w:rPr>
        <w:t>o</w:t>
      </w:r>
      <w:r w:rsidRPr="00585C79">
        <w:rPr>
          <w:rFonts w:eastAsiaTheme="minorHAnsi"/>
          <w:bCs/>
          <w:sz w:val="22"/>
          <w:szCs w:val="22"/>
          <w:lang w:val="sr-Latn-CS"/>
        </w:rPr>
        <w:t>š</w:t>
      </w:r>
      <w:r w:rsidRPr="008A2C89">
        <w:rPr>
          <w:rFonts w:eastAsiaTheme="minorHAnsi"/>
          <w:bCs/>
          <w:sz w:val="22"/>
          <w:szCs w:val="22"/>
          <w:lang w:val="en-GB"/>
        </w:rPr>
        <w:t>te</w:t>
      </w:r>
      <w:r w:rsidRPr="00585C79">
        <w:rPr>
          <w:rFonts w:eastAsiaTheme="minorHAnsi"/>
          <w:bCs/>
          <w:sz w:val="22"/>
          <w:szCs w:val="22"/>
          <w:lang w:val="sr-Latn-CS"/>
        </w:rPr>
        <w:t>ć</w:t>
      </w:r>
      <w:r w:rsidRPr="008A2C89">
        <w:rPr>
          <w:rFonts w:eastAsiaTheme="minorHAnsi"/>
          <w:bCs/>
          <w:sz w:val="22"/>
          <w:szCs w:val="22"/>
          <w:lang w:val="en-GB"/>
        </w:rPr>
        <w:t>enjem</w:t>
      </w:r>
      <w:r w:rsidRPr="00585C79">
        <w:rPr>
          <w:rFonts w:eastAsiaTheme="minorHAnsi"/>
          <w:bCs/>
          <w:sz w:val="22"/>
          <w:szCs w:val="22"/>
          <w:lang w:val="sr-Latn-CS"/>
        </w:rPr>
        <w:t xml:space="preserve"> </w:t>
      </w:r>
      <w:r w:rsidRPr="008A2C89">
        <w:rPr>
          <w:rFonts w:eastAsiaTheme="minorHAnsi"/>
          <w:bCs/>
          <w:sz w:val="22"/>
          <w:szCs w:val="22"/>
          <w:lang w:val="en-GB"/>
        </w:rPr>
        <w:t>funkcije</w:t>
      </w:r>
      <w:r w:rsidRPr="00585C79">
        <w:rPr>
          <w:rFonts w:eastAsiaTheme="minorHAnsi"/>
          <w:bCs/>
          <w:sz w:val="22"/>
          <w:szCs w:val="22"/>
          <w:lang w:val="sr-Latn-CS"/>
        </w:rPr>
        <w:t xml:space="preserve"> </w:t>
      </w:r>
      <w:r w:rsidRPr="008A2C89">
        <w:rPr>
          <w:rFonts w:eastAsiaTheme="minorHAnsi"/>
          <w:bCs/>
          <w:sz w:val="22"/>
          <w:szCs w:val="22"/>
          <w:lang w:val="en-GB"/>
        </w:rPr>
        <w:t>jetre</w:t>
      </w:r>
      <w:r w:rsidRPr="00585C79">
        <w:rPr>
          <w:rFonts w:eastAsiaTheme="minorHAnsi"/>
          <w:bCs/>
          <w:sz w:val="22"/>
          <w:szCs w:val="22"/>
          <w:lang w:val="sr-Latn-CS"/>
        </w:rPr>
        <w:t xml:space="preserve"> </w:t>
      </w:r>
      <w:r w:rsidRPr="008A2C89">
        <w:rPr>
          <w:rFonts w:eastAsiaTheme="minorHAnsi"/>
          <w:bCs/>
          <w:sz w:val="22"/>
          <w:szCs w:val="22"/>
          <w:lang w:val="en-GB"/>
        </w:rPr>
        <w:t>ili</w:t>
      </w:r>
      <w:r w:rsidRPr="00585C79">
        <w:rPr>
          <w:rFonts w:eastAsiaTheme="minorHAnsi"/>
          <w:bCs/>
          <w:sz w:val="22"/>
          <w:szCs w:val="22"/>
          <w:lang w:val="sr-Latn-CS"/>
        </w:rPr>
        <w:t xml:space="preserve"> </w:t>
      </w:r>
      <w:r w:rsidRPr="008A2C89">
        <w:rPr>
          <w:rFonts w:eastAsiaTheme="minorHAnsi"/>
          <w:bCs/>
          <w:sz w:val="22"/>
          <w:szCs w:val="22"/>
          <w:lang w:val="en-GB"/>
        </w:rPr>
        <w:t>bubrega</w:t>
      </w:r>
      <w:r w:rsidRPr="00585C79">
        <w:rPr>
          <w:rFonts w:eastAsiaTheme="minorHAnsi"/>
          <w:bCs/>
          <w:sz w:val="22"/>
          <w:szCs w:val="22"/>
          <w:lang w:val="sr-Latn-CS"/>
        </w:rPr>
        <w:t>.</w:t>
      </w:r>
    </w:p>
    <w:p w14:paraId="434C3863" w14:textId="77777777" w:rsidR="00057E35" w:rsidRPr="00585C79" w:rsidRDefault="00057E35" w:rsidP="00480FB1">
      <w:pPr>
        <w:tabs>
          <w:tab w:val="left" w:pos="540"/>
          <w:tab w:val="left" w:pos="569"/>
        </w:tabs>
        <w:rPr>
          <w:bCs/>
          <w:sz w:val="22"/>
          <w:szCs w:val="22"/>
          <w:lang w:val="sr-Latn-CS"/>
        </w:rPr>
      </w:pPr>
    </w:p>
    <w:p w14:paraId="5E1BF6A5" w14:textId="51677DE5" w:rsidR="00411B4B" w:rsidRPr="00585C79" w:rsidRDefault="00411B4B" w:rsidP="00480FB1">
      <w:pPr>
        <w:tabs>
          <w:tab w:val="left" w:pos="540"/>
          <w:tab w:val="left" w:pos="569"/>
        </w:tabs>
        <w:rPr>
          <w:b/>
          <w:bCs/>
          <w:sz w:val="22"/>
          <w:szCs w:val="22"/>
          <w:lang w:val="de-DE"/>
        </w:rPr>
      </w:pPr>
      <w:r w:rsidRPr="00585C79">
        <w:rPr>
          <w:b/>
          <w:bCs/>
          <w:sz w:val="22"/>
          <w:szCs w:val="22"/>
          <w:lang w:val="de-DE"/>
        </w:rPr>
        <w:t>4.5.</w:t>
      </w:r>
      <w:r w:rsidR="008614CB" w:rsidRPr="00585C79">
        <w:rPr>
          <w:b/>
          <w:bCs/>
          <w:sz w:val="22"/>
          <w:szCs w:val="22"/>
          <w:lang w:val="de-DE"/>
        </w:rPr>
        <w:t xml:space="preserve"> </w:t>
      </w:r>
      <w:r w:rsidRPr="00585C79">
        <w:rPr>
          <w:b/>
          <w:bCs/>
          <w:sz w:val="22"/>
          <w:szCs w:val="22"/>
          <w:lang w:val="de-DE"/>
        </w:rPr>
        <w:t>Interakcije sa drugim ljekovima i druge vrste interakcija</w:t>
      </w:r>
    </w:p>
    <w:p w14:paraId="71D1F91F" w14:textId="77777777" w:rsidR="003A2EB0" w:rsidRPr="00585C79" w:rsidRDefault="003A2EB0" w:rsidP="00480FB1">
      <w:pPr>
        <w:tabs>
          <w:tab w:val="left" w:pos="540"/>
          <w:tab w:val="left" w:pos="569"/>
        </w:tabs>
        <w:rPr>
          <w:b/>
          <w:bCs/>
          <w:sz w:val="22"/>
          <w:szCs w:val="22"/>
          <w:lang w:val="de-DE"/>
        </w:rPr>
      </w:pPr>
    </w:p>
    <w:p w14:paraId="1F4F0AA8" w14:textId="77777777" w:rsidR="003A2EB0" w:rsidRPr="008A2C89" w:rsidRDefault="003A2EB0" w:rsidP="003A2EB0">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 xml:space="preserve">Kliničko ispitivanje interakcije sa midazolamom (supstratom CYP3A4) pokazalo je da fulvestrant ne inhibira CYP3A4. Klinička ispitivanja interakcije sa rifampicinom (induktorom CYP3A4) i ketokonazolom (inhibitorom CYP3A4) nijesu ukazala na klinički značajne promjene u klirensu fulvestranta. Zato nije potrebno prilagođavati dozu kod pacijentkinja koje istovremeno primaju fulvestrant i inhibitore ili induktore CYP3A4. </w:t>
      </w:r>
    </w:p>
    <w:p w14:paraId="36589431" w14:textId="77777777" w:rsidR="0072020E" w:rsidRPr="00585C79" w:rsidRDefault="0072020E" w:rsidP="00480FB1">
      <w:pPr>
        <w:tabs>
          <w:tab w:val="left" w:pos="540"/>
          <w:tab w:val="left" w:pos="569"/>
        </w:tabs>
        <w:rPr>
          <w:bCs/>
          <w:sz w:val="22"/>
          <w:szCs w:val="22"/>
          <w:lang w:val="hr-HR"/>
        </w:rPr>
      </w:pPr>
    </w:p>
    <w:p w14:paraId="7F39E860" w14:textId="77777777" w:rsidR="0072020E" w:rsidRDefault="0072020E" w:rsidP="00480FB1">
      <w:pPr>
        <w:tabs>
          <w:tab w:val="left" w:pos="540"/>
          <w:tab w:val="left" w:pos="569"/>
        </w:tabs>
        <w:rPr>
          <w:b/>
          <w:sz w:val="22"/>
          <w:szCs w:val="22"/>
          <w:lang w:val="sr-Latn-CS"/>
        </w:rPr>
      </w:pPr>
      <w:r w:rsidRPr="008A2C89">
        <w:rPr>
          <w:b/>
          <w:bCs/>
          <w:sz w:val="22"/>
          <w:szCs w:val="22"/>
        </w:rPr>
        <w:t xml:space="preserve">4.6. </w:t>
      </w:r>
      <w:r w:rsidR="00480FB1" w:rsidRPr="008A2C89">
        <w:rPr>
          <w:b/>
          <w:bCs/>
          <w:sz w:val="22"/>
          <w:szCs w:val="22"/>
        </w:rPr>
        <w:tab/>
      </w:r>
      <w:r w:rsidR="006D20A5" w:rsidRPr="008A2C89">
        <w:rPr>
          <w:b/>
          <w:sz w:val="22"/>
          <w:szCs w:val="22"/>
          <w:lang w:val="sr-Latn-CS"/>
        </w:rPr>
        <w:t>Plodnost, trudnoća i dojenje</w:t>
      </w:r>
    </w:p>
    <w:p w14:paraId="6B949D23" w14:textId="77777777" w:rsidR="008614CB" w:rsidRDefault="008614CB" w:rsidP="008614CB">
      <w:pPr>
        <w:autoSpaceDE w:val="0"/>
        <w:autoSpaceDN w:val="0"/>
        <w:adjustRightInd w:val="0"/>
        <w:spacing w:line="259" w:lineRule="auto"/>
        <w:jc w:val="both"/>
        <w:rPr>
          <w:rFonts w:eastAsia="Calibri"/>
          <w:color w:val="000000"/>
          <w:sz w:val="22"/>
          <w:szCs w:val="22"/>
          <w:u w:val="single"/>
          <w:lang w:val="hr-HR"/>
        </w:rPr>
      </w:pPr>
    </w:p>
    <w:p w14:paraId="3F5D4811" w14:textId="77777777" w:rsidR="008614CB" w:rsidRPr="008A2C89" w:rsidRDefault="008614CB" w:rsidP="008614CB">
      <w:pPr>
        <w:autoSpaceDE w:val="0"/>
        <w:autoSpaceDN w:val="0"/>
        <w:adjustRightInd w:val="0"/>
        <w:spacing w:line="259" w:lineRule="auto"/>
        <w:jc w:val="both"/>
        <w:rPr>
          <w:rFonts w:eastAsia="Calibri"/>
          <w:color w:val="000000"/>
          <w:sz w:val="22"/>
          <w:szCs w:val="22"/>
          <w:u w:val="single"/>
          <w:lang w:val="hr-HR"/>
        </w:rPr>
      </w:pPr>
      <w:r w:rsidRPr="008A2C89">
        <w:rPr>
          <w:rFonts w:eastAsia="Calibri"/>
          <w:color w:val="000000"/>
          <w:sz w:val="22"/>
          <w:szCs w:val="22"/>
          <w:u w:val="single"/>
          <w:lang w:val="hr-HR"/>
        </w:rPr>
        <w:t xml:space="preserve">Plodnost </w:t>
      </w:r>
    </w:p>
    <w:p w14:paraId="78A293DB" w14:textId="77777777" w:rsidR="008614CB" w:rsidRPr="008A2C89" w:rsidRDefault="008614CB" w:rsidP="008614CB">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Nije ispitivan uticaj lijeka Fulvestrant Pliva na plodnost kod ljudi.</w:t>
      </w:r>
    </w:p>
    <w:p w14:paraId="32BF457D" w14:textId="77777777" w:rsidR="002031B3" w:rsidRPr="008A2C89" w:rsidRDefault="002031B3" w:rsidP="00480FB1">
      <w:pPr>
        <w:tabs>
          <w:tab w:val="left" w:pos="540"/>
          <w:tab w:val="left" w:pos="569"/>
        </w:tabs>
        <w:rPr>
          <w:sz w:val="22"/>
          <w:szCs w:val="22"/>
          <w:u w:val="single"/>
        </w:rPr>
      </w:pPr>
    </w:p>
    <w:p w14:paraId="6ED9917E" w14:textId="77777777" w:rsidR="003A2EB0" w:rsidRPr="008A2C89" w:rsidRDefault="003A2EB0" w:rsidP="003A2EB0">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u w:val="single"/>
          <w:lang w:val="hr-HR"/>
        </w:rPr>
        <w:t xml:space="preserve">Žene u reproduktivnom periodu </w:t>
      </w:r>
    </w:p>
    <w:p w14:paraId="2BAF7ABF" w14:textId="77777777" w:rsidR="003A2EB0" w:rsidRPr="008A2C89" w:rsidRDefault="003A2EB0" w:rsidP="003A2EB0">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Pacijentkinjama u reproduktivnom periodu treba savjetovati da tokom liječenja koriste adekvatnu kontracepciju, kao i tokom 2 godine nakon poslednje doze.</w:t>
      </w:r>
    </w:p>
    <w:p w14:paraId="0604C17D" w14:textId="77777777" w:rsidR="003A2EB0" w:rsidRPr="008A2C89" w:rsidRDefault="003A2EB0" w:rsidP="003A2EB0">
      <w:pPr>
        <w:autoSpaceDE w:val="0"/>
        <w:autoSpaceDN w:val="0"/>
        <w:adjustRightInd w:val="0"/>
        <w:spacing w:line="259" w:lineRule="auto"/>
        <w:jc w:val="both"/>
        <w:rPr>
          <w:rFonts w:eastAsia="Calibri"/>
          <w:color w:val="000000"/>
          <w:sz w:val="22"/>
          <w:szCs w:val="22"/>
          <w:lang w:val="hr-HR"/>
        </w:rPr>
      </w:pPr>
    </w:p>
    <w:p w14:paraId="7F7F928D" w14:textId="77777777" w:rsidR="003A2EB0" w:rsidRPr="008A2C89" w:rsidRDefault="003A2EB0" w:rsidP="003A2EB0">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u w:val="single"/>
          <w:lang w:val="hr-HR"/>
        </w:rPr>
        <w:t xml:space="preserve">Trudnoća </w:t>
      </w:r>
    </w:p>
    <w:p w14:paraId="5C2629A0" w14:textId="77777777" w:rsidR="003A2EB0" w:rsidRPr="008A2C89" w:rsidRDefault="003A2EB0" w:rsidP="003A2EB0">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 xml:space="preserve">Lijek Fulvestrant Pliva je kontraindikovan tokom trudnoće (vidjeti dio 4.3). Pokazalo se da fulvestrant kod pacova i kunića prolazi placentalnu barijeru nakon jednokratne intramuskularne doze. Istraživanja na životinjama pokazala su reproduktivnu toksičnost, uključujući povećanu incidenciju fetalnih malformacija i smrti fetusa (vidjeti dio 5.3). Ako tokom liječenja lijekom Fulvestrant Pliva nastupi trudnoća, pacijentkinja se mora upoznati sa mogućim opasnostima za fetus i mogućem riziku od gubitka ploda. </w:t>
      </w:r>
    </w:p>
    <w:p w14:paraId="3F17C973" w14:textId="77777777" w:rsidR="003A2EB0" w:rsidRPr="008A2C89" w:rsidRDefault="003A2EB0" w:rsidP="003A2EB0">
      <w:pPr>
        <w:autoSpaceDE w:val="0"/>
        <w:autoSpaceDN w:val="0"/>
        <w:adjustRightInd w:val="0"/>
        <w:spacing w:line="259" w:lineRule="auto"/>
        <w:jc w:val="both"/>
        <w:rPr>
          <w:rFonts w:eastAsia="Calibri"/>
          <w:color w:val="000000"/>
          <w:sz w:val="22"/>
          <w:szCs w:val="22"/>
          <w:lang w:val="hr-HR"/>
        </w:rPr>
      </w:pPr>
    </w:p>
    <w:p w14:paraId="0E9810F4" w14:textId="77777777" w:rsidR="003A2EB0" w:rsidRPr="008A2C89" w:rsidRDefault="003A2EB0" w:rsidP="003A2EB0">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u w:val="single"/>
          <w:lang w:val="hr-HR"/>
        </w:rPr>
        <w:t xml:space="preserve">Dojenje </w:t>
      </w:r>
    </w:p>
    <w:p w14:paraId="7ACF21C0" w14:textId="77777777" w:rsidR="003A2EB0" w:rsidRPr="008A2C89" w:rsidRDefault="003A2EB0" w:rsidP="003A2EB0">
      <w:pPr>
        <w:autoSpaceDE w:val="0"/>
        <w:autoSpaceDN w:val="0"/>
        <w:adjustRightInd w:val="0"/>
        <w:spacing w:line="259" w:lineRule="auto"/>
        <w:jc w:val="both"/>
        <w:rPr>
          <w:rFonts w:eastAsia="Calibri"/>
          <w:color w:val="000000"/>
          <w:sz w:val="22"/>
          <w:szCs w:val="22"/>
          <w:lang w:val="hr-HR"/>
        </w:rPr>
      </w:pPr>
      <w:r w:rsidRPr="008A2C89">
        <w:rPr>
          <w:rFonts w:eastAsia="Calibri"/>
          <w:color w:val="000000"/>
          <w:sz w:val="22"/>
          <w:szCs w:val="22"/>
          <w:lang w:val="hr-HR"/>
        </w:rPr>
        <w:t xml:space="preserve">Dojenje se mora prekinuti za vrijeme liječenja lijekom Fulvestrant Pliva. Fulvestrant se izlučuje u mlijeko ženki pacova tokom laktacije. Nije poznato da li se fulvestrant izlučuje u majčino mlijeko. S obzirom na moguća ozbiljna neželjena dejstva kod odojčadi zbog primjene fulvestranta, primjena tokom dojenja je kontraindikovana (vidjeti dio 4.3). </w:t>
      </w:r>
    </w:p>
    <w:p w14:paraId="4D97CA38" w14:textId="77777777" w:rsidR="00227BDB" w:rsidRPr="00585C79" w:rsidRDefault="00227BDB" w:rsidP="00AE5D50">
      <w:pPr>
        <w:tabs>
          <w:tab w:val="left" w:pos="540"/>
          <w:tab w:val="left" w:pos="569"/>
        </w:tabs>
        <w:rPr>
          <w:b/>
          <w:bCs/>
          <w:sz w:val="22"/>
          <w:szCs w:val="22"/>
          <w:lang w:val="hr-HR"/>
        </w:rPr>
      </w:pPr>
    </w:p>
    <w:p w14:paraId="533597A4" w14:textId="77777777" w:rsidR="0072020E" w:rsidRPr="00585C79" w:rsidRDefault="0072020E" w:rsidP="00396DFD">
      <w:pPr>
        <w:tabs>
          <w:tab w:val="left" w:pos="540"/>
          <w:tab w:val="left" w:pos="569"/>
        </w:tabs>
        <w:ind w:left="540" w:hanging="540"/>
        <w:rPr>
          <w:b/>
          <w:bCs/>
          <w:sz w:val="22"/>
          <w:szCs w:val="22"/>
          <w:lang w:val="hr-HR"/>
        </w:rPr>
      </w:pPr>
      <w:r w:rsidRPr="00585C79">
        <w:rPr>
          <w:b/>
          <w:bCs/>
          <w:sz w:val="22"/>
          <w:szCs w:val="22"/>
          <w:lang w:val="hr-HR"/>
        </w:rPr>
        <w:t xml:space="preserve">4.7. </w:t>
      </w:r>
      <w:r w:rsidR="00480FB1" w:rsidRPr="00585C79">
        <w:rPr>
          <w:b/>
          <w:bCs/>
          <w:sz w:val="22"/>
          <w:szCs w:val="22"/>
          <w:lang w:val="hr-HR"/>
        </w:rPr>
        <w:tab/>
      </w:r>
      <w:r w:rsidRPr="00585C79">
        <w:rPr>
          <w:b/>
          <w:bCs/>
          <w:sz w:val="22"/>
          <w:szCs w:val="22"/>
          <w:lang w:val="hr-HR"/>
        </w:rPr>
        <w:t xml:space="preserve">Uticaj na </w:t>
      </w:r>
      <w:r w:rsidR="002031B3" w:rsidRPr="00585C79">
        <w:rPr>
          <w:b/>
          <w:bCs/>
          <w:sz w:val="22"/>
          <w:szCs w:val="22"/>
          <w:lang w:val="hr-HR"/>
        </w:rPr>
        <w:t xml:space="preserve">sposobnost </w:t>
      </w:r>
      <w:r w:rsidR="00F34554" w:rsidRPr="00585C79">
        <w:rPr>
          <w:b/>
          <w:bCs/>
          <w:sz w:val="22"/>
          <w:szCs w:val="22"/>
          <w:lang w:val="hr-HR"/>
        </w:rPr>
        <w:t>upravljanja vozili</w:t>
      </w:r>
      <w:r w:rsidRPr="00585C79">
        <w:rPr>
          <w:b/>
          <w:bCs/>
          <w:sz w:val="22"/>
          <w:szCs w:val="22"/>
          <w:lang w:val="hr-HR"/>
        </w:rPr>
        <w:t>m</w:t>
      </w:r>
      <w:r w:rsidR="00F34554" w:rsidRPr="00585C79">
        <w:rPr>
          <w:b/>
          <w:bCs/>
          <w:sz w:val="22"/>
          <w:szCs w:val="22"/>
          <w:lang w:val="hr-HR"/>
        </w:rPr>
        <w:t>a</w:t>
      </w:r>
      <w:r w:rsidRPr="00585C79">
        <w:rPr>
          <w:b/>
          <w:bCs/>
          <w:sz w:val="22"/>
          <w:szCs w:val="22"/>
          <w:lang w:val="hr-HR"/>
        </w:rPr>
        <w:t xml:space="preserve"> i </w:t>
      </w:r>
      <w:r w:rsidR="000D3449" w:rsidRPr="00585C79">
        <w:rPr>
          <w:b/>
          <w:bCs/>
          <w:sz w:val="22"/>
          <w:szCs w:val="22"/>
          <w:lang w:val="hr-HR"/>
        </w:rPr>
        <w:t xml:space="preserve">rukovanje </w:t>
      </w:r>
      <w:r w:rsidRPr="00585C79">
        <w:rPr>
          <w:b/>
          <w:bCs/>
          <w:sz w:val="22"/>
          <w:szCs w:val="22"/>
          <w:lang w:val="hr-HR"/>
        </w:rPr>
        <w:t>mašinama</w:t>
      </w:r>
    </w:p>
    <w:p w14:paraId="4A074B7D" w14:textId="77777777" w:rsidR="003A2EB0" w:rsidRPr="00585C79" w:rsidRDefault="003A2EB0" w:rsidP="00396DFD">
      <w:pPr>
        <w:tabs>
          <w:tab w:val="left" w:pos="540"/>
          <w:tab w:val="left" w:pos="569"/>
        </w:tabs>
        <w:ind w:left="540" w:hanging="540"/>
        <w:rPr>
          <w:b/>
          <w:bCs/>
          <w:sz w:val="22"/>
          <w:szCs w:val="22"/>
          <w:lang w:val="hr-HR"/>
        </w:rPr>
      </w:pPr>
    </w:p>
    <w:p w14:paraId="14E7DD3E" w14:textId="77777777" w:rsidR="003A2EB0" w:rsidRPr="008A2C89" w:rsidRDefault="003A2EB0" w:rsidP="003A2EB0">
      <w:pPr>
        <w:tabs>
          <w:tab w:val="left" w:pos="284"/>
        </w:tabs>
        <w:spacing w:line="259" w:lineRule="auto"/>
        <w:jc w:val="both"/>
        <w:rPr>
          <w:rFonts w:eastAsia="Calibri"/>
          <w:bCs/>
          <w:sz w:val="22"/>
          <w:szCs w:val="22"/>
          <w:lang w:val="sr-Latn-CS"/>
        </w:rPr>
      </w:pPr>
      <w:r w:rsidRPr="008A2C89">
        <w:rPr>
          <w:rFonts w:eastAsia="Calibri"/>
          <w:sz w:val="22"/>
          <w:szCs w:val="22"/>
          <w:lang w:val="sr-Latn-CS"/>
        </w:rPr>
        <w:t xml:space="preserve">Lijek Fulvestrant Pliva ne utiče ili zanemarljivo utiče na </w:t>
      </w:r>
      <w:r w:rsidRPr="008A2C89">
        <w:rPr>
          <w:rFonts w:eastAsia="Calibri"/>
          <w:bCs/>
          <w:sz w:val="22"/>
          <w:szCs w:val="22"/>
          <w:lang w:val="sr-Latn-CS"/>
        </w:rPr>
        <w:t>sposobnost upravljanja motornim vozilima i rukovanja mašinama. Međutim, budući da je uz primjenu lijeka Fulvestrant Pliva vrlo često prijavljivana astenija, pacijentkinje kod kojih se javi to neželjeno dejstvo moraju biti oprezne kada voze ili rukuju mašinama.</w:t>
      </w:r>
    </w:p>
    <w:p w14:paraId="1E1F5D68" w14:textId="77777777" w:rsidR="0072020E" w:rsidRPr="00585C79" w:rsidRDefault="0072020E" w:rsidP="00480FB1">
      <w:pPr>
        <w:tabs>
          <w:tab w:val="left" w:pos="540"/>
          <w:tab w:val="left" w:pos="569"/>
        </w:tabs>
        <w:rPr>
          <w:b/>
          <w:bCs/>
          <w:sz w:val="22"/>
          <w:szCs w:val="22"/>
          <w:lang w:val="sr-Latn-CS"/>
        </w:rPr>
      </w:pPr>
    </w:p>
    <w:p w14:paraId="344F1601" w14:textId="77777777" w:rsidR="0072020E" w:rsidRPr="008A2C89" w:rsidRDefault="0072020E" w:rsidP="00480FB1">
      <w:pPr>
        <w:tabs>
          <w:tab w:val="left" w:pos="540"/>
          <w:tab w:val="left" w:pos="569"/>
        </w:tabs>
        <w:rPr>
          <w:b/>
          <w:bCs/>
          <w:sz w:val="22"/>
          <w:szCs w:val="22"/>
        </w:rPr>
      </w:pPr>
      <w:r w:rsidRPr="008A2C89">
        <w:rPr>
          <w:b/>
          <w:bCs/>
          <w:sz w:val="22"/>
          <w:szCs w:val="22"/>
        </w:rPr>
        <w:t xml:space="preserve">4.8. </w:t>
      </w:r>
      <w:r w:rsidR="00480FB1" w:rsidRPr="008A2C89">
        <w:rPr>
          <w:b/>
          <w:bCs/>
          <w:sz w:val="22"/>
          <w:szCs w:val="22"/>
        </w:rPr>
        <w:tab/>
      </w:r>
      <w:r w:rsidRPr="008A2C89">
        <w:rPr>
          <w:b/>
          <w:bCs/>
          <w:sz w:val="22"/>
          <w:szCs w:val="22"/>
        </w:rPr>
        <w:t>Neželjena dejstva</w:t>
      </w:r>
    </w:p>
    <w:p w14:paraId="590BF92E" w14:textId="77777777" w:rsidR="004E70AD" w:rsidRPr="008A2C89" w:rsidRDefault="004E70AD" w:rsidP="00480FB1">
      <w:pPr>
        <w:tabs>
          <w:tab w:val="left" w:pos="540"/>
          <w:tab w:val="left" w:pos="569"/>
        </w:tabs>
        <w:rPr>
          <w:b/>
          <w:bCs/>
          <w:sz w:val="22"/>
          <w:szCs w:val="22"/>
        </w:rPr>
      </w:pPr>
    </w:p>
    <w:p w14:paraId="3B634B3A" w14:textId="77777777" w:rsidR="003A2EB0" w:rsidRPr="008A2C89" w:rsidRDefault="003A2EB0" w:rsidP="003A2EB0">
      <w:pPr>
        <w:autoSpaceDE w:val="0"/>
        <w:autoSpaceDN w:val="0"/>
        <w:adjustRightInd w:val="0"/>
        <w:spacing w:line="259" w:lineRule="auto"/>
        <w:jc w:val="both"/>
        <w:rPr>
          <w:rFonts w:eastAsia="TimesNewRoman"/>
          <w:sz w:val="22"/>
          <w:szCs w:val="22"/>
          <w:u w:val="single"/>
          <w:lang w:val="hr-HR"/>
        </w:rPr>
      </w:pPr>
      <w:r w:rsidRPr="008A2C89">
        <w:rPr>
          <w:rFonts w:eastAsia="TimesNewRoman"/>
          <w:sz w:val="22"/>
          <w:szCs w:val="22"/>
          <w:u w:val="single"/>
          <w:lang w:val="hr-HR"/>
        </w:rPr>
        <w:t>Sažetak bezbjednosnog profila</w:t>
      </w:r>
    </w:p>
    <w:p w14:paraId="6B49D106" w14:textId="77777777" w:rsidR="003A2EB0" w:rsidRPr="008A2C89" w:rsidRDefault="003A2EB0" w:rsidP="003A2EB0">
      <w:pPr>
        <w:autoSpaceDE w:val="0"/>
        <w:autoSpaceDN w:val="0"/>
        <w:adjustRightInd w:val="0"/>
        <w:spacing w:line="259" w:lineRule="auto"/>
        <w:jc w:val="both"/>
        <w:rPr>
          <w:rFonts w:eastAsia="TimesNewRoman"/>
          <w:i/>
          <w:sz w:val="22"/>
          <w:szCs w:val="22"/>
          <w:lang w:val="hr-HR"/>
        </w:rPr>
      </w:pPr>
    </w:p>
    <w:p w14:paraId="09E4D509" w14:textId="77777777" w:rsidR="003A2EB0" w:rsidRPr="008A2C89" w:rsidRDefault="003A2EB0" w:rsidP="003A2EB0">
      <w:pPr>
        <w:autoSpaceDE w:val="0"/>
        <w:autoSpaceDN w:val="0"/>
        <w:adjustRightInd w:val="0"/>
        <w:spacing w:line="259" w:lineRule="auto"/>
        <w:jc w:val="both"/>
        <w:rPr>
          <w:rFonts w:eastAsia="TimesNewRoman"/>
          <w:i/>
          <w:sz w:val="22"/>
          <w:szCs w:val="22"/>
          <w:lang w:val="hr-HR"/>
        </w:rPr>
      </w:pPr>
      <w:r w:rsidRPr="008A2C89">
        <w:rPr>
          <w:rFonts w:eastAsia="TimesNewRoman"/>
          <w:i/>
          <w:sz w:val="22"/>
          <w:szCs w:val="22"/>
          <w:lang w:val="hr-HR"/>
        </w:rPr>
        <w:t>Monoterapija</w:t>
      </w:r>
    </w:p>
    <w:p w14:paraId="2ACD6581" w14:textId="77777777" w:rsidR="00DA43EF" w:rsidRPr="00DA43EF" w:rsidRDefault="003A2EB0" w:rsidP="00DA43EF">
      <w:pPr>
        <w:autoSpaceDE w:val="0"/>
        <w:autoSpaceDN w:val="0"/>
        <w:adjustRightInd w:val="0"/>
        <w:spacing w:line="259" w:lineRule="auto"/>
        <w:jc w:val="both"/>
        <w:rPr>
          <w:rFonts w:eastAsia="Calibri"/>
          <w:sz w:val="22"/>
          <w:szCs w:val="22"/>
          <w:lang w:val="hr-HR"/>
        </w:rPr>
      </w:pPr>
      <w:r w:rsidRPr="008A2C89">
        <w:rPr>
          <w:rFonts w:eastAsia="TimesNewRoman"/>
          <w:sz w:val="22"/>
          <w:szCs w:val="22"/>
          <w:lang w:val="hr-HR"/>
        </w:rPr>
        <w:t xml:space="preserve">Podaci navedeni u ovom dijelu se zasnivaju na svim neželjenim reakcijama iz kliničkih studija, </w:t>
      </w:r>
      <w:r w:rsidRPr="008A2C89">
        <w:rPr>
          <w:rFonts w:eastAsia="Calibri"/>
          <w:sz w:val="22"/>
          <w:szCs w:val="22"/>
          <w:lang w:val="hr-HR"/>
        </w:rPr>
        <w:t xml:space="preserve">post-marketinških studija i spontanih prijavljivanja. </w:t>
      </w:r>
      <w:r w:rsidR="00DA43EF" w:rsidRPr="00DA43EF">
        <w:rPr>
          <w:rFonts w:eastAsia="Calibri"/>
          <w:sz w:val="22"/>
          <w:szCs w:val="22"/>
          <w:lang w:val="hr-HR"/>
        </w:rPr>
        <w:t>Prema objedinjenim podacima iz ispitivanja</w:t>
      </w:r>
    </w:p>
    <w:p w14:paraId="24BBD849" w14:textId="2FBF39AB" w:rsidR="003A2EB0" w:rsidRPr="008A2C89" w:rsidRDefault="00DA43EF" w:rsidP="00DA43EF">
      <w:pPr>
        <w:autoSpaceDE w:val="0"/>
        <w:autoSpaceDN w:val="0"/>
        <w:adjustRightInd w:val="0"/>
        <w:spacing w:line="259" w:lineRule="auto"/>
        <w:jc w:val="both"/>
        <w:rPr>
          <w:rFonts w:eastAsia="TimesNewRoman"/>
          <w:sz w:val="22"/>
          <w:szCs w:val="22"/>
          <w:lang w:val="hr-HR"/>
        </w:rPr>
      </w:pPr>
      <w:r w:rsidRPr="00DA43EF">
        <w:rPr>
          <w:rFonts w:eastAsia="Calibri"/>
          <w:sz w:val="22"/>
          <w:szCs w:val="22"/>
          <w:lang w:val="hr-HR"/>
        </w:rPr>
        <w:t>fulvestranta u monoterapiji,</w:t>
      </w:r>
      <w:r>
        <w:rPr>
          <w:rFonts w:eastAsia="Calibri"/>
          <w:sz w:val="22"/>
          <w:szCs w:val="22"/>
          <w:lang w:val="hr-HR"/>
        </w:rPr>
        <w:t xml:space="preserve"> n</w:t>
      </w:r>
      <w:r w:rsidR="003A2EB0" w:rsidRPr="008A2C89">
        <w:rPr>
          <w:rFonts w:eastAsia="Calibri"/>
          <w:sz w:val="22"/>
          <w:szCs w:val="22"/>
          <w:lang w:val="hr-HR"/>
        </w:rPr>
        <w:t xml:space="preserve">ajčešće neželjene reakcije </w:t>
      </w:r>
      <w:r>
        <w:rPr>
          <w:rFonts w:eastAsia="Calibri"/>
          <w:sz w:val="22"/>
          <w:szCs w:val="22"/>
          <w:lang w:val="hr-HR"/>
        </w:rPr>
        <w:t xml:space="preserve">bile </w:t>
      </w:r>
      <w:r w:rsidR="003A2EB0" w:rsidRPr="008A2C89">
        <w:rPr>
          <w:rFonts w:eastAsia="Calibri"/>
          <w:sz w:val="22"/>
          <w:szCs w:val="22"/>
          <w:lang w:val="hr-HR"/>
        </w:rPr>
        <w:t>su</w:t>
      </w:r>
      <w:r w:rsidR="003A2EB0" w:rsidRPr="008A2C89">
        <w:rPr>
          <w:rFonts w:eastAsia="TimesNewRoman"/>
          <w:sz w:val="22"/>
          <w:szCs w:val="22"/>
          <w:lang w:val="hr-HR"/>
        </w:rPr>
        <w:t xml:space="preserve"> reakcije na mjestu injiciranja, astenija, mučnina i povišene vrijednosti enzima jetre (ALT, AST, ALP).</w:t>
      </w:r>
    </w:p>
    <w:p w14:paraId="55653ADD" w14:textId="77777777" w:rsidR="003A2EB0" w:rsidRPr="008A2C89" w:rsidRDefault="003A2EB0" w:rsidP="003A2EB0">
      <w:pPr>
        <w:autoSpaceDE w:val="0"/>
        <w:autoSpaceDN w:val="0"/>
        <w:adjustRightInd w:val="0"/>
        <w:spacing w:line="259" w:lineRule="auto"/>
        <w:jc w:val="both"/>
        <w:rPr>
          <w:rFonts w:eastAsia="TimesNewRoman"/>
          <w:color w:val="FF0000"/>
          <w:sz w:val="22"/>
          <w:szCs w:val="22"/>
          <w:lang w:val="hr-HR"/>
        </w:rPr>
      </w:pPr>
    </w:p>
    <w:p w14:paraId="27902207" w14:textId="5AE25882" w:rsidR="003A2EB0" w:rsidRPr="008A2C89" w:rsidRDefault="003A2EB0" w:rsidP="003A2EB0">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U Tabeli 1 sljedeće kategorije učestalosti neželjenih reakcija izračunate su na osnovu grupe koja je uzimala  fulvestrant 500 mg, zbirnim analizama podataka o bezbjednosti primjene, u kojima su se upoređivali fulvestrant 500 mg i fulvestrant 250 mg [CONFIRM (studija D6997C00002), FINDER 1 (studija D6997C00004), FINDER 2 (studija D6997C00006) i NEWEST (studija D6997C00003)], ili iz FALCON (studija D699BC00001) u kojoj je upoređivana primjena lijeka fulvestrant u dozi od 500 mg sa 1 mg lijeka anastrozol. U slučaju da  se učestalosti razlikuju između zbirne bezbjednosne analize i studije FALCON, prikazana je najveća učestalost.</w:t>
      </w:r>
      <w:r w:rsidRPr="00585C79">
        <w:rPr>
          <w:rFonts w:eastAsia="TimesNewRoman"/>
          <w:sz w:val="22"/>
          <w:szCs w:val="22"/>
          <w:lang w:val="hr-HR"/>
        </w:rPr>
        <w:t xml:space="preserve"> </w:t>
      </w:r>
      <w:r w:rsidRPr="008A2C89">
        <w:rPr>
          <w:rFonts w:eastAsia="TimesNewRoman"/>
          <w:sz w:val="22"/>
          <w:szCs w:val="22"/>
          <w:lang w:val="hr-HR"/>
        </w:rPr>
        <w:t xml:space="preserve">Učestalosti u Tabeli 1 zasnovane su na svim prijavljenim reakcijama, bez obzira na procjenu </w:t>
      </w:r>
      <w:r w:rsidR="00B711E8">
        <w:rPr>
          <w:rFonts w:eastAsia="TimesNewRoman"/>
          <w:sz w:val="22"/>
          <w:szCs w:val="22"/>
          <w:lang w:val="hr-HR"/>
        </w:rPr>
        <w:t>ispiti</w:t>
      </w:r>
      <w:r w:rsidR="00865CF7">
        <w:rPr>
          <w:rFonts w:eastAsia="TimesNewRoman"/>
          <w:sz w:val="22"/>
          <w:szCs w:val="22"/>
          <w:lang w:val="hr-HR"/>
        </w:rPr>
        <w:t>v</w:t>
      </w:r>
      <w:r w:rsidR="00B711E8">
        <w:rPr>
          <w:rFonts w:eastAsia="TimesNewRoman"/>
          <w:sz w:val="22"/>
          <w:szCs w:val="22"/>
          <w:lang w:val="hr-HR"/>
        </w:rPr>
        <w:t xml:space="preserve">ača </w:t>
      </w:r>
      <w:r w:rsidRPr="008A2C89">
        <w:rPr>
          <w:rFonts w:eastAsia="TimesNewRoman"/>
          <w:sz w:val="22"/>
          <w:szCs w:val="22"/>
          <w:lang w:val="hr-HR"/>
        </w:rPr>
        <w:t>o uzročno posljedičnoj povezanosti.</w:t>
      </w:r>
      <w:r w:rsidRPr="00585C79">
        <w:rPr>
          <w:rFonts w:eastAsia="TimesNewRoman"/>
          <w:sz w:val="22"/>
          <w:szCs w:val="22"/>
          <w:lang w:val="hr-HR"/>
        </w:rPr>
        <w:t xml:space="preserve"> Srednja dužina terapije lijekom fulvestrant u dozi od 500 mg, u zbirnom skupa podataka (uključujući gore pomenute studije i studiju FALCON) je bila 6.5 mjeseci.</w:t>
      </w:r>
    </w:p>
    <w:p w14:paraId="5F76360A" w14:textId="77777777" w:rsidR="003A2EB0" w:rsidRPr="008A2C89" w:rsidRDefault="003A2EB0" w:rsidP="003A2EB0">
      <w:pPr>
        <w:autoSpaceDE w:val="0"/>
        <w:autoSpaceDN w:val="0"/>
        <w:adjustRightInd w:val="0"/>
        <w:spacing w:line="259" w:lineRule="auto"/>
        <w:jc w:val="both"/>
        <w:rPr>
          <w:rFonts w:eastAsia="TimesNewRoman"/>
          <w:color w:val="FF0000"/>
          <w:sz w:val="22"/>
          <w:szCs w:val="22"/>
          <w:lang w:val="hr-HR"/>
        </w:rPr>
      </w:pPr>
    </w:p>
    <w:p w14:paraId="5504131F" w14:textId="77777777" w:rsidR="003A2EB0" w:rsidRPr="008A2C89" w:rsidRDefault="003A2EB0" w:rsidP="003A2EB0">
      <w:pPr>
        <w:autoSpaceDE w:val="0"/>
        <w:autoSpaceDN w:val="0"/>
        <w:adjustRightInd w:val="0"/>
        <w:spacing w:line="259" w:lineRule="auto"/>
        <w:jc w:val="both"/>
        <w:rPr>
          <w:rFonts w:eastAsia="TimesNewRoman"/>
          <w:sz w:val="22"/>
          <w:szCs w:val="22"/>
          <w:u w:val="single"/>
          <w:lang w:val="hr-HR"/>
        </w:rPr>
      </w:pPr>
      <w:r w:rsidRPr="008A2C89">
        <w:rPr>
          <w:rFonts w:eastAsia="TimesNewRoman"/>
          <w:sz w:val="22"/>
          <w:szCs w:val="22"/>
          <w:u w:val="single"/>
          <w:lang w:val="hr-HR"/>
        </w:rPr>
        <w:t>Tabelarni prikaz neželjenih dejstava</w:t>
      </w:r>
    </w:p>
    <w:p w14:paraId="185E5EE9" w14:textId="77777777" w:rsidR="003A2EB0" w:rsidRPr="008A2C89" w:rsidRDefault="003A2EB0" w:rsidP="003A2EB0">
      <w:pPr>
        <w:autoSpaceDE w:val="0"/>
        <w:autoSpaceDN w:val="0"/>
        <w:adjustRightInd w:val="0"/>
        <w:spacing w:line="259" w:lineRule="auto"/>
        <w:jc w:val="both"/>
        <w:rPr>
          <w:rFonts w:eastAsia="TimesNewRoman"/>
          <w:sz w:val="22"/>
          <w:szCs w:val="22"/>
          <w:u w:val="single"/>
          <w:lang w:val="hr-HR"/>
        </w:rPr>
      </w:pPr>
    </w:p>
    <w:p w14:paraId="776BD188" w14:textId="77777777" w:rsidR="003A2EB0" w:rsidRDefault="003A2EB0" w:rsidP="003A2EB0">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Neželjene reakcije navedene su u daljem tekstu po klasama sistema organa i učestalosti javljanja. Učestalost javljanja je definisana kao: veoma često (≥ 1/10), često (≥ 1/100 &lt; 1/10), povremeno (≥ 1/1000 &lt; 1/100). U okviru svake grupe učestalosti, neželjena dejstva su navedena po opadajućoj ozbiljnosti.</w:t>
      </w:r>
    </w:p>
    <w:p w14:paraId="446C3C72" w14:textId="77777777" w:rsidR="003A2EB0" w:rsidRPr="008A2C89" w:rsidRDefault="003A2EB0" w:rsidP="003A2EB0">
      <w:pPr>
        <w:autoSpaceDE w:val="0"/>
        <w:autoSpaceDN w:val="0"/>
        <w:adjustRightInd w:val="0"/>
        <w:spacing w:line="259" w:lineRule="auto"/>
        <w:jc w:val="both"/>
        <w:rPr>
          <w:rFonts w:eastAsia="TimesNewRoman"/>
          <w:sz w:val="22"/>
          <w:szCs w:val="22"/>
          <w:lang w:val="hr-HR"/>
        </w:rPr>
      </w:pPr>
    </w:p>
    <w:p w14:paraId="0757C5D2" w14:textId="77777777" w:rsidR="003A2EB0" w:rsidRPr="008A2C89" w:rsidRDefault="003A2EB0" w:rsidP="003A2EB0">
      <w:pPr>
        <w:autoSpaceDE w:val="0"/>
        <w:autoSpaceDN w:val="0"/>
        <w:adjustRightInd w:val="0"/>
        <w:spacing w:line="259" w:lineRule="auto"/>
        <w:jc w:val="both"/>
        <w:rPr>
          <w:rFonts w:eastAsia="TimesNewRoman,Bold"/>
          <w:b/>
          <w:bCs/>
          <w:sz w:val="22"/>
          <w:szCs w:val="22"/>
          <w:lang w:val="hr-HR"/>
        </w:rPr>
      </w:pPr>
      <w:r w:rsidRPr="008A2C89">
        <w:rPr>
          <w:rFonts w:eastAsia="TimesNewRoman,Bold"/>
          <w:b/>
          <w:bCs/>
          <w:sz w:val="22"/>
          <w:szCs w:val="22"/>
          <w:lang w:val="hr-HR"/>
        </w:rPr>
        <w:t>Tabela 1  Neželjena dejstva na lijek prijavljena kod pacijenata koji primaju fulvestrant kao monoterapiju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2"/>
        <w:gridCol w:w="1750"/>
        <w:gridCol w:w="3415"/>
      </w:tblGrid>
      <w:tr w:rsidR="003A2EB0" w:rsidRPr="008A2C89" w14:paraId="163CE27F" w14:textId="77777777" w:rsidTr="003A2EB0">
        <w:trPr>
          <w:trHeight w:val="288"/>
        </w:trPr>
        <w:tc>
          <w:tcPr>
            <w:tcW w:w="9067" w:type="dxa"/>
            <w:gridSpan w:val="3"/>
            <w:vAlign w:val="center"/>
          </w:tcPr>
          <w:p w14:paraId="4D4CCC0D" w14:textId="386A698A" w:rsidR="003A2EB0" w:rsidRPr="008A2C89" w:rsidRDefault="003A2EB0" w:rsidP="009338F8">
            <w:pPr>
              <w:autoSpaceDE w:val="0"/>
              <w:autoSpaceDN w:val="0"/>
              <w:adjustRightInd w:val="0"/>
              <w:spacing w:line="259" w:lineRule="auto"/>
              <w:rPr>
                <w:rFonts w:eastAsia="Calibri"/>
                <w:sz w:val="22"/>
                <w:szCs w:val="22"/>
                <w:lang w:val="hr-HR"/>
              </w:rPr>
            </w:pPr>
            <w:r w:rsidRPr="008A2C89">
              <w:rPr>
                <w:rFonts w:eastAsia="Calibri"/>
                <w:b/>
                <w:bCs/>
                <w:sz w:val="22"/>
                <w:szCs w:val="22"/>
                <w:lang w:val="hr-HR"/>
              </w:rPr>
              <w:t xml:space="preserve">Neželjene reakcije prema klasama </w:t>
            </w:r>
            <w:r w:rsidR="00B711E8">
              <w:rPr>
                <w:rFonts w:eastAsia="Calibri"/>
                <w:b/>
                <w:bCs/>
                <w:sz w:val="22"/>
                <w:szCs w:val="22"/>
                <w:lang w:val="hr-HR"/>
              </w:rPr>
              <w:t>sistema organa</w:t>
            </w:r>
            <w:r w:rsidRPr="008A2C89">
              <w:rPr>
                <w:rFonts w:eastAsia="Calibri"/>
                <w:b/>
                <w:bCs/>
                <w:sz w:val="22"/>
                <w:szCs w:val="22"/>
                <w:lang w:val="hr-HR"/>
              </w:rPr>
              <w:t xml:space="preserve"> i učestalosti javljanja </w:t>
            </w:r>
          </w:p>
        </w:tc>
      </w:tr>
      <w:tr w:rsidR="003A2EB0" w:rsidRPr="008A2C89" w14:paraId="0ABBF760" w14:textId="77777777" w:rsidTr="003A2EB0">
        <w:trPr>
          <w:trHeight w:val="270"/>
        </w:trPr>
        <w:tc>
          <w:tcPr>
            <w:tcW w:w="3902" w:type="dxa"/>
            <w:vAlign w:val="center"/>
          </w:tcPr>
          <w:p w14:paraId="38C9D876"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lastRenderedPageBreak/>
              <w:t xml:space="preserve">Infekcije i infestacije </w:t>
            </w:r>
          </w:p>
        </w:tc>
        <w:tc>
          <w:tcPr>
            <w:tcW w:w="1750" w:type="dxa"/>
            <w:vAlign w:val="center"/>
          </w:tcPr>
          <w:p w14:paraId="3281F4CB"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često </w:t>
            </w:r>
          </w:p>
        </w:tc>
        <w:tc>
          <w:tcPr>
            <w:tcW w:w="3415" w:type="dxa"/>
            <w:vAlign w:val="center"/>
          </w:tcPr>
          <w:p w14:paraId="3E98E5FD"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infekcije mokraćnih puteva </w:t>
            </w:r>
          </w:p>
        </w:tc>
      </w:tr>
      <w:tr w:rsidR="003A2EB0" w:rsidRPr="008A2C89" w14:paraId="633DD170" w14:textId="77777777" w:rsidTr="003A2EB0">
        <w:trPr>
          <w:trHeight w:val="270"/>
        </w:trPr>
        <w:tc>
          <w:tcPr>
            <w:tcW w:w="3902" w:type="dxa"/>
            <w:vAlign w:val="center"/>
          </w:tcPr>
          <w:p w14:paraId="680DD6E5"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Poremećaji krvi i limfnog sistema </w:t>
            </w:r>
          </w:p>
        </w:tc>
        <w:tc>
          <w:tcPr>
            <w:tcW w:w="1750" w:type="dxa"/>
            <w:vAlign w:val="center"/>
          </w:tcPr>
          <w:p w14:paraId="75F9F1CB" w14:textId="2164CAAD" w:rsidR="003A2EB0" w:rsidRPr="00AE5D50" w:rsidRDefault="005A134F" w:rsidP="003A2EB0">
            <w:pPr>
              <w:autoSpaceDE w:val="0"/>
              <w:autoSpaceDN w:val="0"/>
              <w:adjustRightInd w:val="0"/>
              <w:spacing w:line="259" w:lineRule="auto"/>
              <w:rPr>
                <w:rFonts w:eastAsia="Calibri"/>
                <w:sz w:val="22"/>
                <w:szCs w:val="22"/>
                <w:highlight w:val="yellow"/>
                <w:lang w:val="hr-HR"/>
              </w:rPr>
            </w:pPr>
            <w:r>
              <w:rPr>
                <w:rFonts w:eastAsia="Calibri"/>
                <w:sz w:val="22"/>
                <w:szCs w:val="22"/>
                <w:lang w:val="hr-HR"/>
              </w:rPr>
              <w:t>često</w:t>
            </w:r>
          </w:p>
        </w:tc>
        <w:tc>
          <w:tcPr>
            <w:tcW w:w="3415" w:type="dxa"/>
            <w:vAlign w:val="center"/>
          </w:tcPr>
          <w:p w14:paraId="10BDFA73"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smanjen broj trombocita</w:t>
            </w:r>
            <w:r w:rsidRPr="008A2C89">
              <w:rPr>
                <w:rFonts w:eastAsia="Calibri"/>
                <w:sz w:val="22"/>
                <w:szCs w:val="22"/>
                <w:vertAlign w:val="superscript"/>
                <w:lang w:val="hr-HR"/>
              </w:rPr>
              <w:t>e</w:t>
            </w:r>
          </w:p>
        </w:tc>
      </w:tr>
      <w:tr w:rsidR="003A2EB0" w:rsidRPr="008A2C89" w14:paraId="76D5F377" w14:textId="77777777" w:rsidTr="003A2EB0">
        <w:trPr>
          <w:trHeight w:val="270"/>
        </w:trPr>
        <w:tc>
          <w:tcPr>
            <w:tcW w:w="3902" w:type="dxa"/>
            <w:vMerge w:val="restart"/>
            <w:vAlign w:val="center"/>
          </w:tcPr>
          <w:p w14:paraId="5598905A"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Poremećaji imunog sistema</w:t>
            </w:r>
          </w:p>
        </w:tc>
        <w:tc>
          <w:tcPr>
            <w:tcW w:w="1750" w:type="dxa"/>
            <w:vAlign w:val="center"/>
          </w:tcPr>
          <w:p w14:paraId="58E69E4B"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veoma često </w:t>
            </w:r>
          </w:p>
        </w:tc>
        <w:tc>
          <w:tcPr>
            <w:tcW w:w="3415" w:type="dxa"/>
            <w:vAlign w:val="center"/>
          </w:tcPr>
          <w:p w14:paraId="225375AB"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reakcije preosjetljivosti</w:t>
            </w:r>
            <w:r w:rsidRPr="008A2C89">
              <w:rPr>
                <w:rFonts w:eastAsia="Calibri"/>
                <w:sz w:val="22"/>
                <w:szCs w:val="22"/>
                <w:vertAlign w:val="superscript"/>
                <w:lang w:val="hr-HR"/>
              </w:rPr>
              <w:t>e</w:t>
            </w:r>
          </w:p>
        </w:tc>
      </w:tr>
      <w:tr w:rsidR="003A2EB0" w:rsidRPr="008A2C89" w14:paraId="6C77DE6A" w14:textId="77777777" w:rsidTr="003A2EB0">
        <w:trPr>
          <w:trHeight w:val="221"/>
        </w:trPr>
        <w:tc>
          <w:tcPr>
            <w:tcW w:w="3902" w:type="dxa"/>
            <w:vMerge/>
            <w:vAlign w:val="center"/>
          </w:tcPr>
          <w:p w14:paraId="08EA0DFA" w14:textId="77777777" w:rsidR="003A2EB0" w:rsidRPr="008A2C89" w:rsidRDefault="003A2EB0" w:rsidP="003A2EB0">
            <w:pPr>
              <w:autoSpaceDE w:val="0"/>
              <w:autoSpaceDN w:val="0"/>
              <w:adjustRightInd w:val="0"/>
              <w:spacing w:line="259" w:lineRule="auto"/>
              <w:rPr>
                <w:rFonts w:eastAsia="Calibri"/>
                <w:sz w:val="22"/>
                <w:szCs w:val="22"/>
                <w:lang w:val="hr-HR"/>
              </w:rPr>
            </w:pPr>
          </w:p>
        </w:tc>
        <w:tc>
          <w:tcPr>
            <w:tcW w:w="1750" w:type="dxa"/>
            <w:vAlign w:val="center"/>
          </w:tcPr>
          <w:p w14:paraId="1626D91C"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povremeno</w:t>
            </w:r>
          </w:p>
        </w:tc>
        <w:tc>
          <w:tcPr>
            <w:tcW w:w="3415" w:type="dxa"/>
            <w:vAlign w:val="center"/>
          </w:tcPr>
          <w:p w14:paraId="6B63BDDE"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anafilaktičke reakcije</w:t>
            </w:r>
          </w:p>
        </w:tc>
      </w:tr>
      <w:tr w:rsidR="003A2EB0" w:rsidRPr="008A2C89" w14:paraId="23559FC2" w14:textId="77777777" w:rsidTr="003A2EB0">
        <w:trPr>
          <w:trHeight w:val="270"/>
        </w:trPr>
        <w:tc>
          <w:tcPr>
            <w:tcW w:w="3902" w:type="dxa"/>
            <w:vAlign w:val="center"/>
          </w:tcPr>
          <w:p w14:paraId="4D9C7095"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Poremećaji metabolizma i ishrane </w:t>
            </w:r>
          </w:p>
        </w:tc>
        <w:tc>
          <w:tcPr>
            <w:tcW w:w="1750" w:type="dxa"/>
            <w:vAlign w:val="center"/>
          </w:tcPr>
          <w:p w14:paraId="0597E983"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često </w:t>
            </w:r>
          </w:p>
        </w:tc>
        <w:tc>
          <w:tcPr>
            <w:tcW w:w="3415" w:type="dxa"/>
            <w:vAlign w:val="center"/>
          </w:tcPr>
          <w:p w14:paraId="2FE5F0DA"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anoreksija</w:t>
            </w:r>
            <w:r w:rsidRPr="008A2C89">
              <w:rPr>
                <w:rFonts w:eastAsia="Calibri"/>
                <w:sz w:val="22"/>
                <w:szCs w:val="22"/>
                <w:vertAlign w:val="superscript"/>
                <w:lang w:val="hr-HR"/>
              </w:rPr>
              <w:t>a</w:t>
            </w:r>
          </w:p>
        </w:tc>
      </w:tr>
      <w:tr w:rsidR="003A2EB0" w:rsidRPr="008A2C89" w14:paraId="1854CD41" w14:textId="77777777" w:rsidTr="003A2EB0">
        <w:trPr>
          <w:trHeight w:val="270"/>
        </w:trPr>
        <w:tc>
          <w:tcPr>
            <w:tcW w:w="3902" w:type="dxa"/>
            <w:vAlign w:val="center"/>
          </w:tcPr>
          <w:p w14:paraId="26DE90AC"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Poremećaji nervnog sistema </w:t>
            </w:r>
          </w:p>
        </w:tc>
        <w:tc>
          <w:tcPr>
            <w:tcW w:w="1750" w:type="dxa"/>
            <w:vAlign w:val="center"/>
          </w:tcPr>
          <w:p w14:paraId="4360DCFE"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često </w:t>
            </w:r>
          </w:p>
        </w:tc>
        <w:tc>
          <w:tcPr>
            <w:tcW w:w="3415" w:type="dxa"/>
            <w:vAlign w:val="center"/>
          </w:tcPr>
          <w:p w14:paraId="760AD330"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glavobolja </w:t>
            </w:r>
          </w:p>
        </w:tc>
      </w:tr>
      <w:tr w:rsidR="003A2EB0" w:rsidRPr="008A2C89" w14:paraId="7B0F98C7" w14:textId="77777777" w:rsidTr="003A2EB0">
        <w:trPr>
          <w:trHeight w:val="270"/>
        </w:trPr>
        <w:tc>
          <w:tcPr>
            <w:tcW w:w="3902" w:type="dxa"/>
            <w:vMerge w:val="restart"/>
            <w:vAlign w:val="center"/>
          </w:tcPr>
          <w:p w14:paraId="0852F0FC"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Vaskularni poremećaji </w:t>
            </w:r>
          </w:p>
        </w:tc>
        <w:tc>
          <w:tcPr>
            <w:tcW w:w="1750" w:type="dxa"/>
            <w:vAlign w:val="center"/>
          </w:tcPr>
          <w:p w14:paraId="70F3BA20"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veoma često </w:t>
            </w:r>
          </w:p>
        </w:tc>
        <w:tc>
          <w:tcPr>
            <w:tcW w:w="3415" w:type="dxa"/>
            <w:vAlign w:val="center"/>
          </w:tcPr>
          <w:p w14:paraId="513861DF"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navale vrućine</w:t>
            </w:r>
            <w:r w:rsidRPr="008A2C89">
              <w:rPr>
                <w:rFonts w:eastAsia="Calibri"/>
                <w:sz w:val="22"/>
                <w:szCs w:val="22"/>
                <w:vertAlign w:val="superscript"/>
                <w:lang w:val="hr-HR"/>
              </w:rPr>
              <w:t xml:space="preserve">e </w:t>
            </w:r>
          </w:p>
        </w:tc>
      </w:tr>
      <w:tr w:rsidR="003A2EB0" w:rsidRPr="008A2C89" w14:paraId="59BD7696" w14:textId="77777777" w:rsidTr="003A2EB0">
        <w:trPr>
          <w:trHeight w:val="225"/>
        </w:trPr>
        <w:tc>
          <w:tcPr>
            <w:tcW w:w="3902" w:type="dxa"/>
            <w:vMerge/>
            <w:vAlign w:val="center"/>
          </w:tcPr>
          <w:p w14:paraId="2064F24C" w14:textId="77777777" w:rsidR="003A2EB0" w:rsidRPr="008A2C89" w:rsidRDefault="003A2EB0" w:rsidP="003A2EB0">
            <w:pPr>
              <w:autoSpaceDE w:val="0"/>
              <w:autoSpaceDN w:val="0"/>
              <w:adjustRightInd w:val="0"/>
              <w:spacing w:line="259" w:lineRule="auto"/>
              <w:rPr>
                <w:rFonts w:eastAsia="Calibri"/>
                <w:sz w:val="22"/>
                <w:szCs w:val="22"/>
                <w:lang w:val="hr-HR"/>
              </w:rPr>
            </w:pPr>
          </w:p>
        </w:tc>
        <w:tc>
          <w:tcPr>
            <w:tcW w:w="1750" w:type="dxa"/>
            <w:vAlign w:val="center"/>
          </w:tcPr>
          <w:p w14:paraId="5BB00594"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često</w:t>
            </w:r>
          </w:p>
        </w:tc>
        <w:tc>
          <w:tcPr>
            <w:tcW w:w="3415" w:type="dxa"/>
            <w:vAlign w:val="center"/>
          </w:tcPr>
          <w:p w14:paraId="0AD2F2E8" w14:textId="77777777" w:rsidR="003A2EB0" w:rsidRPr="008A2C89" w:rsidDel="00307736"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venska tromboembolija</w:t>
            </w:r>
            <w:r w:rsidRPr="008A2C89">
              <w:rPr>
                <w:rFonts w:eastAsia="Calibri"/>
                <w:sz w:val="22"/>
                <w:szCs w:val="22"/>
                <w:vertAlign w:val="superscript"/>
                <w:lang w:val="hr-HR"/>
              </w:rPr>
              <w:t>a</w:t>
            </w:r>
          </w:p>
        </w:tc>
      </w:tr>
      <w:tr w:rsidR="003A2EB0" w:rsidRPr="008A2C89" w14:paraId="12300CAA" w14:textId="77777777" w:rsidTr="003A2EB0">
        <w:trPr>
          <w:trHeight w:val="270"/>
        </w:trPr>
        <w:tc>
          <w:tcPr>
            <w:tcW w:w="3902" w:type="dxa"/>
            <w:vMerge w:val="restart"/>
          </w:tcPr>
          <w:p w14:paraId="547B3D32"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Poremećaji digestivnog sistema </w:t>
            </w:r>
          </w:p>
        </w:tc>
        <w:tc>
          <w:tcPr>
            <w:tcW w:w="1750" w:type="dxa"/>
            <w:vAlign w:val="center"/>
          </w:tcPr>
          <w:p w14:paraId="16E785CD"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veoma često </w:t>
            </w:r>
          </w:p>
        </w:tc>
        <w:tc>
          <w:tcPr>
            <w:tcW w:w="3415" w:type="dxa"/>
            <w:vAlign w:val="center"/>
          </w:tcPr>
          <w:p w14:paraId="4B04CCC2"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mučnina </w:t>
            </w:r>
          </w:p>
        </w:tc>
      </w:tr>
      <w:tr w:rsidR="003A2EB0" w:rsidRPr="008A2C89" w14:paraId="17F47B3B" w14:textId="77777777" w:rsidTr="003A2EB0">
        <w:trPr>
          <w:trHeight w:val="270"/>
        </w:trPr>
        <w:tc>
          <w:tcPr>
            <w:tcW w:w="3902" w:type="dxa"/>
            <w:vMerge/>
          </w:tcPr>
          <w:p w14:paraId="58629598" w14:textId="77777777" w:rsidR="003A2EB0" w:rsidRPr="008A2C89" w:rsidRDefault="003A2EB0" w:rsidP="003A2EB0">
            <w:pPr>
              <w:autoSpaceDE w:val="0"/>
              <w:autoSpaceDN w:val="0"/>
              <w:adjustRightInd w:val="0"/>
              <w:spacing w:line="259" w:lineRule="auto"/>
              <w:rPr>
                <w:rFonts w:eastAsia="Calibri"/>
                <w:sz w:val="22"/>
                <w:szCs w:val="22"/>
                <w:lang w:val="hr-HR"/>
              </w:rPr>
            </w:pPr>
          </w:p>
        </w:tc>
        <w:tc>
          <w:tcPr>
            <w:tcW w:w="1750" w:type="dxa"/>
            <w:vAlign w:val="center"/>
          </w:tcPr>
          <w:p w14:paraId="5911DF21"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često </w:t>
            </w:r>
          </w:p>
        </w:tc>
        <w:tc>
          <w:tcPr>
            <w:tcW w:w="3415" w:type="dxa"/>
            <w:vAlign w:val="center"/>
          </w:tcPr>
          <w:p w14:paraId="1DA9D8F2"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povraćanje, proliv </w:t>
            </w:r>
          </w:p>
        </w:tc>
      </w:tr>
      <w:tr w:rsidR="003A2EB0" w:rsidRPr="00585C79" w14:paraId="1D7967A4" w14:textId="77777777" w:rsidTr="003A2EB0">
        <w:trPr>
          <w:trHeight w:val="541"/>
        </w:trPr>
        <w:tc>
          <w:tcPr>
            <w:tcW w:w="3902" w:type="dxa"/>
            <w:vMerge w:val="restart"/>
          </w:tcPr>
          <w:p w14:paraId="19284C92"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Poremećaji jetre i žuči </w:t>
            </w:r>
          </w:p>
        </w:tc>
        <w:tc>
          <w:tcPr>
            <w:tcW w:w="1750" w:type="dxa"/>
          </w:tcPr>
          <w:p w14:paraId="3A0E311D"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veoma često </w:t>
            </w:r>
          </w:p>
        </w:tc>
        <w:tc>
          <w:tcPr>
            <w:tcW w:w="3415" w:type="dxa"/>
          </w:tcPr>
          <w:p w14:paraId="4D7F0897"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povišene vrijednosti enzima jetre (ALT, AST, ALP)</w:t>
            </w:r>
            <w:r w:rsidRPr="008A2C89">
              <w:rPr>
                <w:rFonts w:eastAsia="Calibri"/>
                <w:sz w:val="22"/>
                <w:szCs w:val="22"/>
                <w:vertAlign w:val="superscript"/>
                <w:lang w:val="hr-HR"/>
              </w:rPr>
              <w:t>a</w:t>
            </w:r>
            <w:r w:rsidRPr="008A2C89">
              <w:rPr>
                <w:rFonts w:eastAsia="Calibri"/>
                <w:sz w:val="22"/>
                <w:szCs w:val="22"/>
                <w:lang w:val="hr-HR"/>
              </w:rPr>
              <w:t xml:space="preserve"> </w:t>
            </w:r>
          </w:p>
        </w:tc>
      </w:tr>
      <w:tr w:rsidR="003A2EB0" w:rsidRPr="008A2C89" w14:paraId="1BDB0660" w14:textId="77777777" w:rsidTr="003A2EB0">
        <w:trPr>
          <w:trHeight w:val="270"/>
        </w:trPr>
        <w:tc>
          <w:tcPr>
            <w:tcW w:w="3902" w:type="dxa"/>
            <w:vMerge/>
          </w:tcPr>
          <w:p w14:paraId="5589CFCD" w14:textId="77777777" w:rsidR="003A2EB0" w:rsidRPr="008A2C89" w:rsidRDefault="003A2EB0" w:rsidP="003A2EB0">
            <w:pPr>
              <w:autoSpaceDE w:val="0"/>
              <w:autoSpaceDN w:val="0"/>
              <w:adjustRightInd w:val="0"/>
              <w:spacing w:line="259" w:lineRule="auto"/>
              <w:rPr>
                <w:rFonts w:eastAsia="Calibri"/>
                <w:sz w:val="22"/>
                <w:szCs w:val="22"/>
                <w:lang w:val="hr-HR"/>
              </w:rPr>
            </w:pPr>
          </w:p>
        </w:tc>
        <w:tc>
          <w:tcPr>
            <w:tcW w:w="1750" w:type="dxa"/>
            <w:vAlign w:val="center"/>
          </w:tcPr>
          <w:p w14:paraId="22F5C16B"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često </w:t>
            </w:r>
          </w:p>
        </w:tc>
        <w:tc>
          <w:tcPr>
            <w:tcW w:w="3415" w:type="dxa"/>
            <w:vAlign w:val="center"/>
          </w:tcPr>
          <w:p w14:paraId="4909E676"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Povišen nivo bilirubina</w:t>
            </w:r>
            <w:r w:rsidRPr="008A2C89">
              <w:rPr>
                <w:rFonts w:eastAsia="Calibri"/>
                <w:sz w:val="22"/>
                <w:szCs w:val="22"/>
                <w:vertAlign w:val="superscript"/>
                <w:lang w:val="hr-HR"/>
              </w:rPr>
              <w:t>a</w:t>
            </w:r>
            <w:r w:rsidRPr="008A2C89">
              <w:rPr>
                <w:rFonts w:eastAsia="Calibri"/>
                <w:sz w:val="22"/>
                <w:szCs w:val="22"/>
                <w:lang w:val="hr-HR"/>
              </w:rPr>
              <w:t xml:space="preserve"> </w:t>
            </w:r>
          </w:p>
        </w:tc>
      </w:tr>
      <w:tr w:rsidR="003A2EB0" w:rsidRPr="00585C79" w14:paraId="087D4508" w14:textId="77777777" w:rsidTr="003A2EB0">
        <w:trPr>
          <w:trHeight w:val="280"/>
        </w:trPr>
        <w:tc>
          <w:tcPr>
            <w:tcW w:w="3902" w:type="dxa"/>
            <w:vMerge/>
          </w:tcPr>
          <w:p w14:paraId="3C904B9F" w14:textId="77777777" w:rsidR="003A2EB0" w:rsidRPr="008A2C89" w:rsidRDefault="003A2EB0" w:rsidP="003A2EB0">
            <w:pPr>
              <w:autoSpaceDE w:val="0"/>
              <w:autoSpaceDN w:val="0"/>
              <w:adjustRightInd w:val="0"/>
              <w:spacing w:line="259" w:lineRule="auto"/>
              <w:rPr>
                <w:rFonts w:eastAsia="Calibri"/>
                <w:sz w:val="22"/>
                <w:szCs w:val="22"/>
                <w:lang w:val="hr-HR"/>
              </w:rPr>
            </w:pPr>
          </w:p>
        </w:tc>
        <w:tc>
          <w:tcPr>
            <w:tcW w:w="1750" w:type="dxa"/>
          </w:tcPr>
          <w:p w14:paraId="06B1D5D4"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povremeno </w:t>
            </w:r>
          </w:p>
        </w:tc>
        <w:tc>
          <w:tcPr>
            <w:tcW w:w="3415" w:type="dxa"/>
            <w:vMerge w:val="restart"/>
          </w:tcPr>
          <w:p w14:paraId="6F64C8EE"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Insufucijencija  jetre</w:t>
            </w:r>
            <w:r w:rsidRPr="008A2C89">
              <w:rPr>
                <w:rFonts w:eastAsia="Calibri"/>
                <w:sz w:val="22"/>
                <w:szCs w:val="22"/>
                <w:vertAlign w:val="superscript"/>
                <w:lang w:val="hr-HR"/>
              </w:rPr>
              <w:t>c,f</w:t>
            </w:r>
            <w:r w:rsidRPr="008A2C89">
              <w:rPr>
                <w:rFonts w:eastAsia="Calibri"/>
                <w:sz w:val="22"/>
                <w:szCs w:val="22"/>
                <w:lang w:val="hr-HR"/>
              </w:rPr>
              <w:t>, hepatitis</w:t>
            </w:r>
            <w:r w:rsidRPr="008A2C89">
              <w:rPr>
                <w:rFonts w:eastAsia="Calibri"/>
                <w:sz w:val="22"/>
                <w:szCs w:val="22"/>
                <w:vertAlign w:val="superscript"/>
                <w:lang w:val="hr-HR"/>
              </w:rPr>
              <w:t>f</w:t>
            </w:r>
            <w:r w:rsidRPr="008A2C89">
              <w:rPr>
                <w:rFonts w:eastAsia="Calibri"/>
                <w:sz w:val="22"/>
                <w:szCs w:val="22"/>
                <w:lang w:val="hr-HR"/>
              </w:rPr>
              <w:t>, povišen nivo gama-GT</w:t>
            </w:r>
            <w:r w:rsidRPr="008A2C89">
              <w:rPr>
                <w:rFonts w:eastAsia="Calibri"/>
                <w:sz w:val="22"/>
                <w:szCs w:val="22"/>
                <w:vertAlign w:val="superscript"/>
                <w:lang w:val="hr-HR"/>
              </w:rPr>
              <w:t>f</w:t>
            </w:r>
            <w:r w:rsidRPr="008A2C89">
              <w:rPr>
                <w:rFonts w:eastAsia="Calibri"/>
                <w:sz w:val="22"/>
                <w:szCs w:val="22"/>
                <w:lang w:val="hr-HR"/>
              </w:rPr>
              <w:t xml:space="preserve"> </w:t>
            </w:r>
          </w:p>
        </w:tc>
      </w:tr>
      <w:tr w:rsidR="003A2EB0" w:rsidRPr="00585C79" w14:paraId="621A6488" w14:textId="77777777" w:rsidTr="003A2EB0">
        <w:trPr>
          <w:trHeight w:val="250"/>
        </w:trPr>
        <w:tc>
          <w:tcPr>
            <w:tcW w:w="3902" w:type="dxa"/>
          </w:tcPr>
          <w:p w14:paraId="48CDED0B" w14:textId="77777777" w:rsidR="003A2EB0" w:rsidRPr="008A2C89" w:rsidRDefault="003A2EB0" w:rsidP="003A2EB0">
            <w:pPr>
              <w:autoSpaceDE w:val="0"/>
              <w:autoSpaceDN w:val="0"/>
              <w:adjustRightInd w:val="0"/>
              <w:spacing w:line="259" w:lineRule="auto"/>
              <w:rPr>
                <w:rFonts w:eastAsia="Calibri"/>
                <w:color w:val="FF0000"/>
                <w:sz w:val="22"/>
                <w:szCs w:val="22"/>
                <w:lang w:val="hr-HR"/>
              </w:rPr>
            </w:pPr>
          </w:p>
        </w:tc>
        <w:tc>
          <w:tcPr>
            <w:tcW w:w="1750" w:type="dxa"/>
          </w:tcPr>
          <w:p w14:paraId="1F0B8E1F" w14:textId="77777777" w:rsidR="003A2EB0" w:rsidRPr="008A2C89" w:rsidRDefault="003A2EB0" w:rsidP="003A2EB0">
            <w:pPr>
              <w:autoSpaceDE w:val="0"/>
              <w:autoSpaceDN w:val="0"/>
              <w:adjustRightInd w:val="0"/>
              <w:spacing w:line="259" w:lineRule="auto"/>
              <w:rPr>
                <w:rFonts w:eastAsia="Calibri"/>
                <w:color w:val="FF0000"/>
                <w:sz w:val="22"/>
                <w:szCs w:val="22"/>
                <w:lang w:val="hr-HR"/>
              </w:rPr>
            </w:pPr>
          </w:p>
        </w:tc>
        <w:tc>
          <w:tcPr>
            <w:tcW w:w="3415" w:type="dxa"/>
            <w:vMerge/>
          </w:tcPr>
          <w:p w14:paraId="19580DE9" w14:textId="77777777" w:rsidR="003A2EB0" w:rsidRPr="008A2C89" w:rsidRDefault="003A2EB0" w:rsidP="003A2EB0">
            <w:pPr>
              <w:autoSpaceDE w:val="0"/>
              <w:autoSpaceDN w:val="0"/>
              <w:adjustRightInd w:val="0"/>
              <w:spacing w:line="259" w:lineRule="auto"/>
              <w:rPr>
                <w:rFonts w:eastAsia="Calibri"/>
                <w:color w:val="FF0000"/>
                <w:sz w:val="22"/>
                <w:szCs w:val="22"/>
                <w:lang w:val="hr-HR"/>
              </w:rPr>
            </w:pPr>
          </w:p>
        </w:tc>
      </w:tr>
      <w:tr w:rsidR="003A2EB0" w:rsidRPr="008A2C89" w14:paraId="4EB97F0E" w14:textId="77777777" w:rsidTr="003A2EB0">
        <w:trPr>
          <w:trHeight w:val="270"/>
        </w:trPr>
        <w:tc>
          <w:tcPr>
            <w:tcW w:w="3902" w:type="dxa"/>
            <w:vAlign w:val="center"/>
          </w:tcPr>
          <w:p w14:paraId="298F9AC9"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Poremećaji kože i potkožnog tkiva </w:t>
            </w:r>
          </w:p>
        </w:tc>
        <w:tc>
          <w:tcPr>
            <w:tcW w:w="1750" w:type="dxa"/>
            <w:vAlign w:val="center"/>
          </w:tcPr>
          <w:p w14:paraId="0531E1A5"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veoma često </w:t>
            </w:r>
          </w:p>
        </w:tc>
        <w:tc>
          <w:tcPr>
            <w:tcW w:w="3415" w:type="dxa"/>
            <w:vAlign w:val="center"/>
          </w:tcPr>
          <w:p w14:paraId="65AA3B80"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osip</w:t>
            </w:r>
            <w:r w:rsidRPr="008A2C89">
              <w:rPr>
                <w:rFonts w:eastAsia="Calibri"/>
                <w:sz w:val="22"/>
                <w:szCs w:val="22"/>
                <w:vertAlign w:val="superscript"/>
                <w:lang w:val="hr-HR"/>
              </w:rPr>
              <w:t>e</w:t>
            </w:r>
            <w:r w:rsidRPr="008A2C89">
              <w:rPr>
                <w:rFonts w:eastAsia="Calibri"/>
                <w:sz w:val="22"/>
                <w:szCs w:val="22"/>
                <w:lang w:val="hr-HR"/>
              </w:rPr>
              <w:t xml:space="preserve"> </w:t>
            </w:r>
          </w:p>
        </w:tc>
      </w:tr>
      <w:tr w:rsidR="003A2EB0" w:rsidRPr="00585C79" w14:paraId="47FA3FE9" w14:textId="77777777" w:rsidTr="003A2EB0">
        <w:trPr>
          <w:trHeight w:val="285"/>
        </w:trPr>
        <w:tc>
          <w:tcPr>
            <w:tcW w:w="3902" w:type="dxa"/>
            <w:vMerge w:val="restart"/>
          </w:tcPr>
          <w:p w14:paraId="3D4C28F5"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Poremećaji mišićno-koštanog sistema i </w:t>
            </w:r>
          </w:p>
          <w:p w14:paraId="2DCC15EC"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vezivnog tkiva </w:t>
            </w:r>
          </w:p>
        </w:tc>
        <w:tc>
          <w:tcPr>
            <w:tcW w:w="1750" w:type="dxa"/>
          </w:tcPr>
          <w:p w14:paraId="0971CD30"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veoma često </w:t>
            </w:r>
          </w:p>
        </w:tc>
        <w:tc>
          <w:tcPr>
            <w:tcW w:w="3415" w:type="dxa"/>
          </w:tcPr>
          <w:p w14:paraId="6DD964BB"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bol u zglobovima, kostima i mišićima</w:t>
            </w:r>
            <w:r w:rsidRPr="008A2C89">
              <w:rPr>
                <w:rFonts w:eastAsia="Calibri"/>
                <w:sz w:val="22"/>
                <w:szCs w:val="22"/>
                <w:vertAlign w:val="superscript"/>
                <w:lang w:val="hr-HR"/>
              </w:rPr>
              <w:t>d</w:t>
            </w:r>
          </w:p>
        </w:tc>
      </w:tr>
      <w:tr w:rsidR="003A2EB0" w:rsidRPr="008A2C89" w14:paraId="2F41D754" w14:textId="77777777" w:rsidTr="003A2EB0">
        <w:trPr>
          <w:trHeight w:val="285"/>
        </w:trPr>
        <w:tc>
          <w:tcPr>
            <w:tcW w:w="3902" w:type="dxa"/>
            <w:vMerge/>
          </w:tcPr>
          <w:p w14:paraId="6672AFB9" w14:textId="77777777" w:rsidR="003A2EB0" w:rsidRPr="008A2C89" w:rsidRDefault="003A2EB0" w:rsidP="003A2EB0">
            <w:pPr>
              <w:autoSpaceDE w:val="0"/>
              <w:autoSpaceDN w:val="0"/>
              <w:adjustRightInd w:val="0"/>
              <w:spacing w:line="259" w:lineRule="auto"/>
              <w:rPr>
                <w:rFonts w:eastAsia="Calibri"/>
                <w:sz w:val="22"/>
                <w:szCs w:val="22"/>
                <w:lang w:val="hr-HR"/>
              </w:rPr>
            </w:pPr>
          </w:p>
        </w:tc>
        <w:tc>
          <w:tcPr>
            <w:tcW w:w="1750" w:type="dxa"/>
          </w:tcPr>
          <w:p w14:paraId="58CC437E"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često</w:t>
            </w:r>
          </w:p>
        </w:tc>
        <w:tc>
          <w:tcPr>
            <w:tcW w:w="3415" w:type="dxa"/>
          </w:tcPr>
          <w:p w14:paraId="2F461935"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bol u leđima</w:t>
            </w:r>
            <w:r w:rsidRPr="008A2C89">
              <w:rPr>
                <w:rFonts w:eastAsia="Calibri"/>
                <w:sz w:val="22"/>
                <w:szCs w:val="22"/>
                <w:vertAlign w:val="superscript"/>
                <w:lang w:val="hr-HR"/>
              </w:rPr>
              <w:t xml:space="preserve">a </w:t>
            </w:r>
          </w:p>
        </w:tc>
      </w:tr>
      <w:tr w:rsidR="003A2EB0" w:rsidRPr="008A2C89" w14:paraId="4F7D772B" w14:textId="77777777" w:rsidTr="003A2EB0">
        <w:trPr>
          <w:trHeight w:val="345"/>
        </w:trPr>
        <w:tc>
          <w:tcPr>
            <w:tcW w:w="3902" w:type="dxa"/>
            <w:vMerge w:val="restart"/>
          </w:tcPr>
          <w:p w14:paraId="0BEE7986"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Poremećaji reproduktivnog sistema i </w:t>
            </w:r>
          </w:p>
          <w:p w14:paraId="56B8D282"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dojki </w:t>
            </w:r>
          </w:p>
        </w:tc>
        <w:tc>
          <w:tcPr>
            <w:tcW w:w="1750" w:type="dxa"/>
          </w:tcPr>
          <w:p w14:paraId="0B70B459" w14:textId="77777777" w:rsidR="003A2EB0" w:rsidRPr="008A2C89" w:rsidRDefault="005A134F" w:rsidP="003A2EB0">
            <w:pPr>
              <w:autoSpaceDE w:val="0"/>
              <w:autoSpaceDN w:val="0"/>
              <w:adjustRightInd w:val="0"/>
              <w:spacing w:line="259" w:lineRule="auto"/>
              <w:rPr>
                <w:rFonts w:eastAsia="Calibri"/>
                <w:sz w:val="22"/>
                <w:szCs w:val="22"/>
                <w:lang w:val="hr-HR"/>
              </w:rPr>
            </w:pPr>
            <w:r>
              <w:rPr>
                <w:rFonts w:eastAsia="Calibri"/>
                <w:sz w:val="22"/>
                <w:szCs w:val="22"/>
                <w:lang w:val="hr-HR"/>
              </w:rPr>
              <w:t xml:space="preserve">veoma </w:t>
            </w:r>
            <w:r w:rsidR="003A2EB0" w:rsidRPr="009338F8">
              <w:rPr>
                <w:rFonts w:eastAsia="Calibri"/>
                <w:sz w:val="22"/>
                <w:szCs w:val="22"/>
                <w:lang w:val="hr-HR"/>
              </w:rPr>
              <w:t>često</w:t>
            </w:r>
          </w:p>
        </w:tc>
        <w:tc>
          <w:tcPr>
            <w:tcW w:w="3415" w:type="dxa"/>
          </w:tcPr>
          <w:p w14:paraId="7DC37C1E"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vaginalno krvarenje</w:t>
            </w:r>
            <w:r w:rsidRPr="008A2C89">
              <w:rPr>
                <w:rFonts w:eastAsia="Calibri"/>
                <w:sz w:val="22"/>
                <w:szCs w:val="22"/>
                <w:vertAlign w:val="superscript"/>
                <w:lang w:val="hr-HR"/>
              </w:rPr>
              <w:t xml:space="preserve">e </w:t>
            </w:r>
          </w:p>
        </w:tc>
      </w:tr>
      <w:tr w:rsidR="003A2EB0" w:rsidRPr="008A2C89" w14:paraId="0936DCFA" w14:textId="77777777" w:rsidTr="003A2EB0">
        <w:trPr>
          <w:trHeight w:val="344"/>
        </w:trPr>
        <w:tc>
          <w:tcPr>
            <w:tcW w:w="3902" w:type="dxa"/>
            <w:vMerge/>
          </w:tcPr>
          <w:p w14:paraId="1B519898" w14:textId="77777777" w:rsidR="003A2EB0" w:rsidRPr="008A2C89" w:rsidRDefault="003A2EB0" w:rsidP="003A2EB0">
            <w:pPr>
              <w:autoSpaceDE w:val="0"/>
              <w:autoSpaceDN w:val="0"/>
              <w:adjustRightInd w:val="0"/>
              <w:spacing w:line="259" w:lineRule="auto"/>
              <w:rPr>
                <w:rFonts w:eastAsia="Calibri"/>
                <w:sz w:val="22"/>
                <w:szCs w:val="22"/>
                <w:lang w:val="hr-HR"/>
              </w:rPr>
            </w:pPr>
          </w:p>
        </w:tc>
        <w:tc>
          <w:tcPr>
            <w:tcW w:w="1750" w:type="dxa"/>
          </w:tcPr>
          <w:p w14:paraId="2457CF3F"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povremeno</w:t>
            </w:r>
          </w:p>
        </w:tc>
        <w:tc>
          <w:tcPr>
            <w:tcW w:w="3415" w:type="dxa"/>
          </w:tcPr>
          <w:p w14:paraId="57B65710"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vaginalna monilijaza</w:t>
            </w:r>
            <w:r w:rsidRPr="008A2C89">
              <w:rPr>
                <w:rFonts w:eastAsia="Calibri"/>
                <w:sz w:val="22"/>
                <w:szCs w:val="22"/>
                <w:vertAlign w:val="superscript"/>
                <w:lang w:val="hr-HR"/>
              </w:rPr>
              <w:t>f</w:t>
            </w:r>
            <w:r w:rsidRPr="008A2C89">
              <w:rPr>
                <w:rFonts w:eastAsia="Calibri"/>
                <w:sz w:val="22"/>
                <w:szCs w:val="22"/>
                <w:lang w:val="hr-HR"/>
              </w:rPr>
              <w:t>, leukoreja</w:t>
            </w:r>
            <w:r w:rsidRPr="008A2C89">
              <w:rPr>
                <w:rFonts w:eastAsia="Calibri"/>
                <w:sz w:val="22"/>
                <w:szCs w:val="22"/>
                <w:vertAlign w:val="superscript"/>
                <w:lang w:val="hr-HR"/>
              </w:rPr>
              <w:t>f</w:t>
            </w:r>
          </w:p>
        </w:tc>
      </w:tr>
      <w:tr w:rsidR="003A2EB0" w:rsidRPr="00585C79" w14:paraId="769B1FB5" w14:textId="77777777" w:rsidTr="003A2EB0">
        <w:trPr>
          <w:trHeight w:val="280"/>
        </w:trPr>
        <w:tc>
          <w:tcPr>
            <w:tcW w:w="3902" w:type="dxa"/>
            <w:vMerge w:val="restart"/>
          </w:tcPr>
          <w:p w14:paraId="18C82655"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Opšti poremećaji i reakcije na mjestu </w:t>
            </w:r>
          </w:p>
          <w:p w14:paraId="5173579B"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primjene </w:t>
            </w:r>
          </w:p>
        </w:tc>
        <w:tc>
          <w:tcPr>
            <w:tcW w:w="1750" w:type="dxa"/>
          </w:tcPr>
          <w:p w14:paraId="50F4AF26"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veoma često </w:t>
            </w:r>
          </w:p>
        </w:tc>
        <w:tc>
          <w:tcPr>
            <w:tcW w:w="3415" w:type="dxa"/>
          </w:tcPr>
          <w:p w14:paraId="55F0167A"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astenija</w:t>
            </w:r>
            <w:r w:rsidRPr="008A2C89">
              <w:rPr>
                <w:rFonts w:eastAsia="Calibri"/>
                <w:sz w:val="22"/>
                <w:szCs w:val="22"/>
                <w:vertAlign w:val="superscript"/>
                <w:lang w:val="hr-HR"/>
              </w:rPr>
              <w:t>a</w:t>
            </w:r>
            <w:r w:rsidRPr="008A2C89">
              <w:rPr>
                <w:rFonts w:eastAsia="Calibri"/>
                <w:sz w:val="22"/>
                <w:szCs w:val="22"/>
                <w:lang w:val="hr-HR"/>
              </w:rPr>
              <w:t>, reakcije na mjestu injiciranja</w:t>
            </w:r>
            <w:r w:rsidRPr="008A2C89">
              <w:rPr>
                <w:rFonts w:eastAsia="Calibri"/>
                <w:sz w:val="22"/>
                <w:szCs w:val="22"/>
                <w:vertAlign w:val="superscript"/>
                <w:lang w:val="hr-HR"/>
              </w:rPr>
              <w:t>b</w:t>
            </w:r>
            <w:r w:rsidRPr="008A2C89">
              <w:rPr>
                <w:rFonts w:eastAsia="Calibri"/>
                <w:sz w:val="22"/>
                <w:szCs w:val="22"/>
                <w:lang w:val="hr-HR"/>
              </w:rPr>
              <w:t xml:space="preserve"> </w:t>
            </w:r>
          </w:p>
        </w:tc>
      </w:tr>
      <w:tr w:rsidR="003A2EB0" w:rsidRPr="008A2C89" w14:paraId="49EAFB53" w14:textId="77777777" w:rsidTr="003A2EB0">
        <w:trPr>
          <w:trHeight w:val="457"/>
        </w:trPr>
        <w:tc>
          <w:tcPr>
            <w:tcW w:w="3902" w:type="dxa"/>
            <w:vMerge/>
          </w:tcPr>
          <w:p w14:paraId="381C5758" w14:textId="77777777" w:rsidR="003A2EB0" w:rsidRPr="008A2C89" w:rsidRDefault="003A2EB0" w:rsidP="003A2EB0">
            <w:pPr>
              <w:autoSpaceDE w:val="0"/>
              <w:autoSpaceDN w:val="0"/>
              <w:adjustRightInd w:val="0"/>
              <w:spacing w:line="259" w:lineRule="auto"/>
              <w:rPr>
                <w:rFonts w:eastAsia="Calibri"/>
                <w:sz w:val="22"/>
                <w:szCs w:val="22"/>
                <w:lang w:val="hr-HR"/>
              </w:rPr>
            </w:pPr>
          </w:p>
        </w:tc>
        <w:tc>
          <w:tcPr>
            <w:tcW w:w="1750" w:type="dxa"/>
          </w:tcPr>
          <w:p w14:paraId="324F96B9"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često</w:t>
            </w:r>
          </w:p>
          <w:p w14:paraId="3256032F" w14:textId="77777777" w:rsidR="003A2EB0" w:rsidRPr="008A2C89" w:rsidRDefault="003A2EB0" w:rsidP="003A2EB0">
            <w:pPr>
              <w:autoSpaceDE w:val="0"/>
              <w:autoSpaceDN w:val="0"/>
              <w:adjustRightInd w:val="0"/>
              <w:spacing w:line="259" w:lineRule="auto"/>
              <w:rPr>
                <w:rFonts w:eastAsia="Calibri"/>
                <w:sz w:val="22"/>
                <w:szCs w:val="22"/>
                <w:lang w:val="hr-HR"/>
              </w:rPr>
            </w:pPr>
          </w:p>
        </w:tc>
        <w:tc>
          <w:tcPr>
            <w:tcW w:w="3415" w:type="dxa"/>
          </w:tcPr>
          <w:p w14:paraId="28C502F5"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periferna neuropatija</w:t>
            </w:r>
            <w:r w:rsidRPr="008A2C89">
              <w:rPr>
                <w:rFonts w:eastAsia="Calibri"/>
                <w:sz w:val="22"/>
                <w:szCs w:val="22"/>
                <w:vertAlign w:val="superscript"/>
                <w:lang w:val="hr-HR"/>
              </w:rPr>
              <w:t>e</w:t>
            </w:r>
            <w:r w:rsidRPr="008A2C89">
              <w:rPr>
                <w:rFonts w:eastAsia="Calibri"/>
                <w:sz w:val="22"/>
                <w:szCs w:val="22"/>
                <w:lang w:val="hr-HR"/>
              </w:rPr>
              <w:t>, sciatica</w:t>
            </w:r>
            <w:r w:rsidRPr="008A2C89">
              <w:rPr>
                <w:rFonts w:eastAsia="Calibri"/>
                <w:sz w:val="22"/>
                <w:szCs w:val="22"/>
                <w:vertAlign w:val="superscript"/>
                <w:lang w:val="hr-HR"/>
              </w:rPr>
              <w:t>e</w:t>
            </w:r>
          </w:p>
          <w:p w14:paraId="290F4586" w14:textId="77777777" w:rsidR="003A2EB0" w:rsidRPr="008A2C89" w:rsidRDefault="003A2EB0" w:rsidP="003A2EB0">
            <w:pPr>
              <w:autoSpaceDE w:val="0"/>
              <w:autoSpaceDN w:val="0"/>
              <w:adjustRightInd w:val="0"/>
              <w:spacing w:line="259" w:lineRule="auto"/>
              <w:rPr>
                <w:rFonts w:eastAsia="Calibri"/>
                <w:sz w:val="22"/>
                <w:szCs w:val="22"/>
                <w:lang w:val="hr-HR"/>
              </w:rPr>
            </w:pPr>
          </w:p>
        </w:tc>
      </w:tr>
      <w:tr w:rsidR="003A2EB0" w:rsidRPr="00585C79" w14:paraId="3DEE509E" w14:textId="77777777" w:rsidTr="003A2EB0">
        <w:trPr>
          <w:trHeight w:val="457"/>
        </w:trPr>
        <w:tc>
          <w:tcPr>
            <w:tcW w:w="3902" w:type="dxa"/>
            <w:vMerge/>
          </w:tcPr>
          <w:p w14:paraId="56B86A3B" w14:textId="77777777" w:rsidR="003A2EB0" w:rsidRPr="008A2C89" w:rsidRDefault="003A2EB0" w:rsidP="003A2EB0">
            <w:pPr>
              <w:autoSpaceDE w:val="0"/>
              <w:autoSpaceDN w:val="0"/>
              <w:adjustRightInd w:val="0"/>
              <w:spacing w:line="259" w:lineRule="auto"/>
              <w:rPr>
                <w:rFonts w:eastAsia="Calibri"/>
                <w:sz w:val="22"/>
                <w:szCs w:val="22"/>
                <w:lang w:val="hr-HR"/>
              </w:rPr>
            </w:pPr>
          </w:p>
        </w:tc>
        <w:tc>
          <w:tcPr>
            <w:tcW w:w="1750" w:type="dxa"/>
          </w:tcPr>
          <w:p w14:paraId="7BD0336B"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povremeno</w:t>
            </w:r>
          </w:p>
        </w:tc>
        <w:tc>
          <w:tcPr>
            <w:tcW w:w="3415" w:type="dxa"/>
          </w:tcPr>
          <w:p w14:paraId="7D5195D7" w14:textId="77777777" w:rsidR="003A2EB0" w:rsidRPr="008A2C89" w:rsidRDefault="003A2EB0" w:rsidP="003A2EB0">
            <w:pPr>
              <w:autoSpaceDE w:val="0"/>
              <w:autoSpaceDN w:val="0"/>
              <w:adjustRightInd w:val="0"/>
              <w:spacing w:line="259" w:lineRule="auto"/>
              <w:rPr>
                <w:rFonts w:eastAsia="Calibri"/>
                <w:sz w:val="22"/>
                <w:szCs w:val="22"/>
                <w:lang w:val="hr-HR"/>
              </w:rPr>
            </w:pPr>
            <w:r w:rsidRPr="008A2C89">
              <w:rPr>
                <w:rFonts w:eastAsia="Calibri"/>
                <w:sz w:val="22"/>
                <w:szCs w:val="22"/>
                <w:lang w:val="hr-HR"/>
              </w:rPr>
              <w:t>krvarenje na mjestu injiciranja</w:t>
            </w:r>
            <w:r w:rsidRPr="008A2C89">
              <w:rPr>
                <w:rFonts w:eastAsia="Calibri"/>
                <w:sz w:val="22"/>
                <w:szCs w:val="22"/>
                <w:vertAlign w:val="superscript"/>
                <w:lang w:val="hr-HR"/>
              </w:rPr>
              <w:t>f</w:t>
            </w:r>
            <w:r w:rsidRPr="008A2C89">
              <w:rPr>
                <w:rFonts w:eastAsia="Calibri"/>
                <w:sz w:val="22"/>
                <w:szCs w:val="22"/>
                <w:lang w:val="hr-HR"/>
              </w:rPr>
              <w:t>, hematom na mjestu injiciranja</w:t>
            </w:r>
            <w:r w:rsidRPr="008A2C89">
              <w:rPr>
                <w:rFonts w:eastAsia="Calibri"/>
                <w:sz w:val="22"/>
                <w:szCs w:val="22"/>
                <w:vertAlign w:val="superscript"/>
                <w:lang w:val="hr-HR"/>
              </w:rPr>
              <w:t xml:space="preserve">f </w:t>
            </w:r>
            <w:r w:rsidRPr="008A2C89">
              <w:rPr>
                <w:rFonts w:eastAsia="Calibri"/>
                <w:sz w:val="22"/>
                <w:szCs w:val="22"/>
                <w:lang w:val="hr-HR"/>
              </w:rPr>
              <w:t>, neuralgija</w:t>
            </w:r>
            <w:r w:rsidRPr="008A2C89">
              <w:rPr>
                <w:rFonts w:eastAsia="Calibri"/>
                <w:sz w:val="22"/>
                <w:szCs w:val="22"/>
                <w:vertAlign w:val="superscript"/>
                <w:lang w:val="hr-HR"/>
              </w:rPr>
              <w:t>c,f</w:t>
            </w:r>
          </w:p>
        </w:tc>
      </w:tr>
    </w:tbl>
    <w:p w14:paraId="7A978C72" w14:textId="77777777" w:rsidR="003A2EB0" w:rsidRPr="00AE5D50" w:rsidRDefault="003A2EB0" w:rsidP="003A2EB0">
      <w:pPr>
        <w:autoSpaceDE w:val="0"/>
        <w:autoSpaceDN w:val="0"/>
        <w:adjustRightInd w:val="0"/>
        <w:spacing w:line="259" w:lineRule="auto"/>
        <w:ind w:left="454" w:hanging="454"/>
        <w:jc w:val="both"/>
        <w:rPr>
          <w:rFonts w:eastAsia="TimesNewRoman"/>
          <w:sz w:val="20"/>
          <w:szCs w:val="20"/>
          <w:lang w:val="hr-HR"/>
        </w:rPr>
      </w:pPr>
      <w:r w:rsidRPr="00AE5D50">
        <w:rPr>
          <w:rFonts w:eastAsia="TimesNewRoman"/>
          <w:sz w:val="20"/>
          <w:szCs w:val="20"/>
          <w:vertAlign w:val="superscript"/>
          <w:lang w:val="hr-HR"/>
        </w:rPr>
        <w:t>a</w:t>
      </w:r>
      <w:r w:rsidRPr="00AE5D50">
        <w:rPr>
          <w:rFonts w:eastAsia="TimesNewRoman"/>
          <w:sz w:val="20"/>
          <w:szCs w:val="20"/>
          <w:lang w:val="hr-HR"/>
        </w:rPr>
        <w:t xml:space="preserve">   </w:t>
      </w:r>
      <w:r w:rsidRPr="00AE5D50">
        <w:rPr>
          <w:rFonts w:eastAsia="TimesNewRoman"/>
          <w:sz w:val="20"/>
          <w:szCs w:val="20"/>
          <w:lang w:val="hr-HR"/>
        </w:rPr>
        <w:tab/>
        <w:t>Uključuje neželjene reakcije na lijek kod kojih se ne može procijeniti tačan doprinos lijeka fulvestrant zbog osnovne bolesti.</w:t>
      </w:r>
    </w:p>
    <w:p w14:paraId="22F3E375" w14:textId="32C011FC" w:rsidR="003A2EB0" w:rsidRPr="00AE5D50" w:rsidRDefault="003A2EB0" w:rsidP="003A2EB0">
      <w:pPr>
        <w:autoSpaceDE w:val="0"/>
        <w:autoSpaceDN w:val="0"/>
        <w:adjustRightInd w:val="0"/>
        <w:spacing w:line="259" w:lineRule="auto"/>
        <w:ind w:left="454" w:hanging="454"/>
        <w:jc w:val="both"/>
        <w:rPr>
          <w:rFonts w:eastAsia="TimesNewRoman"/>
          <w:sz w:val="20"/>
          <w:szCs w:val="20"/>
          <w:lang w:val="hr-HR"/>
        </w:rPr>
      </w:pPr>
      <w:r w:rsidRPr="00AE5D50">
        <w:rPr>
          <w:rFonts w:eastAsia="TimesNewRoman"/>
          <w:sz w:val="20"/>
          <w:szCs w:val="20"/>
          <w:vertAlign w:val="superscript"/>
          <w:lang w:val="hr-HR"/>
        </w:rPr>
        <w:t>b</w:t>
      </w:r>
      <w:r w:rsidRPr="00AE5D50">
        <w:rPr>
          <w:rFonts w:eastAsia="TimesNewRoman"/>
          <w:sz w:val="20"/>
          <w:szCs w:val="20"/>
          <w:lang w:val="hr-HR"/>
        </w:rPr>
        <w:t xml:space="preserve">    </w:t>
      </w:r>
      <w:r w:rsidRPr="00AE5D50">
        <w:rPr>
          <w:rFonts w:eastAsia="TimesNewRoman"/>
          <w:sz w:val="20"/>
          <w:szCs w:val="20"/>
          <w:lang w:val="hr-HR"/>
        </w:rPr>
        <w:tab/>
        <w:t xml:space="preserve"> Izraz reakcije na mjestu injekcije ne uključuje krvarenje na mjestu injiciranja,  hematom na mjestu injiciranja, </w:t>
      </w:r>
      <w:r w:rsidR="0029559A" w:rsidRPr="00AE5D50">
        <w:rPr>
          <w:rFonts w:eastAsia="TimesNewRoman"/>
          <w:sz w:val="20"/>
          <w:szCs w:val="20"/>
          <w:lang w:val="hr-HR"/>
        </w:rPr>
        <w:t>išijas</w:t>
      </w:r>
      <w:r w:rsidRPr="00AE5D50">
        <w:rPr>
          <w:rFonts w:eastAsia="TimesNewRoman"/>
          <w:sz w:val="20"/>
          <w:szCs w:val="20"/>
          <w:lang w:val="hr-HR"/>
        </w:rPr>
        <w:t>, neuralgiju i perifernu neuropatiju.</w:t>
      </w:r>
    </w:p>
    <w:p w14:paraId="0169C4AB" w14:textId="77777777" w:rsidR="003A2EB0" w:rsidRPr="00AE5D50" w:rsidRDefault="003A2EB0" w:rsidP="003A2EB0">
      <w:pPr>
        <w:autoSpaceDE w:val="0"/>
        <w:autoSpaceDN w:val="0"/>
        <w:adjustRightInd w:val="0"/>
        <w:spacing w:line="259" w:lineRule="auto"/>
        <w:ind w:left="454" w:hanging="454"/>
        <w:jc w:val="both"/>
        <w:rPr>
          <w:rFonts w:eastAsia="TimesNewRoman"/>
          <w:sz w:val="20"/>
          <w:szCs w:val="20"/>
          <w:lang w:val="hr-HR"/>
        </w:rPr>
      </w:pPr>
      <w:r w:rsidRPr="00AE5D50">
        <w:rPr>
          <w:rFonts w:eastAsia="TimesNewRoman"/>
          <w:sz w:val="20"/>
          <w:szCs w:val="20"/>
          <w:vertAlign w:val="superscript"/>
          <w:lang w:val="hr-HR"/>
        </w:rPr>
        <w:t>c</w:t>
      </w:r>
      <w:r w:rsidRPr="00AE5D50">
        <w:rPr>
          <w:rFonts w:eastAsia="TimesNewRoman"/>
          <w:sz w:val="20"/>
          <w:szCs w:val="20"/>
          <w:lang w:val="hr-HR"/>
        </w:rPr>
        <w:t xml:space="preserve">    Događaj nije zabilježen u glavnim kliničkim studijama (CONFIRM, FINDER 1, FINDER 2, NEWEST). Učestalost je izračunata primjenom gornje granice 95%-tnog intervala pouzdanosti. Tako izračunata vrijednost iznosi 3/560 (gdje je 560 broj pacijenata u glavnim kliničkim studijama), što odgovara kategoriji učestalosti „povremeno“.</w:t>
      </w:r>
    </w:p>
    <w:p w14:paraId="51AA7A55" w14:textId="77777777" w:rsidR="003A2EB0" w:rsidRPr="00AE5D50" w:rsidRDefault="003A2EB0" w:rsidP="003A2EB0">
      <w:pPr>
        <w:autoSpaceDE w:val="0"/>
        <w:autoSpaceDN w:val="0"/>
        <w:adjustRightInd w:val="0"/>
        <w:spacing w:line="259" w:lineRule="auto"/>
        <w:jc w:val="both"/>
        <w:rPr>
          <w:rFonts w:eastAsia="TimesNewRoman"/>
          <w:sz w:val="20"/>
          <w:szCs w:val="20"/>
          <w:lang w:val="hr-HR"/>
        </w:rPr>
      </w:pPr>
      <w:r w:rsidRPr="00AE5D50">
        <w:rPr>
          <w:rFonts w:eastAsia="TimesNewRoman"/>
          <w:sz w:val="20"/>
          <w:szCs w:val="20"/>
          <w:vertAlign w:val="superscript"/>
          <w:lang w:val="hr-HR"/>
        </w:rPr>
        <w:t xml:space="preserve">d  </w:t>
      </w:r>
      <w:r w:rsidRPr="00AE5D50">
        <w:rPr>
          <w:rFonts w:eastAsia="TimesNewRoman"/>
          <w:sz w:val="20"/>
          <w:szCs w:val="20"/>
          <w:lang w:val="hr-HR"/>
        </w:rPr>
        <w:t xml:space="preserve">      Uključuje: artralgiju, manje često mišićno-koštani bol, mijalgiju i bol u ekstremitetima.</w:t>
      </w:r>
    </w:p>
    <w:p w14:paraId="14240126" w14:textId="77777777" w:rsidR="003A2EB0" w:rsidRPr="00AE5D50" w:rsidRDefault="003A2EB0" w:rsidP="003A2EB0">
      <w:pPr>
        <w:autoSpaceDE w:val="0"/>
        <w:autoSpaceDN w:val="0"/>
        <w:adjustRightInd w:val="0"/>
        <w:spacing w:line="259" w:lineRule="auto"/>
        <w:jc w:val="both"/>
        <w:rPr>
          <w:rFonts w:eastAsia="TimesNewRoman"/>
          <w:sz w:val="20"/>
          <w:szCs w:val="20"/>
          <w:lang w:val="hr-HR"/>
        </w:rPr>
      </w:pPr>
      <w:r w:rsidRPr="00AE5D50">
        <w:rPr>
          <w:rFonts w:eastAsia="TimesNewRoman"/>
          <w:sz w:val="20"/>
          <w:szCs w:val="20"/>
          <w:vertAlign w:val="superscript"/>
          <w:lang w:val="hr-HR"/>
        </w:rPr>
        <w:t>e</w:t>
      </w:r>
      <w:r w:rsidRPr="00AE5D50">
        <w:rPr>
          <w:rFonts w:eastAsia="TimesNewRoman"/>
          <w:sz w:val="20"/>
          <w:szCs w:val="20"/>
          <w:lang w:val="hr-HR"/>
        </w:rPr>
        <w:t xml:space="preserve">       Kategorija učestalosti se razlikuje između skupa bezbjednosnih podataka i studije FALCON.</w:t>
      </w:r>
    </w:p>
    <w:p w14:paraId="444CCDD2" w14:textId="77777777" w:rsidR="003A2EB0" w:rsidRPr="00AE5D50" w:rsidRDefault="003A2EB0" w:rsidP="003A2EB0">
      <w:pPr>
        <w:autoSpaceDE w:val="0"/>
        <w:autoSpaceDN w:val="0"/>
        <w:adjustRightInd w:val="0"/>
        <w:spacing w:line="259" w:lineRule="auto"/>
        <w:jc w:val="both"/>
        <w:rPr>
          <w:rFonts w:eastAsia="TimesNewRoman"/>
          <w:sz w:val="20"/>
          <w:szCs w:val="20"/>
          <w:lang w:val="hr-HR"/>
        </w:rPr>
      </w:pPr>
      <w:r w:rsidRPr="00AE5D50">
        <w:rPr>
          <w:rFonts w:eastAsia="TimesNewRoman"/>
          <w:sz w:val="20"/>
          <w:szCs w:val="20"/>
          <w:vertAlign w:val="superscript"/>
          <w:lang w:val="hr-HR"/>
        </w:rPr>
        <w:t>f</w:t>
      </w:r>
      <w:r w:rsidRPr="00AE5D50">
        <w:rPr>
          <w:rFonts w:eastAsia="TimesNewRoman"/>
          <w:sz w:val="20"/>
          <w:szCs w:val="20"/>
          <w:lang w:val="hr-HR"/>
        </w:rPr>
        <w:t xml:space="preserve">       Neželjena dejstva nijesu zapažena u  studiji FALCON.</w:t>
      </w:r>
    </w:p>
    <w:p w14:paraId="5180C1E9" w14:textId="77777777" w:rsidR="001E0C74" w:rsidRPr="008A2C89" w:rsidRDefault="001E0C74" w:rsidP="003A2EB0">
      <w:pPr>
        <w:autoSpaceDE w:val="0"/>
        <w:autoSpaceDN w:val="0"/>
        <w:adjustRightInd w:val="0"/>
        <w:spacing w:line="259" w:lineRule="auto"/>
        <w:jc w:val="both"/>
        <w:rPr>
          <w:rFonts w:eastAsia="TimesNewRoman"/>
          <w:sz w:val="22"/>
          <w:szCs w:val="22"/>
          <w:lang w:val="hr-HR"/>
        </w:rPr>
      </w:pPr>
    </w:p>
    <w:p w14:paraId="539BF291" w14:textId="77777777" w:rsidR="001E0C74" w:rsidRPr="00585C79" w:rsidRDefault="001E0C74" w:rsidP="001E0C74">
      <w:pPr>
        <w:tabs>
          <w:tab w:val="left" w:pos="540"/>
          <w:tab w:val="left" w:pos="569"/>
        </w:tabs>
        <w:spacing w:line="259" w:lineRule="auto"/>
        <w:jc w:val="both"/>
        <w:rPr>
          <w:rFonts w:eastAsiaTheme="minorHAnsi"/>
          <w:bCs/>
          <w:sz w:val="22"/>
          <w:szCs w:val="22"/>
          <w:u w:val="single"/>
          <w:lang w:val="hr-HR"/>
        </w:rPr>
      </w:pPr>
      <w:r w:rsidRPr="00585C79">
        <w:rPr>
          <w:rFonts w:eastAsiaTheme="minorHAnsi"/>
          <w:bCs/>
          <w:sz w:val="22"/>
          <w:szCs w:val="22"/>
          <w:u w:val="single"/>
          <w:lang w:val="hr-HR"/>
        </w:rPr>
        <w:t xml:space="preserve">Opis odabranih neželjenih dejstava </w:t>
      </w:r>
    </w:p>
    <w:p w14:paraId="20B5863C" w14:textId="77777777" w:rsidR="001E0C74" w:rsidRPr="00585C79" w:rsidRDefault="001E0C74" w:rsidP="001E0C74">
      <w:pPr>
        <w:tabs>
          <w:tab w:val="left" w:pos="540"/>
          <w:tab w:val="left" w:pos="569"/>
        </w:tabs>
        <w:spacing w:line="259" w:lineRule="auto"/>
        <w:jc w:val="both"/>
        <w:rPr>
          <w:rFonts w:eastAsiaTheme="minorHAnsi"/>
          <w:bCs/>
          <w:sz w:val="22"/>
          <w:szCs w:val="22"/>
          <w:lang w:val="hr-HR"/>
        </w:rPr>
      </w:pPr>
      <w:r w:rsidRPr="00585C79">
        <w:rPr>
          <w:rFonts w:eastAsiaTheme="minorHAnsi"/>
          <w:bCs/>
          <w:sz w:val="22"/>
          <w:szCs w:val="22"/>
          <w:lang w:val="hr-HR"/>
        </w:rPr>
        <w:t>Opisi niže su zasnovani na analizi podataka o bezbjednosti prikupljenih od 228 pacijentkinja koje su primile najmanje jednu (1) dozu lijeka fulvestrant i 232 pacijentkinje koje su primile najmanje jednu (1) dozu lijeka anastrozol u fazi 3 studije FALCON.</w:t>
      </w:r>
    </w:p>
    <w:p w14:paraId="6EEB724D" w14:textId="77777777" w:rsidR="001E0C74" w:rsidRPr="00585C79" w:rsidRDefault="001E0C74" w:rsidP="001E0C74">
      <w:pPr>
        <w:tabs>
          <w:tab w:val="left" w:pos="540"/>
          <w:tab w:val="left" w:pos="569"/>
        </w:tabs>
        <w:spacing w:line="259" w:lineRule="auto"/>
        <w:jc w:val="both"/>
        <w:rPr>
          <w:rFonts w:eastAsiaTheme="minorHAnsi"/>
          <w:b/>
          <w:bCs/>
          <w:i/>
          <w:iCs/>
          <w:sz w:val="22"/>
          <w:szCs w:val="22"/>
          <w:lang w:val="hr-HR"/>
        </w:rPr>
      </w:pPr>
    </w:p>
    <w:p w14:paraId="0F101911" w14:textId="0D7EC0CC" w:rsidR="001E0C74" w:rsidRPr="00585C79" w:rsidRDefault="001E0C74" w:rsidP="001E0C74">
      <w:pPr>
        <w:tabs>
          <w:tab w:val="left" w:pos="540"/>
          <w:tab w:val="left" w:pos="569"/>
        </w:tabs>
        <w:spacing w:line="259" w:lineRule="auto"/>
        <w:jc w:val="both"/>
        <w:rPr>
          <w:rFonts w:eastAsiaTheme="minorHAnsi"/>
          <w:bCs/>
          <w:sz w:val="22"/>
          <w:szCs w:val="22"/>
          <w:lang w:val="hr-HR"/>
        </w:rPr>
      </w:pPr>
      <w:r w:rsidRPr="00585C79">
        <w:rPr>
          <w:rFonts w:eastAsiaTheme="minorHAnsi"/>
          <w:bCs/>
          <w:i/>
          <w:iCs/>
          <w:sz w:val="22"/>
          <w:szCs w:val="22"/>
          <w:lang w:val="hr-HR"/>
        </w:rPr>
        <w:t>Mišićno-koštani bol i bol u zglobovima</w:t>
      </w:r>
    </w:p>
    <w:p w14:paraId="779E5B78" w14:textId="77777777" w:rsidR="001E0C74" w:rsidRPr="00585C79" w:rsidRDefault="001E0C74" w:rsidP="001E0C74">
      <w:pPr>
        <w:tabs>
          <w:tab w:val="left" w:pos="540"/>
          <w:tab w:val="left" w:pos="569"/>
        </w:tabs>
        <w:spacing w:line="259" w:lineRule="auto"/>
        <w:jc w:val="both"/>
        <w:rPr>
          <w:rFonts w:eastAsiaTheme="minorHAnsi"/>
          <w:bCs/>
          <w:sz w:val="22"/>
          <w:szCs w:val="22"/>
          <w:lang w:val="hr-HR"/>
        </w:rPr>
      </w:pPr>
      <w:r w:rsidRPr="00585C79">
        <w:rPr>
          <w:rFonts w:eastAsiaTheme="minorHAnsi"/>
          <w:bCs/>
          <w:sz w:val="22"/>
          <w:szCs w:val="22"/>
          <w:lang w:val="hr-HR"/>
        </w:rPr>
        <w:t xml:space="preserve">U studiji FALCON, broj pacijentkinja koje su prijavile neželjeno dejstvo bol u zglobovima i mišićno-koštani bol je bio 65 (31.2%) i 48 (24.1%) za grupe sa lijekom fulvestrant odnosno lijekom  anastrozol. Od 65 pacijentkinja u grupi sa lijekom fulvestrant, 40% (26/65) pacijentkinja je prijavilo bol u zglobovima i mišićno-koštanom sistemu tokom prvog mjeseca terapije, i 66.2% (43/65) pacijenata tokom prva 3 mjeseca terapije. Nije bilo slučajeva prijavljivanja neželjenih dejstava koja su bila CTCAE </w:t>
      </w:r>
      <w:r w:rsidRPr="00585C79">
        <w:rPr>
          <w:rFonts w:eastAsiaTheme="minorHAnsi"/>
          <w:bCs/>
          <w:sz w:val="22"/>
          <w:szCs w:val="22"/>
          <w:lang w:val="hr-HR"/>
        </w:rPr>
        <w:lastRenderedPageBreak/>
        <w:t xml:space="preserve">(engl. </w:t>
      </w:r>
      <w:r w:rsidRPr="00585C79">
        <w:rPr>
          <w:rFonts w:eastAsiaTheme="minorHAnsi"/>
          <w:bCs/>
          <w:i/>
          <w:iCs/>
          <w:sz w:val="22"/>
          <w:szCs w:val="22"/>
          <w:lang w:val="hr-HR"/>
        </w:rPr>
        <w:t>Common Terminology Criteria for Adverse Events</w:t>
      </w:r>
      <w:r w:rsidRPr="00585C79">
        <w:rPr>
          <w:rFonts w:eastAsiaTheme="minorHAnsi"/>
          <w:bCs/>
          <w:sz w:val="22"/>
          <w:szCs w:val="22"/>
          <w:lang w:val="hr-HR"/>
        </w:rPr>
        <w:t xml:space="preserve">, CTCAE) stepena ≥3 ili koja su zahtijevala smanjenje doze, privremeni prekid doziranja, ili prekid terapije zbog ovih neželjenih reakcija. </w:t>
      </w:r>
    </w:p>
    <w:p w14:paraId="1127F093" w14:textId="77777777" w:rsidR="001E0C74" w:rsidRPr="00585C79" w:rsidRDefault="001E0C74" w:rsidP="001E0C74">
      <w:pPr>
        <w:tabs>
          <w:tab w:val="left" w:pos="540"/>
          <w:tab w:val="left" w:pos="569"/>
        </w:tabs>
        <w:spacing w:line="259" w:lineRule="auto"/>
        <w:jc w:val="both"/>
        <w:rPr>
          <w:rFonts w:eastAsiaTheme="minorHAnsi"/>
          <w:bCs/>
          <w:sz w:val="22"/>
          <w:szCs w:val="22"/>
          <w:lang w:val="hr-HR"/>
        </w:rPr>
      </w:pPr>
    </w:p>
    <w:p w14:paraId="242FBD30" w14:textId="52B71A31" w:rsidR="001E0C74" w:rsidRPr="00585C79" w:rsidRDefault="001E0C74" w:rsidP="001E0C74">
      <w:pPr>
        <w:tabs>
          <w:tab w:val="left" w:pos="540"/>
          <w:tab w:val="left" w:pos="569"/>
        </w:tabs>
        <w:spacing w:line="259" w:lineRule="auto"/>
        <w:jc w:val="both"/>
        <w:rPr>
          <w:rFonts w:eastAsiaTheme="minorHAnsi"/>
          <w:bCs/>
          <w:i/>
          <w:iCs/>
          <w:sz w:val="22"/>
          <w:szCs w:val="22"/>
          <w:lang w:val="hr-HR"/>
        </w:rPr>
      </w:pPr>
      <w:r w:rsidRPr="00585C79">
        <w:rPr>
          <w:rFonts w:eastAsiaTheme="minorHAnsi"/>
          <w:bCs/>
          <w:i/>
          <w:iCs/>
          <w:sz w:val="22"/>
          <w:szCs w:val="22"/>
          <w:lang w:val="hr-HR"/>
        </w:rPr>
        <w:t xml:space="preserve">Kombinovana terapija sa lijekom palbociklib </w:t>
      </w:r>
    </w:p>
    <w:p w14:paraId="56799482" w14:textId="75356D94" w:rsidR="001E0C74" w:rsidRPr="00585C79" w:rsidRDefault="001E0C74" w:rsidP="001E0C74">
      <w:pPr>
        <w:tabs>
          <w:tab w:val="left" w:pos="540"/>
          <w:tab w:val="left" w:pos="569"/>
        </w:tabs>
        <w:spacing w:line="259" w:lineRule="auto"/>
        <w:jc w:val="both"/>
        <w:rPr>
          <w:rFonts w:eastAsiaTheme="minorHAnsi"/>
          <w:bCs/>
          <w:sz w:val="22"/>
          <w:szCs w:val="22"/>
          <w:lang w:val="hr-HR"/>
        </w:rPr>
      </w:pPr>
      <w:r w:rsidRPr="00585C79">
        <w:rPr>
          <w:rFonts w:eastAsiaTheme="minorHAnsi"/>
          <w:bCs/>
          <w:sz w:val="22"/>
          <w:szCs w:val="22"/>
          <w:lang w:val="hr-HR"/>
        </w:rPr>
        <w:t>Opšti bezbjednosni profil lijeka fulvestrant kada se koristi u kombinaciji sa lijekom palbociklib je zasnovan na podacima prikupljenim od 517 pacijentkinja sa HR-pozitivnim, HER2-negativnim uznapredovalim ili metastatskim karicnomom dojke, u randomizovanoj studiji PALOMA3 (vidjeti dio 5.1). Najčešća neželjena dejstva (≥20%) bilo kog stepena, prijavljena kod pacijentkinja koje su primale fulvestrant u kombinaciji sa palbociklibom su bila: neutropenija, leukopenija, infekcije, umor, mučnina, anemija, stomatitis, dijareja, itrombocitopenija i povraćanje. Najčešća neželjena dejstva (≥2%) stepena ≥3 su bila neutropenija, leukopenija, infekcije,</w:t>
      </w:r>
      <w:r w:rsidR="00865CF7" w:rsidRPr="00585C79">
        <w:rPr>
          <w:rFonts w:eastAsiaTheme="minorHAnsi"/>
          <w:bCs/>
          <w:sz w:val="22"/>
          <w:szCs w:val="22"/>
          <w:lang w:val="hr-HR"/>
        </w:rPr>
        <w:t xml:space="preserve"> anemija,</w:t>
      </w:r>
      <w:r w:rsidRPr="00585C79">
        <w:rPr>
          <w:rFonts w:eastAsiaTheme="minorHAnsi"/>
          <w:bCs/>
          <w:sz w:val="22"/>
          <w:szCs w:val="22"/>
          <w:lang w:val="hr-HR"/>
        </w:rPr>
        <w:t xml:space="preserve"> AST povišen, trombocitopenija i umor.</w:t>
      </w:r>
    </w:p>
    <w:p w14:paraId="1143104D" w14:textId="77777777" w:rsidR="001E0C74" w:rsidRPr="00585C79" w:rsidRDefault="001E0C74" w:rsidP="001E0C74">
      <w:pPr>
        <w:tabs>
          <w:tab w:val="left" w:pos="540"/>
          <w:tab w:val="left" w:pos="569"/>
        </w:tabs>
        <w:spacing w:line="259" w:lineRule="auto"/>
        <w:jc w:val="both"/>
        <w:rPr>
          <w:rFonts w:eastAsiaTheme="minorHAnsi"/>
          <w:b/>
          <w:bCs/>
          <w:sz w:val="22"/>
          <w:szCs w:val="22"/>
          <w:lang w:val="hr-HR"/>
        </w:rPr>
      </w:pPr>
    </w:p>
    <w:p w14:paraId="0F856304" w14:textId="1DB9AF4B" w:rsidR="001E0C74" w:rsidRPr="00585C79" w:rsidRDefault="001E0C74" w:rsidP="001E0C74">
      <w:pPr>
        <w:tabs>
          <w:tab w:val="left" w:pos="540"/>
          <w:tab w:val="left" w:pos="569"/>
        </w:tabs>
        <w:spacing w:line="259" w:lineRule="auto"/>
        <w:jc w:val="both"/>
        <w:rPr>
          <w:rFonts w:eastAsiaTheme="minorHAnsi"/>
          <w:bCs/>
          <w:sz w:val="22"/>
          <w:szCs w:val="22"/>
          <w:lang w:val="hr-HR"/>
        </w:rPr>
      </w:pPr>
      <w:r w:rsidRPr="00585C79">
        <w:rPr>
          <w:rFonts w:eastAsiaTheme="minorHAnsi"/>
          <w:bCs/>
          <w:sz w:val="22"/>
          <w:szCs w:val="22"/>
          <w:lang w:val="hr-HR"/>
        </w:rPr>
        <w:t>U Tabeli 2 prikazana su neželjena dejstva iz studije PALOMA3.</w:t>
      </w:r>
    </w:p>
    <w:p w14:paraId="0B345936" w14:textId="77777777" w:rsidR="001E0C74" w:rsidRPr="00585C79" w:rsidRDefault="001E0C74" w:rsidP="001E0C74">
      <w:pPr>
        <w:tabs>
          <w:tab w:val="left" w:pos="540"/>
          <w:tab w:val="left" w:pos="569"/>
        </w:tabs>
        <w:spacing w:line="259" w:lineRule="auto"/>
        <w:jc w:val="both"/>
        <w:rPr>
          <w:rFonts w:eastAsiaTheme="minorHAnsi"/>
          <w:bCs/>
          <w:sz w:val="22"/>
          <w:szCs w:val="22"/>
          <w:lang w:val="hr-HR"/>
        </w:rPr>
      </w:pPr>
      <w:r w:rsidRPr="00585C79">
        <w:rPr>
          <w:rFonts w:eastAsiaTheme="minorHAnsi"/>
          <w:bCs/>
          <w:sz w:val="22"/>
          <w:szCs w:val="22"/>
          <w:lang w:val="hr-HR"/>
        </w:rPr>
        <w:t>Srednja dužina izlaganja lijeku fulvestrant je bila 11.2 mjeseca u grupi fulvestrant + palbociclib i 4.8 mjeseci u grupi fulvestrant + placebo. Srednja dužina izlaganja lijeku palbociklib u grupi sa fulvestrant + palbociklib je bila 10.8 mjeseci.</w:t>
      </w:r>
    </w:p>
    <w:p w14:paraId="724F2E67" w14:textId="77777777" w:rsidR="001E0C74" w:rsidRPr="00585C79" w:rsidRDefault="001E0C74" w:rsidP="001E0C74">
      <w:pPr>
        <w:tabs>
          <w:tab w:val="left" w:pos="540"/>
          <w:tab w:val="left" w:pos="569"/>
        </w:tabs>
        <w:spacing w:line="259" w:lineRule="auto"/>
        <w:jc w:val="both"/>
        <w:rPr>
          <w:rFonts w:eastAsiaTheme="minorHAnsi"/>
          <w:bCs/>
          <w:sz w:val="22"/>
          <w:szCs w:val="22"/>
          <w:lang w:val="hr-HR"/>
        </w:rPr>
      </w:pPr>
    </w:p>
    <w:p w14:paraId="62B411B0" w14:textId="77777777" w:rsidR="001E0C74" w:rsidRPr="00585C79" w:rsidRDefault="001E0C74" w:rsidP="001E0C74">
      <w:pPr>
        <w:spacing w:line="276" w:lineRule="auto"/>
        <w:rPr>
          <w:rFonts w:eastAsiaTheme="minorHAnsi"/>
          <w:b/>
          <w:bCs/>
          <w:color w:val="000000"/>
          <w:sz w:val="22"/>
          <w:szCs w:val="22"/>
          <w:shd w:val="clear" w:color="auto" w:fill="FFFFFF"/>
          <w:lang w:val="hr-HR"/>
        </w:rPr>
      </w:pPr>
      <w:r w:rsidRPr="00585C79">
        <w:rPr>
          <w:rFonts w:eastAsiaTheme="minorHAnsi"/>
          <w:b/>
          <w:bCs/>
          <w:color w:val="000000"/>
          <w:sz w:val="22"/>
          <w:szCs w:val="22"/>
          <w:shd w:val="clear" w:color="auto" w:fill="FFFFFF"/>
          <w:lang w:val="hr-HR"/>
        </w:rPr>
        <w:t>Tabela  2 Neželjena dejstva zasnovana na studiji PALOMA 3 (N=517)</w:t>
      </w:r>
    </w:p>
    <w:tbl>
      <w:tblPr>
        <w:tblW w:w="9064"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393"/>
        <w:gridCol w:w="1559"/>
        <w:gridCol w:w="1418"/>
        <w:gridCol w:w="1418"/>
        <w:gridCol w:w="1276"/>
      </w:tblGrid>
      <w:tr w:rsidR="006B1DE8" w:rsidRPr="008A2C89" w14:paraId="3F312127" w14:textId="77777777" w:rsidTr="006B1DE8">
        <w:tc>
          <w:tcPr>
            <w:tcW w:w="1872" w:type="pct"/>
            <w:vMerge w:val="restar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11778E9" w14:textId="77777777" w:rsidR="006B1DE8" w:rsidRPr="008A2C89" w:rsidRDefault="006B1DE8" w:rsidP="006B1DE8">
            <w:pPr>
              <w:spacing w:line="276" w:lineRule="auto"/>
              <w:rPr>
                <w:rFonts w:eastAsia="Calibri"/>
                <w:sz w:val="22"/>
                <w:szCs w:val="22"/>
                <w:lang w:val="en-GB"/>
              </w:rPr>
            </w:pPr>
            <w:r w:rsidRPr="008A2C89">
              <w:rPr>
                <w:rFonts w:eastAsia="Calibri"/>
                <w:b/>
                <w:bCs/>
                <w:sz w:val="22"/>
                <w:szCs w:val="22"/>
                <w:lang w:val="en-GB"/>
              </w:rPr>
              <w:t>Klasa sistema organa</w:t>
            </w:r>
          </w:p>
          <w:p w14:paraId="6C8652AA" w14:textId="77777777" w:rsidR="006B1DE8" w:rsidRPr="008A2C89" w:rsidRDefault="006B1DE8" w:rsidP="006B1DE8">
            <w:pPr>
              <w:spacing w:line="276" w:lineRule="auto"/>
              <w:rPr>
                <w:rFonts w:eastAsia="Calibri"/>
                <w:b/>
                <w:bCs/>
                <w:sz w:val="22"/>
                <w:szCs w:val="22"/>
                <w:lang w:val="en-GB"/>
              </w:rPr>
            </w:pPr>
            <w:r w:rsidRPr="008A2C89">
              <w:rPr>
                <w:rFonts w:eastAsia="Calibri"/>
                <w:b/>
                <w:bCs/>
                <w:sz w:val="22"/>
                <w:szCs w:val="22"/>
                <w:lang w:val="en-GB"/>
              </w:rPr>
              <w:t>Učestalost</w:t>
            </w:r>
          </w:p>
          <w:p w14:paraId="781E43A8" w14:textId="77777777" w:rsidR="006B1DE8" w:rsidRPr="008A2C89" w:rsidRDefault="006B1DE8" w:rsidP="006B1DE8">
            <w:pPr>
              <w:spacing w:line="276" w:lineRule="auto"/>
              <w:rPr>
                <w:rFonts w:eastAsia="Calibri"/>
                <w:sz w:val="22"/>
                <w:szCs w:val="22"/>
                <w:u w:val="single"/>
                <w:lang w:val="en-GB"/>
              </w:rPr>
            </w:pPr>
            <w:r w:rsidRPr="008A2C89">
              <w:rPr>
                <w:rFonts w:eastAsia="Calibri"/>
                <w:b/>
                <w:bCs/>
                <w:sz w:val="22"/>
                <w:szCs w:val="22"/>
                <w:lang w:val="en-GB"/>
              </w:rPr>
              <w:t>Preferirani termin</w:t>
            </w:r>
            <w:r w:rsidRPr="008A2C89">
              <w:rPr>
                <w:rFonts w:eastAsia="Calibri"/>
                <w:b/>
                <w:bCs/>
                <w:sz w:val="22"/>
                <w:szCs w:val="22"/>
                <w:vertAlign w:val="superscript"/>
                <w:lang w:val="en-GB"/>
              </w:rPr>
              <w:t>a</w:t>
            </w:r>
            <w:r w:rsidRPr="008A2C89">
              <w:rPr>
                <w:rFonts w:eastAsia="Calibri"/>
                <w:b/>
                <w:bCs/>
                <w:sz w:val="22"/>
                <w:szCs w:val="22"/>
                <w:lang w:val="en-GB"/>
              </w:rPr>
              <w:t xml:space="preserve"> (PT)</w:t>
            </w:r>
          </w:p>
        </w:tc>
        <w:tc>
          <w:tcPr>
            <w:tcW w:w="1642" w:type="pct"/>
            <w:gridSpan w:val="2"/>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C1686A2" w14:textId="77777777" w:rsidR="006B1DE8" w:rsidRPr="008A2C89" w:rsidRDefault="006B1DE8" w:rsidP="006B1DE8">
            <w:pPr>
              <w:spacing w:line="360" w:lineRule="auto"/>
              <w:jc w:val="center"/>
              <w:rPr>
                <w:rFonts w:eastAsia="Calibri"/>
                <w:b/>
                <w:bCs/>
                <w:sz w:val="22"/>
                <w:szCs w:val="22"/>
                <w:lang w:val="en-GB"/>
              </w:rPr>
            </w:pPr>
            <w:r w:rsidRPr="008A2C89">
              <w:rPr>
                <w:rFonts w:eastAsia="Calibri"/>
                <w:b/>
                <w:bCs/>
                <w:sz w:val="22"/>
                <w:szCs w:val="22"/>
                <w:lang w:val="en-GB"/>
              </w:rPr>
              <w:t>fulvestrant + palbociklib</w:t>
            </w:r>
          </w:p>
          <w:p w14:paraId="4737BF68" w14:textId="77777777" w:rsidR="006B1DE8" w:rsidRPr="008A2C89" w:rsidRDefault="006B1DE8" w:rsidP="006B1DE8">
            <w:pPr>
              <w:spacing w:line="276" w:lineRule="auto"/>
              <w:jc w:val="center"/>
              <w:rPr>
                <w:rFonts w:eastAsia="Calibri"/>
                <w:sz w:val="22"/>
                <w:szCs w:val="22"/>
                <w:lang w:val="en-GB"/>
              </w:rPr>
            </w:pPr>
            <w:r w:rsidRPr="008A2C89">
              <w:rPr>
                <w:rFonts w:eastAsia="Calibri"/>
                <w:b/>
                <w:bCs/>
                <w:sz w:val="22"/>
                <w:szCs w:val="22"/>
                <w:lang w:val="en-GB"/>
              </w:rPr>
              <w:t>(N=345)</w:t>
            </w:r>
          </w:p>
        </w:tc>
        <w:tc>
          <w:tcPr>
            <w:tcW w:w="1486" w:type="pct"/>
            <w:gridSpan w:val="2"/>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0B6C85B" w14:textId="77777777" w:rsidR="006B1DE8" w:rsidRPr="008A2C89" w:rsidRDefault="006B1DE8" w:rsidP="006B1DE8">
            <w:pPr>
              <w:spacing w:line="360" w:lineRule="auto"/>
              <w:jc w:val="center"/>
              <w:rPr>
                <w:rFonts w:eastAsia="Calibri"/>
                <w:sz w:val="22"/>
                <w:szCs w:val="22"/>
                <w:u w:val="single"/>
                <w:lang w:val="en-GB"/>
              </w:rPr>
            </w:pPr>
            <w:r w:rsidRPr="008A2C89">
              <w:rPr>
                <w:rFonts w:eastAsia="Calibri"/>
                <w:b/>
                <w:bCs/>
                <w:sz w:val="22"/>
                <w:szCs w:val="22"/>
                <w:lang w:val="en-GB"/>
              </w:rPr>
              <w:t>fulvestrant+ placebo</w:t>
            </w:r>
            <w:r w:rsidRPr="008A2C89">
              <w:rPr>
                <w:rFonts w:eastAsia="Calibri"/>
                <w:b/>
                <w:bCs/>
                <w:sz w:val="22"/>
                <w:szCs w:val="22"/>
                <w:u w:val="single"/>
                <w:lang w:val="en-GB"/>
              </w:rPr>
              <w:t xml:space="preserve"> </w:t>
            </w:r>
            <w:r w:rsidRPr="008A2C89">
              <w:rPr>
                <w:rFonts w:eastAsia="Calibri"/>
                <w:b/>
                <w:bCs/>
                <w:sz w:val="22"/>
                <w:szCs w:val="22"/>
                <w:lang w:val="en-GB"/>
              </w:rPr>
              <w:t>(N=172)</w:t>
            </w:r>
          </w:p>
        </w:tc>
      </w:tr>
      <w:tr w:rsidR="006B1DE8" w:rsidRPr="008A2C89" w14:paraId="185A5CDE" w14:textId="77777777" w:rsidTr="006B1DE8">
        <w:tc>
          <w:tcPr>
            <w:tcW w:w="1872" w:type="pct"/>
            <w:vMerge/>
            <w:tcBorders>
              <w:top w:val="outset" w:sz="6" w:space="0" w:color="7B7B7B"/>
              <w:left w:val="outset" w:sz="6" w:space="0" w:color="7B7B7B"/>
              <w:bottom w:val="outset" w:sz="6" w:space="0" w:color="7B7B7B"/>
              <w:right w:val="outset" w:sz="6" w:space="0" w:color="7B7B7B"/>
            </w:tcBorders>
            <w:shd w:val="clear" w:color="auto" w:fill="auto"/>
            <w:hideMark/>
          </w:tcPr>
          <w:p w14:paraId="5AD1A3B1" w14:textId="77777777" w:rsidR="006B1DE8" w:rsidRPr="008A2C89" w:rsidRDefault="006B1DE8" w:rsidP="006B1DE8">
            <w:pPr>
              <w:spacing w:line="276" w:lineRule="auto"/>
              <w:rPr>
                <w:rFonts w:eastAsia="Calibri"/>
                <w:sz w:val="22"/>
                <w:szCs w:val="22"/>
                <w:u w:val="single"/>
                <w:lang w:val="en-GB"/>
              </w:rPr>
            </w:pP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781A4ED" w14:textId="77777777" w:rsidR="006B1DE8" w:rsidRPr="008A2C89" w:rsidRDefault="006B1DE8" w:rsidP="006B1DE8">
            <w:pPr>
              <w:spacing w:line="276" w:lineRule="auto"/>
              <w:jc w:val="center"/>
              <w:rPr>
                <w:rFonts w:eastAsia="Calibri"/>
                <w:b/>
                <w:bCs/>
                <w:sz w:val="22"/>
                <w:szCs w:val="22"/>
                <w:lang w:val="en-GB"/>
              </w:rPr>
            </w:pPr>
            <w:r w:rsidRPr="008A2C89">
              <w:rPr>
                <w:rFonts w:eastAsia="Calibri"/>
                <w:b/>
                <w:bCs/>
                <w:sz w:val="22"/>
                <w:szCs w:val="22"/>
                <w:lang w:val="en-GB"/>
              </w:rPr>
              <w:t>Svi stepeni</w:t>
            </w:r>
          </w:p>
          <w:p w14:paraId="03A0F9F5" w14:textId="77777777" w:rsidR="006B1DE8" w:rsidRPr="008A2C89" w:rsidRDefault="006B1DE8" w:rsidP="006B1DE8">
            <w:pPr>
              <w:spacing w:line="276" w:lineRule="auto"/>
              <w:jc w:val="center"/>
              <w:rPr>
                <w:rFonts w:eastAsia="Calibri"/>
                <w:sz w:val="22"/>
                <w:szCs w:val="22"/>
                <w:lang w:val="en-GB"/>
              </w:rPr>
            </w:pPr>
            <w:proofErr w:type="gramStart"/>
            <w:r w:rsidRPr="008A2C89">
              <w:rPr>
                <w:rFonts w:eastAsia="Calibri"/>
                <w:b/>
                <w:bCs/>
                <w:sz w:val="22"/>
                <w:szCs w:val="22"/>
                <w:lang w:val="en-GB"/>
              </w:rPr>
              <w:t>n</w:t>
            </w:r>
            <w:proofErr w:type="gramEnd"/>
            <w:r w:rsidRPr="008A2C89">
              <w:rPr>
                <w:rFonts w:eastAsia="Calibri"/>
                <w:b/>
                <w:bCs/>
                <w:sz w:val="22"/>
                <w:szCs w:val="22"/>
                <w:lang w:val="en-GB"/>
              </w:rPr>
              <w:t xml:space="preserve"> (%)</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1A1E805" w14:textId="77777777" w:rsidR="006B1DE8" w:rsidRPr="008A2C89" w:rsidRDefault="006B1DE8" w:rsidP="006B1DE8">
            <w:pPr>
              <w:spacing w:line="276" w:lineRule="auto"/>
              <w:jc w:val="center"/>
              <w:rPr>
                <w:rFonts w:eastAsia="Calibri"/>
                <w:sz w:val="22"/>
                <w:szCs w:val="22"/>
                <w:lang w:val="en-GB"/>
              </w:rPr>
            </w:pPr>
            <w:r w:rsidRPr="008A2C89">
              <w:rPr>
                <w:rFonts w:eastAsia="Calibri"/>
                <w:b/>
                <w:bCs/>
                <w:sz w:val="22"/>
                <w:szCs w:val="22"/>
                <w:lang w:val="en-GB"/>
              </w:rPr>
              <w:t>Stepen ≥ 3</w:t>
            </w:r>
          </w:p>
          <w:p w14:paraId="4B4EF49D" w14:textId="77777777" w:rsidR="006B1DE8" w:rsidRPr="008A2C89" w:rsidRDefault="006B1DE8" w:rsidP="006B1DE8">
            <w:pPr>
              <w:spacing w:line="276" w:lineRule="auto"/>
              <w:jc w:val="center"/>
              <w:rPr>
                <w:rFonts w:eastAsia="Calibri"/>
                <w:sz w:val="22"/>
                <w:szCs w:val="22"/>
                <w:lang w:val="en-GB"/>
              </w:rPr>
            </w:pPr>
            <w:proofErr w:type="gramStart"/>
            <w:r w:rsidRPr="008A2C89">
              <w:rPr>
                <w:rFonts w:eastAsia="Calibri"/>
                <w:b/>
                <w:bCs/>
                <w:sz w:val="22"/>
                <w:szCs w:val="22"/>
                <w:lang w:val="en-GB"/>
              </w:rPr>
              <w:t>n</w:t>
            </w:r>
            <w:proofErr w:type="gramEnd"/>
            <w:r w:rsidRPr="008A2C89">
              <w:rPr>
                <w:rFonts w:eastAsia="Calibri"/>
                <w:b/>
                <w:bCs/>
                <w:sz w:val="22"/>
                <w:szCs w:val="22"/>
                <w:lang w:val="en-GB"/>
              </w:rPr>
              <w:t xml:space="preserve"> (%)</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F0AFAFC" w14:textId="77777777" w:rsidR="006B1DE8" w:rsidRPr="008A2C89" w:rsidRDefault="006B1DE8" w:rsidP="006B1DE8">
            <w:pPr>
              <w:spacing w:line="276" w:lineRule="auto"/>
              <w:jc w:val="center"/>
              <w:rPr>
                <w:rFonts w:eastAsia="Calibri"/>
                <w:b/>
                <w:sz w:val="22"/>
                <w:szCs w:val="22"/>
                <w:lang w:val="en-GB"/>
              </w:rPr>
            </w:pPr>
            <w:r w:rsidRPr="008A2C89">
              <w:rPr>
                <w:rFonts w:eastAsia="Calibri"/>
                <w:b/>
                <w:sz w:val="22"/>
                <w:szCs w:val="22"/>
                <w:lang w:val="en-GB"/>
              </w:rPr>
              <w:t>Svi stepeni</w:t>
            </w:r>
          </w:p>
          <w:p w14:paraId="534B681E" w14:textId="77777777" w:rsidR="006B1DE8" w:rsidRPr="008A2C89" w:rsidRDefault="006B1DE8" w:rsidP="006B1DE8">
            <w:pPr>
              <w:spacing w:line="276" w:lineRule="auto"/>
              <w:jc w:val="center"/>
              <w:rPr>
                <w:rFonts w:eastAsia="Calibri"/>
                <w:sz w:val="22"/>
                <w:szCs w:val="22"/>
                <w:lang w:val="en-GB"/>
              </w:rPr>
            </w:pPr>
            <w:proofErr w:type="gramStart"/>
            <w:r w:rsidRPr="008A2C89">
              <w:rPr>
                <w:rFonts w:eastAsia="Calibri"/>
                <w:b/>
                <w:bCs/>
                <w:sz w:val="22"/>
                <w:szCs w:val="22"/>
                <w:lang w:val="en-GB"/>
              </w:rPr>
              <w:t>n</w:t>
            </w:r>
            <w:proofErr w:type="gramEnd"/>
            <w:r w:rsidRPr="008A2C89">
              <w:rPr>
                <w:rFonts w:eastAsia="Calibri"/>
                <w:b/>
                <w:bCs/>
                <w:sz w:val="22"/>
                <w:szCs w:val="22"/>
                <w:lang w:val="en-GB"/>
              </w:rPr>
              <w:t xml:space="preserve"> (%)</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EE6272F" w14:textId="77777777" w:rsidR="006B1DE8" w:rsidRPr="008A2C89" w:rsidRDefault="006B1DE8" w:rsidP="006B1DE8">
            <w:pPr>
              <w:spacing w:line="276" w:lineRule="auto"/>
              <w:jc w:val="center"/>
              <w:rPr>
                <w:rFonts w:eastAsia="Calibri"/>
                <w:sz w:val="22"/>
                <w:szCs w:val="22"/>
                <w:lang w:val="en-GB"/>
              </w:rPr>
            </w:pPr>
            <w:r w:rsidRPr="008A2C89">
              <w:rPr>
                <w:rFonts w:eastAsia="Calibri"/>
                <w:b/>
                <w:bCs/>
                <w:sz w:val="22"/>
                <w:szCs w:val="22"/>
                <w:lang w:val="en-GB"/>
              </w:rPr>
              <w:t>Stepen ≥ 3</w:t>
            </w:r>
          </w:p>
          <w:p w14:paraId="2E79F936" w14:textId="77777777" w:rsidR="006B1DE8" w:rsidRPr="008A2C89" w:rsidRDefault="006B1DE8" w:rsidP="006B1DE8">
            <w:pPr>
              <w:spacing w:line="276" w:lineRule="auto"/>
              <w:jc w:val="center"/>
              <w:rPr>
                <w:rFonts w:eastAsia="Calibri"/>
                <w:sz w:val="22"/>
                <w:szCs w:val="22"/>
                <w:lang w:val="en-GB"/>
              </w:rPr>
            </w:pPr>
            <w:proofErr w:type="gramStart"/>
            <w:r w:rsidRPr="008A2C89">
              <w:rPr>
                <w:rFonts w:eastAsia="Calibri"/>
                <w:b/>
                <w:bCs/>
                <w:sz w:val="22"/>
                <w:szCs w:val="22"/>
                <w:lang w:val="en-GB"/>
              </w:rPr>
              <w:t>n</w:t>
            </w:r>
            <w:proofErr w:type="gramEnd"/>
            <w:r w:rsidRPr="008A2C89">
              <w:rPr>
                <w:rFonts w:eastAsia="Calibri"/>
                <w:b/>
                <w:bCs/>
                <w:sz w:val="22"/>
                <w:szCs w:val="22"/>
                <w:lang w:val="en-GB"/>
              </w:rPr>
              <w:t xml:space="preserve"> (%)</w:t>
            </w:r>
          </w:p>
        </w:tc>
      </w:tr>
      <w:tr w:rsidR="006B1DE8" w:rsidRPr="008A2C89" w14:paraId="49896DBB" w14:textId="77777777" w:rsidTr="006B1DE8">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DA978BA" w14:textId="77777777" w:rsidR="006B1DE8" w:rsidRPr="008A2C89" w:rsidRDefault="006B1DE8" w:rsidP="006B1DE8">
            <w:pPr>
              <w:spacing w:line="276" w:lineRule="auto"/>
              <w:rPr>
                <w:rFonts w:eastAsia="Calibri"/>
                <w:sz w:val="22"/>
                <w:szCs w:val="22"/>
                <w:lang w:val="en-GB"/>
              </w:rPr>
            </w:pPr>
            <w:r w:rsidRPr="008A2C89">
              <w:rPr>
                <w:rFonts w:eastAsia="Calibri"/>
                <w:b/>
                <w:bCs/>
                <w:sz w:val="22"/>
                <w:szCs w:val="22"/>
                <w:lang w:val="en-GB"/>
              </w:rPr>
              <w:t>Infekcije i infestacije</w:t>
            </w:r>
          </w:p>
        </w:tc>
      </w:tr>
      <w:tr w:rsidR="006B1DE8" w:rsidRPr="008A2C89" w14:paraId="2094E5D5"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84389EF" w14:textId="77777777" w:rsidR="006B1DE8" w:rsidRPr="008A2C89" w:rsidRDefault="006B1DE8" w:rsidP="006B1DE8">
            <w:pPr>
              <w:spacing w:line="276" w:lineRule="auto"/>
              <w:rPr>
                <w:rFonts w:eastAsia="Calibri"/>
                <w:sz w:val="22"/>
                <w:szCs w:val="22"/>
                <w:lang w:val="en-GB"/>
              </w:rPr>
            </w:pPr>
            <w:r w:rsidRPr="008A2C89">
              <w:rPr>
                <w:rFonts w:eastAsia="Calibri"/>
                <w:i/>
                <w:iCs/>
                <w:sz w:val="22"/>
                <w:szCs w:val="22"/>
                <w:lang w:val="en-GB"/>
              </w:rPr>
              <w:t>Veoma često</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20F57FD"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1AF474B"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C4F05E6" w14:textId="77777777" w:rsidR="006B1DE8" w:rsidRPr="008A2C89" w:rsidRDefault="006B1DE8" w:rsidP="006B1DE8">
            <w:pPr>
              <w:spacing w:line="276" w:lineRule="auto"/>
              <w:rPr>
                <w:rFonts w:eastAsia="Calibri"/>
                <w:sz w:val="22"/>
                <w:szCs w:val="22"/>
                <w:lang w:val="en-GB"/>
              </w:rPr>
            </w:pP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EA239EC" w14:textId="77777777" w:rsidR="006B1DE8" w:rsidRPr="008A2C89" w:rsidRDefault="006B1DE8" w:rsidP="006B1DE8">
            <w:pPr>
              <w:spacing w:line="276" w:lineRule="auto"/>
              <w:rPr>
                <w:rFonts w:eastAsia="Calibri"/>
                <w:sz w:val="22"/>
                <w:szCs w:val="22"/>
                <w:lang w:val="en-GB"/>
              </w:rPr>
            </w:pPr>
          </w:p>
        </w:tc>
      </w:tr>
      <w:tr w:rsidR="006B1DE8" w:rsidRPr="008A2C89" w14:paraId="7E35D8A1"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B41E0B8"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Infekcije</w:t>
            </w:r>
            <w:r w:rsidRPr="008A2C89">
              <w:rPr>
                <w:rFonts w:eastAsia="Calibri"/>
                <w:sz w:val="22"/>
                <w:szCs w:val="22"/>
                <w:vertAlign w:val="superscript"/>
                <w:lang w:val="en-GB"/>
              </w:rPr>
              <w:t>b</w:t>
            </w:r>
          </w:p>
        </w:tc>
        <w:tc>
          <w:tcPr>
            <w:tcW w:w="860" w:type="pct"/>
            <w:tcBorders>
              <w:top w:val="outset" w:sz="6" w:space="0" w:color="7B7B7B"/>
              <w:left w:val="outset" w:sz="6" w:space="0" w:color="7B7B7B"/>
              <w:bottom w:val="outset" w:sz="6" w:space="0" w:color="7B7B7B"/>
              <w:right w:val="outset" w:sz="6" w:space="0" w:color="7B7B7B"/>
            </w:tcBorders>
            <w:shd w:val="clear" w:color="auto" w:fill="auto"/>
            <w:hideMark/>
          </w:tcPr>
          <w:p w14:paraId="79569921"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188 (54.5)</w:t>
            </w:r>
          </w:p>
        </w:tc>
        <w:tc>
          <w:tcPr>
            <w:tcW w:w="782" w:type="pct"/>
            <w:tcBorders>
              <w:top w:val="outset" w:sz="6" w:space="0" w:color="7B7B7B"/>
              <w:left w:val="outset" w:sz="6" w:space="0" w:color="7B7B7B"/>
              <w:bottom w:val="outset" w:sz="6" w:space="0" w:color="7B7B7B"/>
              <w:right w:val="outset" w:sz="6" w:space="0" w:color="7B7B7B"/>
            </w:tcBorders>
            <w:shd w:val="clear" w:color="auto" w:fill="auto"/>
            <w:hideMark/>
          </w:tcPr>
          <w:p w14:paraId="0A3D803A"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19 (5.5)</w:t>
            </w:r>
          </w:p>
        </w:tc>
        <w:tc>
          <w:tcPr>
            <w:tcW w:w="782" w:type="pct"/>
            <w:tcBorders>
              <w:top w:val="outset" w:sz="6" w:space="0" w:color="7B7B7B"/>
              <w:left w:val="outset" w:sz="6" w:space="0" w:color="7B7B7B"/>
              <w:bottom w:val="outset" w:sz="6" w:space="0" w:color="7B7B7B"/>
              <w:right w:val="outset" w:sz="6" w:space="0" w:color="7B7B7B"/>
            </w:tcBorders>
            <w:shd w:val="clear" w:color="auto" w:fill="auto"/>
            <w:hideMark/>
          </w:tcPr>
          <w:p w14:paraId="746CE0A6"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60 (34.9)</w:t>
            </w:r>
          </w:p>
        </w:tc>
        <w:tc>
          <w:tcPr>
            <w:tcW w:w="704" w:type="pct"/>
            <w:tcBorders>
              <w:top w:val="outset" w:sz="6" w:space="0" w:color="7B7B7B"/>
              <w:left w:val="outset" w:sz="6" w:space="0" w:color="7B7B7B"/>
              <w:bottom w:val="outset" w:sz="6" w:space="0" w:color="7B7B7B"/>
              <w:right w:val="outset" w:sz="6" w:space="0" w:color="7B7B7B"/>
            </w:tcBorders>
            <w:shd w:val="clear" w:color="auto" w:fill="auto"/>
            <w:hideMark/>
          </w:tcPr>
          <w:p w14:paraId="0FF32742"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6 (3.5)</w:t>
            </w:r>
          </w:p>
        </w:tc>
      </w:tr>
      <w:tr w:rsidR="006B1DE8" w:rsidRPr="008A2C89" w14:paraId="78904DBC" w14:textId="77777777" w:rsidTr="006B1DE8">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2C48787" w14:textId="77777777" w:rsidR="006B1DE8" w:rsidRPr="008A2C89" w:rsidRDefault="006B1DE8" w:rsidP="006B1DE8">
            <w:pPr>
              <w:spacing w:line="276" w:lineRule="auto"/>
              <w:rPr>
                <w:rFonts w:eastAsia="Calibri"/>
                <w:sz w:val="22"/>
                <w:szCs w:val="22"/>
                <w:lang w:val="en-GB"/>
              </w:rPr>
            </w:pPr>
            <w:r w:rsidRPr="008A2C89">
              <w:rPr>
                <w:rFonts w:eastAsia="Calibri"/>
                <w:b/>
                <w:bCs/>
                <w:sz w:val="22"/>
                <w:szCs w:val="22"/>
                <w:lang w:val="en-GB"/>
              </w:rPr>
              <w:t>Poremećaji krvi i limfnog sistema</w:t>
            </w:r>
          </w:p>
        </w:tc>
      </w:tr>
      <w:tr w:rsidR="006B1DE8" w:rsidRPr="008A2C89" w14:paraId="40DD1E11"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30323B3" w14:textId="77777777" w:rsidR="006B1DE8" w:rsidRPr="008A2C89" w:rsidRDefault="006B1DE8" w:rsidP="006B1DE8">
            <w:pPr>
              <w:spacing w:line="276" w:lineRule="auto"/>
              <w:rPr>
                <w:rFonts w:eastAsia="Calibri"/>
                <w:sz w:val="22"/>
                <w:szCs w:val="22"/>
                <w:lang w:val="en-GB"/>
              </w:rPr>
            </w:pPr>
            <w:r w:rsidRPr="008A2C89">
              <w:rPr>
                <w:rFonts w:eastAsia="Calibri"/>
                <w:i/>
                <w:iCs/>
                <w:sz w:val="22"/>
                <w:szCs w:val="22"/>
                <w:lang w:val="en-GB"/>
              </w:rPr>
              <w:t>Veoma često</w:t>
            </w:r>
          </w:p>
        </w:tc>
        <w:tc>
          <w:tcPr>
            <w:tcW w:w="860" w:type="pct"/>
            <w:tcBorders>
              <w:top w:val="outset" w:sz="6" w:space="0" w:color="7B7B7B"/>
              <w:left w:val="outset" w:sz="6" w:space="0" w:color="7B7B7B"/>
              <w:bottom w:val="single" w:sz="4" w:space="0" w:color="808080" w:themeColor="background1" w:themeShade="80"/>
              <w:right w:val="outset" w:sz="6" w:space="0" w:color="7B7B7B"/>
            </w:tcBorders>
            <w:shd w:val="clear" w:color="auto" w:fill="auto"/>
            <w:vAlign w:val="center"/>
            <w:hideMark/>
          </w:tcPr>
          <w:p w14:paraId="3A7D745A"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single" w:sz="4" w:space="0" w:color="808080" w:themeColor="background1" w:themeShade="80"/>
              <w:right w:val="outset" w:sz="6" w:space="0" w:color="7B7B7B"/>
            </w:tcBorders>
            <w:shd w:val="clear" w:color="auto" w:fill="auto"/>
            <w:vAlign w:val="center"/>
            <w:hideMark/>
          </w:tcPr>
          <w:p w14:paraId="79E570DE"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single" w:sz="4" w:space="0" w:color="808080" w:themeColor="background1" w:themeShade="80"/>
              <w:right w:val="single" w:sz="4" w:space="0" w:color="808080" w:themeColor="background1" w:themeShade="80"/>
            </w:tcBorders>
            <w:shd w:val="clear" w:color="auto" w:fill="auto"/>
            <w:vAlign w:val="center"/>
            <w:hideMark/>
          </w:tcPr>
          <w:p w14:paraId="7227DC1F" w14:textId="77777777" w:rsidR="006B1DE8" w:rsidRPr="008A2C89" w:rsidRDefault="006B1DE8" w:rsidP="006B1DE8">
            <w:pPr>
              <w:spacing w:line="276" w:lineRule="auto"/>
              <w:rPr>
                <w:rFonts w:eastAsia="Calibri"/>
                <w:sz w:val="22"/>
                <w:szCs w:val="22"/>
                <w:lang w:val="en-GB"/>
              </w:rPr>
            </w:pPr>
          </w:p>
        </w:tc>
        <w:tc>
          <w:tcPr>
            <w:tcW w:w="704" w:type="pct"/>
            <w:tcBorders>
              <w:top w:val="outset" w:sz="6" w:space="0" w:color="7B7B7B"/>
              <w:left w:val="single" w:sz="4" w:space="0" w:color="808080" w:themeColor="background1" w:themeShade="80"/>
              <w:bottom w:val="single" w:sz="4" w:space="0" w:color="808080" w:themeColor="background1" w:themeShade="80"/>
              <w:right w:val="outset" w:sz="6" w:space="0" w:color="7B7B7B"/>
            </w:tcBorders>
            <w:shd w:val="clear" w:color="auto" w:fill="auto"/>
            <w:vAlign w:val="center"/>
            <w:hideMark/>
          </w:tcPr>
          <w:p w14:paraId="7E348B9E" w14:textId="77777777" w:rsidR="006B1DE8" w:rsidRPr="008A2C89" w:rsidRDefault="006B1DE8" w:rsidP="006B1DE8">
            <w:pPr>
              <w:spacing w:line="276" w:lineRule="auto"/>
              <w:rPr>
                <w:rFonts w:eastAsia="Calibri"/>
                <w:sz w:val="22"/>
                <w:szCs w:val="22"/>
                <w:lang w:val="en-GB"/>
              </w:rPr>
            </w:pPr>
          </w:p>
        </w:tc>
      </w:tr>
      <w:tr w:rsidR="006B1DE8" w:rsidRPr="008A2C89" w14:paraId="1C58283B" w14:textId="77777777" w:rsidTr="006B1DE8">
        <w:tc>
          <w:tcPr>
            <w:tcW w:w="1872" w:type="pct"/>
            <w:tcBorders>
              <w:top w:val="outset" w:sz="6" w:space="0" w:color="7B7B7B"/>
              <w:left w:val="outset" w:sz="6" w:space="0" w:color="7B7B7B"/>
              <w:bottom w:val="outset" w:sz="6" w:space="0" w:color="7B7B7B"/>
              <w:right w:val="single" w:sz="4" w:space="0" w:color="808080" w:themeColor="background1" w:themeShade="80"/>
            </w:tcBorders>
            <w:shd w:val="clear" w:color="auto" w:fill="auto"/>
            <w:vAlign w:val="center"/>
            <w:hideMark/>
          </w:tcPr>
          <w:p w14:paraId="7DD73AC7" w14:textId="778692B4"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Neutropenija</w:t>
            </w:r>
            <w:r w:rsidRPr="008A2C89">
              <w:rPr>
                <w:rFonts w:eastAsia="Calibri"/>
                <w:sz w:val="22"/>
                <w:szCs w:val="22"/>
                <w:vertAlign w:val="superscript"/>
                <w:lang w:val="en-GB"/>
              </w:rPr>
              <w:t>c</w:t>
            </w:r>
          </w:p>
        </w:tc>
        <w:tc>
          <w:tcPr>
            <w:tcW w:w="8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4F6E4DF"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290 (84.1)</w:t>
            </w:r>
          </w:p>
        </w:tc>
        <w:tc>
          <w:tcPr>
            <w:tcW w:w="7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B70D29"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240 (69.6)</w:t>
            </w:r>
          </w:p>
        </w:tc>
        <w:tc>
          <w:tcPr>
            <w:tcW w:w="7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80C90A"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6 (3.5)</w:t>
            </w:r>
          </w:p>
        </w:tc>
        <w:tc>
          <w:tcPr>
            <w:tcW w:w="7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AAD7B18"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0</w:t>
            </w:r>
          </w:p>
        </w:tc>
      </w:tr>
      <w:tr w:rsidR="006B1DE8" w:rsidRPr="008A2C89" w14:paraId="3FCCED5D" w14:textId="77777777" w:rsidTr="006B1DE8">
        <w:tc>
          <w:tcPr>
            <w:tcW w:w="1872" w:type="pct"/>
            <w:tcBorders>
              <w:top w:val="outset" w:sz="6" w:space="0" w:color="7B7B7B"/>
              <w:left w:val="outset" w:sz="6" w:space="0" w:color="7B7B7B"/>
              <w:bottom w:val="outset" w:sz="6" w:space="0" w:color="7B7B7B"/>
              <w:right w:val="single" w:sz="4" w:space="0" w:color="808080" w:themeColor="background1" w:themeShade="80"/>
            </w:tcBorders>
            <w:shd w:val="clear" w:color="auto" w:fill="auto"/>
            <w:vAlign w:val="center"/>
            <w:hideMark/>
          </w:tcPr>
          <w:p w14:paraId="7D0C111C"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Leukopenija</w:t>
            </w:r>
            <w:r w:rsidRPr="008A2C89">
              <w:rPr>
                <w:rFonts w:eastAsia="Calibri"/>
                <w:sz w:val="22"/>
                <w:szCs w:val="22"/>
                <w:vertAlign w:val="superscript"/>
                <w:lang w:val="en-GB"/>
              </w:rPr>
              <w:t>d</w:t>
            </w:r>
          </w:p>
        </w:tc>
        <w:tc>
          <w:tcPr>
            <w:tcW w:w="8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2F9496B"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207 (60.0)</w:t>
            </w:r>
          </w:p>
        </w:tc>
        <w:tc>
          <w:tcPr>
            <w:tcW w:w="7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827D97"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132 (38.3)</w:t>
            </w:r>
          </w:p>
        </w:tc>
        <w:tc>
          <w:tcPr>
            <w:tcW w:w="7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18DD06"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9 (5.2)</w:t>
            </w:r>
          </w:p>
        </w:tc>
        <w:tc>
          <w:tcPr>
            <w:tcW w:w="7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hideMark/>
          </w:tcPr>
          <w:p w14:paraId="79E420D8"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1 (0.6)</w:t>
            </w:r>
          </w:p>
        </w:tc>
      </w:tr>
      <w:tr w:rsidR="006B1DE8" w:rsidRPr="008A2C89" w14:paraId="4566435D" w14:textId="77777777" w:rsidTr="006B1DE8">
        <w:tc>
          <w:tcPr>
            <w:tcW w:w="1872" w:type="pct"/>
            <w:tcBorders>
              <w:top w:val="outset" w:sz="6" w:space="0" w:color="7B7B7B"/>
              <w:left w:val="outset" w:sz="6" w:space="0" w:color="7B7B7B"/>
              <w:bottom w:val="outset" w:sz="6" w:space="0" w:color="7B7B7B"/>
              <w:right w:val="single" w:sz="4" w:space="0" w:color="808080" w:themeColor="background1" w:themeShade="80"/>
            </w:tcBorders>
            <w:shd w:val="clear" w:color="auto" w:fill="auto"/>
            <w:vAlign w:val="center"/>
            <w:hideMark/>
          </w:tcPr>
          <w:p w14:paraId="33BADC08"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Anemija</w:t>
            </w:r>
            <w:r w:rsidRPr="008A2C89">
              <w:rPr>
                <w:rFonts w:eastAsia="Calibri"/>
                <w:sz w:val="22"/>
                <w:szCs w:val="22"/>
                <w:vertAlign w:val="superscript"/>
                <w:lang w:val="en-GB"/>
              </w:rPr>
              <w:t>e</w:t>
            </w:r>
          </w:p>
        </w:tc>
        <w:tc>
          <w:tcPr>
            <w:tcW w:w="8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97F12E"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109 (31.6)</w:t>
            </w:r>
          </w:p>
        </w:tc>
        <w:tc>
          <w:tcPr>
            <w:tcW w:w="7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A0C361F"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15 (4.3)</w:t>
            </w:r>
          </w:p>
        </w:tc>
        <w:tc>
          <w:tcPr>
            <w:tcW w:w="7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8516E3"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24 (14.0)</w:t>
            </w:r>
          </w:p>
        </w:tc>
        <w:tc>
          <w:tcPr>
            <w:tcW w:w="7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CBAAD9" w14:textId="77777777" w:rsidR="006B1DE8" w:rsidRPr="008A2C89" w:rsidRDefault="006B1DE8" w:rsidP="006B1DE8">
            <w:pPr>
              <w:autoSpaceDE w:val="0"/>
              <w:autoSpaceDN w:val="0"/>
              <w:adjustRightInd w:val="0"/>
              <w:jc w:val="center"/>
              <w:rPr>
                <w:rFonts w:eastAsiaTheme="minorHAnsi"/>
                <w:color w:val="000000"/>
                <w:sz w:val="22"/>
                <w:szCs w:val="22"/>
                <w:lang w:val="en-GB"/>
              </w:rPr>
            </w:pPr>
            <w:r w:rsidRPr="008A2C89">
              <w:rPr>
                <w:rFonts w:eastAsiaTheme="minorHAnsi"/>
                <w:color w:val="000000"/>
                <w:sz w:val="22"/>
                <w:szCs w:val="22"/>
                <w:lang w:val="en-GB"/>
              </w:rPr>
              <w:t>4 (2.3)</w:t>
            </w:r>
          </w:p>
        </w:tc>
      </w:tr>
      <w:tr w:rsidR="006B1DE8" w:rsidRPr="008A2C89" w14:paraId="59A5CD71" w14:textId="77777777" w:rsidTr="006B1DE8">
        <w:tc>
          <w:tcPr>
            <w:tcW w:w="1872" w:type="pct"/>
            <w:tcBorders>
              <w:top w:val="outset" w:sz="6" w:space="0" w:color="7B7B7B"/>
              <w:left w:val="outset" w:sz="6" w:space="0" w:color="7B7B7B"/>
              <w:bottom w:val="outset" w:sz="6" w:space="0" w:color="7B7B7B"/>
              <w:right w:val="single" w:sz="4" w:space="0" w:color="808080" w:themeColor="background1" w:themeShade="80"/>
            </w:tcBorders>
            <w:shd w:val="clear" w:color="auto" w:fill="auto"/>
            <w:vAlign w:val="center"/>
            <w:hideMark/>
          </w:tcPr>
          <w:p w14:paraId="7F3327BD"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Trombocitopenija</w:t>
            </w:r>
            <w:r w:rsidRPr="008A2C89">
              <w:rPr>
                <w:rFonts w:eastAsia="Calibri"/>
                <w:sz w:val="22"/>
                <w:szCs w:val="22"/>
                <w:vertAlign w:val="superscript"/>
                <w:lang w:val="en-GB"/>
              </w:rPr>
              <w:t>f</w:t>
            </w:r>
          </w:p>
        </w:tc>
        <w:tc>
          <w:tcPr>
            <w:tcW w:w="860" w:type="pct"/>
            <w:tcBorders>
              <w:top w:val="single" w:sz="4" w:space="0" w:color="808080" w:themeColor="background1" w:themeShade="80"/>
              <w:left w:val="single" w:sz="4" w:space="0" w:color="808080" w:themeColor="background1" w:themeShade="80"/>
              <w:bottom w:val="outset" w:sz="6" w:space="0" w:color="7B7B7B"/>
              <w:right w:val="outset" w:sz="6" w:space="0" w:color="7B7B7B"/>
            </w:tcBorders>
            <w:shd w:val="clear" w:color="auto" w:fill="auto"/>
            <w:vAlign w:val="center"/>
            <w:hideMark/>
          </w:tcPr>
          <w:p w14:paraId="68887F82"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88 (25.5)</w:t>
            </w:r>
          </w:p>
        </w:tc>
        <w:tc>
          <w:tcPr>
            <w:tcW w:w="782" w:type="pct"/>
            <w:tcBorders>
              <w:top w:val="single" w:sz="4" w:space="0" w:color="808080" w:themeColor="background1" w:themeShade="80"/>
              <w:left w:val="outset" w:sz="6" w:space="0" w:color="7B7B7B"/>
              <w:bottom w:val="outset" w:sz="6" w:space="0" w:color="7B7B7B"/>
              <w:right w:val="single" w:sz="4" w:space="0" w:color="808080" w:themeColor="background1" w:themeShade="80"/>
            </w:tcBorders>
            <w:shd w:val="clear" w:color="auto" w:fill="auto"/>
            <w:vAlign w:val="center"/>
            <w:hideMark/>
          </w:tcPr>
          <w:p w14:paraId="57909630"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10 (2.9)</w:t>
            </w:r>
          </w:p>
        </w:tc>
        <w:tc>
          <w:tcPr>
            <w:tcW w:w="782" w:type="pct"/>
            <w:tcBorders>
              <w:top w:val="single" w:sz="4" w:space="0" w:color="808080" w:themeColor="background1" w:themeShade="80"/>
              <w:left w:val="single" w:sz="4" w:space="0" w:color="808080" w:themeColor="background1" w:themeShade="80"/>
              <w:bottom w:val="outset" w:sz="6" w:space="0" w:color="7B7B7B"/>
              <w:right w:val="single" w:sz="4" w:space="0" w:color="808080" w:themeColor="background1" w:themeShade="80"/>
            </w:tcBorders>
            <w:shd w:val="clear" w:color="auto" w:fill="auto"/>
            <w:vAlign w:val="center"/>
            <w:hideMark/>
          </w:tcPr>
          <w:p w14:paraId="60DE81DB"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 xml:space="preserve">0 </w:t>
            </w:r>
          </w:p>
        </w:tc>
        <w:tc>
          <w:tcPr>
            <w:tcW w:w="704" w:type="pct"/>
            <w:tcBorders>
              <w:top w:val="single" w:sz="4" w:space="0" w:color="808080" w:themeColor="background1" w:themeShade="80"/>
              <w:left w:val="single" w:sz="4" w:space="0" w:color="808080" w:themeColor="background1" w:themeShade="80"/>
              <w:bottom w:val="outset" w:sz="6" w:space="0" w:color="7B7B7B"/>
              <w:right w:val="outset" w:sz="6" w:space="0" w:color="7B7B7B"/>
            </w:tcBorders>
            <w:shd w:val="clear" w:color="auto" w:fill="auto"/>
            <w:vAlign w:val="center"/>
            <w:hideMark/>
          </w:tcPr>
          <w:p w14:paraId="5328A744"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r>
      <w:tr w:rsidR="006B1DE8" w:rsidRPr="008A2C89" w14:paraId="04952418"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8C75DEA" w14:textId="77777777" w:rsidR="006B1DE8" w:rsidRPr="008A2C89" w:rsidRDefault="006B1DE8" w:rsidP="006B1DE8">
            <w:pPr>
              <w:spacing w:line="276" w:lineRule="auto"/>
              <w:rPr>
                <w:rFonts w:eastAsia="Calibri"/>
                <w:sz w:val="22"/>
                <w:szCs w:val="22"/>
                <w:lang w:val="en-GB"/>
              </w:rPr>
            </w:pPr>
            <w:r w:rsidRPr="008A2C89">
              <w:rPr>
                <w:rFonts w:eastAsia="Calibri"/>
                <w:i/>
                <w:iCs/>
                <w:sz w:val="22"/>
                <w:szCs w:val="22"/>
                <w:lang w:val="en-GB"/>
              </w:rPr>
              <w:t>Povremeno</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36AA922" w14:textId="77777777" w:rsidR="006B1DE8" w:rsidRPr="008A2C89" w:rsidRDefault="006B1DE8" w:rsidP="006B1DE8">
            <w:pPr>
              <w:spacing w:line="276" w:lineRule="auto"/>
              <w:jc w:val="center"/>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DE74FFF" w14:textId="77777777" w:rsidR="006B1DE8" w:rsidRPr="008A2C89" w:rsidRDefault="006B1DE8" w:rsidP="006B1DE8">
            <w:pPr>
              <w:spacing w:line="276" w:lineRule="auto"/>
              <w:jc w:val="center"/>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DF4D0E3" w14:textId="77777777" w:rsidR="006B1DE8" w:rsidRPr="008A2C89" w:rsidRDefault="006B1DE8" w:rsidP="006B1DE8">
            <w:pPr>
              <w:spacing w:line="276" w:lineRule="auto"/>
              <w:jc w:val="center"/>
              <w:rPr>
                <w:rFonts w:eastAsia="Calibri"/>
                <w:sz w:val="22"/>
                <w:szCs w:val="22"/>
                <w:lang w:val="en-GB"/>
              </w:rPr>
            </w:pP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3FE79D7" w14:textId="77777777" w:rsidR="006B1DE8" w:rsidRPr="008A2C89" w:rsidRDefault="006B1DE8" w:rsidP="006B1DE8">
            <w:pPr>
              <w:spacing w:line="276" w:lineRule="auto"/>
              <w:jc w:val="center"/>
              <w:rPr>
                <w:rFonts w:eastAsia="Calibri"/>
                <w:sz w:val="22"/>
                <w:szCs w:val="22"/>
                <w:lang w:val="en-GB"/>
              </w:rPr>
            </w:pPr>
          </w:p>
        </w:tc>
      </w:tr>
      <w:tr w:rsidR="006B1DE8" w:rsidRPr="008A2C89" w14:paraId="1C909BCD"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8967147"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Febrilna neutropenija</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E849259"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3 (0.9)</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EEF4D33"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3 (0.9)</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tcPr>
          <w:p w14:paraId="6D719AE1"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tcPr>
          <w:p w14:paraId="3A4FA598"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r>
      <w:tr w:rsidR="006B1DE8" w:rsidRPr="008A2C89" w14:paraId="431F1370" w14:textId="77777777" w:rsidTr="006B1DE8">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2B5CA4E" w14:textId="77777777" w:rsidR="006B1DE8" w:rsidRPr="008A2C89" w:rsidRDefault="006B1DE8" w:rsidP="006B1DE8">
            <w:pPr>
              <w:spacing w:line="276" w:lineRule="auto"/>
              <w:rPr>
                <w:rFonts w:eastAsia="Calibri"/>
                <w:sz w:val="22"/>
                <w:szCs w:val="22"/>
                <w:lang w:val="en-GB"/>
              </w:rPr>
            </w:pPr>
            <w:r w:rsidRPr="008A2C89">
              <w:rPr>
                <w:rFonts w:eastAsia="Calibri"/>
                <w:b/>
                <w:bCs/>
                <w:sz w:val="22"/>
                <w:szCs w:val="22"/>
                <w:lang w:val="en-GB"/>
              </w:rPr>
              <w:t>Poremećaji metabolizma i ishrane</w:t>
            </w:r>
          </w:p>
        </w:tc>
      </w:tr>
      <w:tr w:rsidR="006B1DE8" w:rsidRPr="008A2C89" w14:paraId="1FFD3C7C"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A398855" w14:textId="77777777" w:rsidR="006B1DE8" w:rsidRPr="008A2C89" w:rsidRDefault="006B1DE8" w:rsidP="006B1DE8">
            <w:pPr>
              <w:spacing w:line="276" w:lineRule="auto"/>
              <w:rPr>
                <w:rFonts w:eastAsia="Calibri"/>
                <w:sz w:val="22"/>
                <w:szCs w:val="22"/>
                <w:lang w:val="en-GB"/>
              </w:rPr>
            </w:pPr>
            <w:r w:rsidRPr="008A2C89">
              <w:rPr>
                <w:rFonts w:eastAsia="Calibri"/>
                <w:i/>
                <w:iCs/>
                <w:sz w:val="22"/>
                <w:szCs w:val="22"/>
                <w:lang w:val="en-GB"/>
              </w:rPr>
              <w:t>Veoma često</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C2FD3C9"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1DC949F"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63E5FFE" w14:textId="77777777" w:rsidR="006B1DE8" w:rsidRPr="008A2C89" w:rsidRDefault="006B1DE8" w:rsidP="006B1DE8">
            <w:pPr>
              <w:spacing w:line="276" w:lineRule="auto"/>
              <w:rPr>
                <w:rFonts w:eastAsia="Calibri"/>
                <w:sz w:val="22"/>
                <w:szCs w:val="22"/>
                <w:lang w:val="en-GB"/>
              </w:rPr>
            </w:pP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1F57102" w14:textId="77777777" w:rsidR="006B1DE8" w:rsidRPr="008A2C89" w:rsidRDefault="006B1DE8" w:rsidP="006B1DE8">
            <w:pPr>
              <w:spacing w:line="276" w:lineRule="auto"/>
              <w:rPr>
                <w:rFonts w:eastAsia="Calibri"/>
                <w:sz w:val="22"/>
                <w:szCs w:val="22"/>
                <w:lang w:val="en-GB"/>
              </w:rPr>
            </w:pPr>
          </w:p>
        </w:tc>
      </w:tr>
      <w:tr w:rsidR="006B1DE8" w:rsidRPr="008A2C89" w14:paraId="00B39DAE"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10623F5"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Smanjen apetit</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39E4FB5"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60 (17.4)</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B64CD90"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4 (1.2)</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52EDC11"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18 (10.5)</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1BD27FA"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1 (0.6)</w:t>
            </w:r>
          </w:p>
        </w:tc>
      </w:tr>
      <w:tr w:rsidR="006B1DE8" w:rsidRPr="008A2C89" w14:paraId="060613CD" w14:textId="77777777" w:rsidTr="006B1DE8">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5B4D96E" w14:textId="77777777" w:rsidR="006B1DE8" w:rsidRPr="008A2C89" w:rsidRDefault="006B1DE8" w:rsidP="006B1DE8">
            <w:pPr>
              <w:spacing w:line="276" w:lineRule="auto"/>
              <w:rPr>
                <w:rFonts w:eastAsia="Calibri"/>
                <w:sz w:val="22"/>
                <w:szCs w:val="22"/>
                <w:lang w:val="en-GB"/>
              </w:rPr>
            </w:pPr>
            <w:r w:rsidRPr="008A2C89">
              <w:rPr>
                <w:rFonts w:eastAsia="Calibri"/>
                <w:b/>
                <w:bCs/>
                <w:sz w:val="22"/>
                <w:szCs w:val="22"/>
                <w:lang w:val="en-GB"/>
              </w:rPr>
              <w:t xml:space="preserve">Poremećaji nernog sistema </w:t>
            </w:r>
          </w:p>
        </w:tc>
      </w:tr>
      <w:tr w:rsidR="006B1DE8" w:rsidRPr="008A2C89" w14:paraId="40D1D5D1"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2325F58" w14:textId="77777777" w:rsidR="006B1DE8" w:rsidRPr="008A2C89" w:rsidRDefault="006B1DE8" w:rsidP="006B1DE8">
            <w:pPr>
              <w:spacing w:line="276" w:lineRule="auto"/>
              <w:rPr>
                <w:rFonts w:eastAsia="Calibri"/>
                <w:i/>
                <w:sz w:val="22"/>
                <w:szCs w:val="22"/>
                <w:lang w:val="en-GB"/>
              </w:rPr>
            </w:pPr>
            <w:r w:rsidRPr="008A2C89">
              <w:rPr>
                <w:rFonts w:eastAsia="Calibri"/>
                <w:i/>
                <w:sz w:val="22"/>
                <w:szCs w:val="22"/>
                <w:lang w:val="en-GB"/>
              </w:rPr>
              <w:t>Često</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180928E"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C8322F5"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DE0F4E2" w14:textId="77777777" w:rsidR="006B1DE8" w:rsidRPr="008A2C89" w:rsidRDefault="006B1DE8" w:rsidP="006B1DE8">
            <w:pPr>
              <w:spacing w:line="276" w:lineRule="auto"/>
              <w:rPr>
                <w:rFonts w:eastAsia="Calibri"/>
                <w:sz w:val="22"/>
                <w:szCs w:val="22"/>
                <w:lang w:val="en-GB"/>
              </w:rPr>
            </w:pP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A1F60D0" w14:textId="77777777" w:rsidR="006B1DE8" w:rsidRPr="008A2C89" w:rsidRDefault="006B1DE8" w:rsidP="006B1DE8">
            <w:pPr>
              <w:spacing w:line="276" w:lineRule="auto"/>
              <w:rPr>
                <w:rFonts w:eastAsia="Calibri"/>
                <w:sz w:val="22"/>
                <w:szCs w:val="22"/>
                <w:lang w:val="en-GB"/>
              </w:rPr>
            </w:pPr>
          </w:p>
        </w:tc>
      </w:tr>
      <w:tr w:rsidR="006B1DE8" w:rsidRPr="008A2C89" w14:paraId="4C5CFF2D"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D048CFD"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Poremećaj ukusa</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2A1AC7D"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27 (7.8)</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F630470"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4AE0C0A"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6 (3.5)</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4109CD2"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r>
      <w:tr w:rsidR="006B1DE8" w:rsidRPr="008A2C89" w14:paraId="39EF3C41" w14:textId="77777777" w:rsidTr="006B1DE8">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6B647DA" w14:textId="77777777" w:rsidR="006B1DE8" w:rsidRPr="008A2C89" w:rsidRDefault="006B1DE8" w:rsidP="006B1DE8">
            <w:pPr>
              <w:spacing w:line="276" w:lineRule="auto"/>
              <w:rPr>
                <w:rFonts w:eastAsia="Calibri"/>
                <w:b/>
                <w:sz w:val="22"/>
                <w:szCs w:val="22"/>
                <w:lang w:val="en-GB"/>
              </w:rPr>
            </w:pPr>
            <w:r w:rsidRPr="008A2C89">
              <w:rPr>
                <w:rFonts w:eastAsia="Calibri"/>
                <w:b/>
                <w:sz w:val="22"/>
                <w:szCs w:val="22"/>
                <w:lang w:val="en-GB"/>
              </w:rPr>
              <w:t>Poremećaji na nivou oka</w:t>
            </w:r>
          </w:p>
        </w:tc>
      </w:tr>
      <w:tr w:rsidR="006B1DE8" w:rsidRPr="008A2C89" w14:paraId="1882E039"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9E75D16" w14:textId="77777777" w:rsidR="006B1DE8" w:rsidRPr="008A2C89" w:rsidRDefault="006B1DE8" w:rsidP="006B1DE8">
            <w:pPr>
              <w:spacing w:line="276" w:lineRule="auto"/>
              <w:rPr>
                <w:rFonts w:eastAsia="Calibri"/>
                <w:i/>
                <w:sz w:val="22"/>
                <w:szCs w:val="22"/>
                <w:lang w:val="en-GB"/>
              </w:rPr>
            </w:pPr>
            <w:r w:rsidRPr="008A2C89">
              <w:rPr>
                <w:rFonts w:eastAsia="Calibri"/>
                <w:i/>
                <w:sz w:val="22"/>
                <w:szCs w:val="22"/>
                <w:lang w:val="en-GB"/>
              </w:rPr>
              <w:t>Često</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BEAD5CF"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B191E3E"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DAA2BA2" w14:textId="77777777" w:rsidR="006B1DE8" w:rsidRPr="008A2C89" w:rsidRDefault="006B1DE8" w:rsidP="006B1DE8">
            <w:pPr>
              <w:spacing w:line="276" w:lineRule="auto"/>
              <w:rPr>
                <w:rFonts w:eastAsia="Calibri"/>
                <w:sz w:val="22"/>
                <w:szCs w:val="22"/>
                <w:lang w:val="en-GB"/>
              </w:rPr>
            </w:pP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458AA1C" w14:textId="77777777" w:rsidR="006B1DE8" w:rsidRPr="008A2C89" w:rsidRDefault="006B1DE8" w:rsidP="006B1DE8">
            <w:pPr>
              <w:spacing w:line="276" w:lineRule="auto"/>
              <w:rPr>
                <w:rFonts w:eastAsia="Calibri"/>
                <w:sz w:val="22"/>
                <w:szCs w:val="22"/>
                <w:lang w:val="en-GB"/>
              </w:rPr>
            </w:pPr>
          </w:p>
        </w:tc>
      </w:tr>
      <w:tr w:rsidR="006B1DE8" w:rsidRPr="008A2C89" w14:paraId="183CFC13"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FE09B55"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Pojačano suzenje</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6B407AA"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25 (7.2)</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396BAEF"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88E22D1"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2 (1.2)</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FDA640D"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r>
      <w:tr w:rsidR="006B1DE8" w:rsidRPr="008A2C89" w14:paraId="412F4B7E"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69F24F7"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Zamagljen vid</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259FD2F"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24 (7.0)</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152CBD0"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061DF4D"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3 (1.7)</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5C066AA"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r>
      <w:tr w:rsidR="006B1DE8" w:rsidRPr="008A2C89" w14:paraId="5453729F"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E700268"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Suvoća oka</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A191D42"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15 (4.3)</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0843FC5"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C8F5DC2"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3 (1.7)</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30C9240"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r>
      <w:tr w:rsidR="006B1DE8" w:rsidRPr="008A2C89" w14:paraId="49546F4A" w14:textId="77777777" w:rsidTr="006B1DE8">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06121A5" w14:textId="77777777" w:rsidR="006B1DE8" w:rsidRPr="008A2C89" w:rsidRDefault="006B1DE8" w:rsidP="006B1DE8">
            <w:pPr>
              <w:spacing w:line="276" w:lineRule="auto"/>
              <w:rPr>
                <w:rFonts w:eastAsia="Calibri"/>
                <w:sz w:val="22"/>
                <w:szCs w:val="22"/>
                <w:lang w:val="en-GB"/>
              </w:rPr>
            </w:pPr>
            <w:r w:rsidRPr="008A2C89">
              <w:rPr>
                <w:rFonts w:eastAsia="Calibri"/>
                <w:b/>
                <w:bCs/>
                <w:sz w:val="22"/>
                <w:szCs w:val="22"/>
                <w:lang w:val="en-GB"/>
              </w:rPr>
              <w:lastRenderedPageBreak/>
              <w:t>Respiratorni, torakalni i mediastinalni poremećaji</w:t>
            </w:r>
          </w:p>
        </w:tc>
      </w:tr>
      <w:tr w:rsidR="006B1DE8" w:rsidRPr="008A2C89" w14:paraId="396426BC"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73E3423" w14:textId="77777777" w:rsidR="006B1DE8" w:rsidRPr="008A2C89" w:rsidRDefault="006B1DE8" w:rsidP="006B1DE8">
            <w:pPr>
              <w:spacing w:line="276" w:lineRule="auto"/>
              <w:rPr>
                <w:rFonts w:eastAsia="Calibri"/>
                <w:i/>
                <w:sz w:val="22"/>
                <w:szCs w:val="22"/>
                <w:lang w:val="en-GB"/>
              </w:rPr>
            </w:pPr>
            <w:r w:rsidRPr="008A2C89">
              <w:rPr>
                <w:rFonts w:eastAsia="Calibri"/>
                <w:i/>
                <w:sz w:val="22"/>
                <w:szCs w:val="22"/>
                <w:lang w:val="en-GB"/>
              </w:rPr>
              <w:t>Često</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862FCC8"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88844DF"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EC6EC0A" w14:textId="77777777" w:rsidR="006B1DE8" w:rsidRPr="008A2C89" w:rsidRDefault="006B1DE8" w:rsidP="006B1DE8">
            <w:pPr>
              <w:spacing w:line="276" w:lineRule="auto"/>
              <w:rPr>
                <w:rFonts w:eastAsia="Calibri"/>
                <w:sz w:val="22"/>
                <w:szCs w:val="22"/>
                <w:lang w:val="en-GB"/>
              </w:rPr>
            </w:pP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05A0AFC" w14:textId="77777777" w:rsidR="006B1DE8" w:rsidRPr="008A2C89" w:rsidRDefault="006B1DE8" w:rsidP="006B1DE8">
            <w:pPr>
              <w:spacing w:line="276" w:lineRule="auto"/>
              <w:rPr>
                <w:rFonts w:eastAsia="Calibri"/>
                <w:sz w:val="22"/>
                <w:szCs w:val="22"/>
                <w:lang w:val="en-GB"/>
              </w:rPr>
            </w:pPr>
          </w:p>
        </w:tc>
      </w:tr>
      <w:tr w:rsidR="006B1DE8" w:rsidRPr="008A2C89" w14:paraId="5EE775D6"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22ED52F"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Epistaksa</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9B55293"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25 (7.2)</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C2DBDD2"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1D81B20"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4 (2.3)</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A955B96"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r>
      <w:tr w:rsidR="006B1DE8" w:rsidRPr="008A2C89" w14:paraId="5932769B" w14:textId="77777777" w:rsidTr="006B1DE8">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0A0859B" w14:textId="77777777" w:rsidR="006B1DE8" w:rsidRPr="008A2C89" w:rsidRDefault="006B1DE8" w:rsidP="006B1DE8">
            <w:pPr>
              <w:spacing w:line="276" w:lineRule="auto"/>
              <w:rPr>
                <w:rFonts w:eastAsia="Calibri"/>
                <w:sz w:val="22"/>
                <w:szCs w:val="22"/>
                <w:lang w:val="en-GB"/>
              </w:rPr>
            </w:pPr>
            <w:r w:rsidRPr="008A2C89">
              <w:rPr>
                <w:rFonts w:eastAsia="Calibri"/>
                <w:b/>
                <w:bCs/>
                <w:sz w:val="22"/>
                <w:szCs w:val="22"/>
                <w:lang w:val="en-GB"/>
              </w:rPr>
              <w:t>Gastrointestinalni poremećaji</w:t>
            </w:r>
          </w:p>
        </w:tc>
      </w:tr>
      <w:tr w:rsidR="006B1DE8" w:rsidRPr="008A2C89" w14:paraId="35274D5A"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FFCF657" w14:textId="77777777" w:rsidR="006B1DE8" w:rsidRPr="008A2C89" w:rsidRDefault="006B1DE8" w:rsidP="006B1DE8">
            <w:pPr>
              <w:spacing w:line="276" w:lineRule="auto"/>
              <w:rPr>
                <w:rFonts w:eastAsia="Calibri"/>
                <w:sz w:val="22"/>
                <w:szCs w:val="22"/>
                <w:lang w:val="en-GB"/>
              </w:rPr>
            </w:pPr>
            <w:r w:rsidRPr="008A2C89">
              <w:rPr>
                <w:rFonts w:eastAsia="Calibri"/>
                <w:i/>
                <w:iCs/>
                <w:sz w:val="22"/>
                <w:szCs w:val="22"/>
                <w:lang w:val="en-GB"/>
              </w:rPr>
              <w:t>Veoma često</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683663C"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9F5E4BD"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954F171" w14:textId="77777777" w:rsidR="006B1DE8" w:rsidRPr="008A2C89" w:rsidRDefault="006B1DE8" w:rsidP="006B1DE8">
            <w:pPr>
              <w:spacing w:line="276" w:lineRule="auto"/>
              <w:rPr>
                <w:rFonts w:eastAsia="Calibri"/>
                <w:sz w:val="22"/>
                <w:szCs w:val="22"/>
                <w:lang w:val="en-GB"/>
              </w:rPr>
            </w:pP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ABF3A2B" w14:textId="77777777" w:rsidR="006B1DE8" w:rsidRPr="008A2C89" w:rsidRDefault="006B1DE8" w:rsidP="006B1DE8">
            <w:pPr>
              <w:spacing w:line="276" w:lineRule="auto"/>
              <w:rPr>
                <w:rFonts w:eastAsia="Calibri"/>
                <w:sz w:val="22"/>
                <w:szCs w:val="22"/>
                <w:lang w:val="en-GB"/>
              </w:rPr>
            </w:pPr>
          </w:p>
        </w:tc>
      </w:tr>
      <w:tr w:rsidR="006B1DE8" w:rsidRPr="008A2C89" w14:paraId="107BA790"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FCF4558"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Mučnina</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DA41E08" w14:textId="77777777" w:rsidR="006B1DE8" w:rsidRPr="008A2C89" w:rsidRDefault="006B1DE8" w:rsidP="006B1DE8">
            <w:pPr>
              <w:spacing w:after="160" w:line="259" w:lineRule="auto"/>
              <w:jc w:val="center"/>
              <w:rPr>
                <w:rFonts w:eastAsiaTheme="minorHAnsi"/>
                <w:sz w:val="22"/>
                <w:szCs w:val="22"/>
              </w:rPr>
            </w:pPr>
            <w:r w:rsidRPr="008A2C89">
              <w:rPr>
                <w:rFonts w:eastAsiaTheme="minorHAnsi"/>
                <w:sz w:val="22"/>
                <w:szCs w:val="22"/>
              </w:rPr>
              <w:t>124 (35.9)</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C20E34F" w14:textId="00B70805" w:rsidR="006B1DE8" w:rsidRPr="008A2C89" w:rsidRDefault="008E4AF5" w:rsidP="006B1DE8">
            <w:pPr>
              <w:spacing w:after="160" w:line="259" w:lineRule="auto"/>
              <w:jc w:val="center"/>
              <w:rPr>
                <w:rFonts w:eastAsiaTheme="minorHAnsi"/>
                <w:sz w:val="22"/>
                <w:szCs w:val="22"/>
              </w:rPr>
            </w:pPr>
            <w:r>
              <w:rPr>
                <w:rFonts w:eastAsiaTheme="minorHAnsi"/>
                <w:sz w:val="22"/>
                <w:szCs w:val="22"/>
              </w:rPr>
              <w:t>2 (0.6)</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4BD35B3" w14:textId="08BB486A" w:rsidR="006B1DE8" w:rsidRPr="008A2C89" w:rsidRDefault="008E4AF5" w:rsidP="006B1DE8">
            <w:pPr>
              <w:spacing w:after="160" w:line="259" w:lineRule="auto"/>
              <w:jc w:val="center"/>
              <w:rPr>
                <w:rFonts w:eastAsiaTheme="minorHAnsi"/>
                <w:sz w:val="22"/>
                <w:szCs w:val="22"/>
              </w:rPr>
            </w:pPr>
            <w:r>
              <w:rPr>
                <w:rFonts w:eastAsiaTheme="minorHAnsi"/>
                <w:sz w:val="22"/>
                <w:szCs w:val="22"/>
              </w:rPr>
              <w:t>53 (30.8)</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9C1F25D" w14:textId="13D5BE83" w:rsidR="006B1DE8" w:rsidRPr="008A2C89" w:rsidRDefault="008E4AF5" w:rsidP="006B1DE8">
            <w:pPr>
              <w:spacing w:after="160" w:line="259" w:lineRule="auto"/>
              <w:jc w:val="center"/>
              <w:rPr>
                <w:rFonts w:eastAsiaTheme="minorHAnsi"/>
                <w:sz w:val="22"/>
                <w:szCs w:val="22"/>
              </w:rPr>
            </w:pPr>
            <w:r>
              <w:rPr>
                <w:rFonts w:eastAsiaTheme="minorHAnsi"/>
                <w:sz w:val="22"/>
                <w:szCs w:val="22"/>
              </w:rPr>
              <w:t>1 (0.6)</w:t>
            </w:r>
          </w:p>
        </w:tc>
      </w:tr>
      <w:tr w:rsidR="006B1DE8" w:rsidRPr="008A2C89" w14:paraId="33ECBA14"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2D8079E"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Stomatitis</w:t>
            </w:r>
            <w:r w:rsidRPr="008A2C89">
              <w:rPr>
                <w:rFonts w:eastAsia="Calibri"/>
                <w:sz w:val="22"/>
                <w:szCs w:val="22"/>
                <w:vertAlign w:val="superscript"/>
                <w:lang w:val="en-GB"/>
              </w:rPr>
              <w:t>g</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4A91D1A" w14:textId="77777777" w:rsidR="006B1DE8" w:rsidRPr="008A2C89" w:rsidRDefault="006B1DE8" w:rsidP="006B1DE8">
            <w:pPr>
              <w:spacing w:after="160" w:line="259" w:lineRule="auto"/>
              <w:jc w:val="center"/>
              <w:rPr>
                <w:rFonts w:eastAsiaTheme="minorHAnsi"/>
                <w:sz w:val="22"/>
                <w:szCs w:val="22"/>
              </w:rPr>
            </w:pPr>
            <w:r w:rsidRPr="008A2C89">
              <w:rPr>
                <w:rFonts w:eastAsiaTheme="minorHAnsi"/>
                <w:sz w:val="22"/>
                <w:szCs w:val="22"/>
              </w:rPr>
              <w:t>104 (30.1)</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6CE4D14" w14:textId="09FA68D2" w:rsidR="006B1DE8" w:rsidRPr="008A2C89" w:rsidRDefault="008E4AF5" w:rsidP="006B1DE8">
            <w:pPr>
              <w:spacing w:after="160" w:line="259" w:lineRule="auto"/>
              <w:jc w:val="center"/>
              <w:rPr>
                <w:rFonts w:eastAsiaTheme="minorHAnsi"/>
                <w:sz w:val="22"/>
                <w:szCs w:val="22"/>
              </w:rPr>
            </w:pPr>
            <w:r>
              <w:rPr>
                <w:rFonts w:eastAsiaTheme="minorHAnsi"/>
                <w:sz w:val="22"/>
                <w:szCs w:val="22"/>
              </w:rPr>
              <w:t>3 (0.9)</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36FE1E9" w14:textId="6693E51D" w:rsidR="006B1DE8" w:rsidRPr="008A2C89" w:rsidRDefault="008E4AF5" w:rsidP="006B1DE8">
            <w:pPr>
              <w:spacing w:after="160" w:line="259" w:lineRule="auto"/>
              <w:jc w:val="center"/>
              <w:rPr>
                <w:rFonts w:eastAsiaTheme="minorHAnsi"/>
                <w:sz w:val="22"/>
                <w:szCs w:val="22"/>
              </w:rPr>
            </w:pPr>
            <w:r>
              <w:rPr>
                <w:rFonts w:eastAsiaTheme="minorHAnsi"/>
                <w:sz w:val="22"/>
                <w:szCs w:val="22"/>
              </w:rPr>
              <w:t>24 (14.0)</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63AAC32" w14:textId="52C98128" w:rsidR="006B1DE8" w:rsidRPr="008A2C89" w:rsidRDefault="008E4AF5" w:rsidP="006B1DE8">
            <w:pPr>
              <w:spacing w:after="160" w:line="259" w:lineRule="auto"/>
              <w:jc w:val="center"/>
              <w:rPr>
                <w:rFonts w:eastAsiaTheme="minorHAnsi"/>
                <w:sz w:val="22"/>
                <w:szCs w:val="22"/>
              </w:rPr>
            </w:pPr>
            <w:r>
              <w:rPr>
                <w:rFonts w:eastAsiaTheme="minorHAnsi"/>
                <w:sz w:val="22"/>
                <w:szCs w:val="22"/>
              </w:rPr>
              <w:t>0</w:t>
            </w:r>
          </w:p>
        </w:tc>
      </w:tr>
      <w:tr w:rsidR="006B1DE8" w:rsidRPr="008A2C89" w14:paraId="40ADD6E7"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BAB68C9"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Dijareja</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9DFA07E" w14:textId="77777777" w:rsidR="006B1DE8" w:rsidRPr="008A2C89" w:rsidRDefault="006B1DE8" w:rsidP="006B1DE8">
            <w:pPr>
              <w:spacing w:after="160" w:line="259" w:lineRule="auto"/>
              <w:jc w:val="center"/>
              <w:rPr>
                <w:rFonts w:eastAsiaTheme="minorHAnsi"/>
                <w:sz w:val="22"/>
                <w:szCs w:val="22"/>
              </w:rPr>
            </w:pPr>
            <w:r w:rsidRPr="008A2C89">
              <w:rPr>
                <w:rFonts w:eastAsiaTheme="minorHAnsi"/>
                <w:sz w:val="22"/>
                <w:szCs w:val="22"/>
              </w:rPr>
              <w:t>94 (27.2)</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31CC177" w14:textId="176CC82E" w:rsidR="006B1DE8" w:rsidRPr="008A2C89" w:rsidRDefault="008E4AF5" w:rsidP="006B1DE8">
            <w:pPr>
              <w:spacing w:after="160" w:line="259" w:lineRule="auto"/>
              <w:jc w:val="center"/>
              <w:rPr>
                <w:rFonts w:eastAsiaTheme="minorHAnsi"/>
                <w:sz w:val="22"/>
                <w:szCs w:val="22"/>
              </w:rPr>
            </w:pPr>
            <w:r>
              <w:rPr>
                <w:rFonts w:eastAsiaTheme="minorHAnsi"/>
                <w:sz w:val="22"/>
                <w:szCs w:val="22"/>
              </w:rPr>
              <w:t>0</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136B4D7" w14:textId="661EA159" w:rsidR="006B1DE8" w:rsidRPr="008A2C89" w:rsidRDefault="008E4AF5" w:rsidP="006B1DE8">
            <w:pPr>
              <w:spacing w:after="160" w:line="259" w:lineRule="auto"/>
              <w:jc w:val="center"/>
              <w:rPr>
                <w:rFonts w:eastAsiaTheme="minorHAnsi"/>
                <w:sz w:val="22"/>
                <w:szCs w:val="22"/>
              </w:rPr>
            </w:pPr>
            <w:r>
              <w:rPr>
                <w:rFonts w:eastAsiaTheme="minorHAnsi"/>
                <w:sz w:val="22"/>
                <w:szCs w:val="22"/>
              </w:rPr>
              <w:t xml:space="preserve">35 </w:t>
            </w:r>
            <w:r w:rsidR="006B1DE8" w:rsidRPr="008A2C89">
              <w:rPr>
                <w:rFonts w:eastAsiaTheme="minorHAnsi"/>
                <w:sz w:val="22"/>
                <w:szCs w:val="22"/>
              </w:rPr>
              <w:t>(2</w:t>
            </w:r>
            <w:r>
              <w:rPr>
                <w:rFonts w:eastAsiaTheme="minorHAnsi"/>
                <w:sz w:val="22"/>
                <w:szCs w:val="22"/>
              </w:rPr>
              <w:t>0</w:t>
            </w:r>
            <w:r w:rsidR="006B1DE8" w:rsidRPr="008A2C89">
              <w:rPr>
                <w:rFonts w:eastAsiaTheme="minorHAnsi"/>
                <w:sz w:val="22"/>
                <w:szCs w:val="22"/>
              </w:rPr>
              <w:t>.</w:t>
            </w:r>
            <w:r>
              <w:rPr>
                <w:rFonts w:eastAsiaTheme="minorHAnsi"/>
                <w:sz w:val="22"/>
                <w:szCs w:val="22"/>
              </w:rPr>
              <w:t>3</w:t>
            </w:r>
            <w:r w:rsidR="006B1DE8" w:rsidRPr="008A2C89">
              <w:rPr>
                <w:rFonts w:eastAsiaTheme="minorHAnsi"/>
                <w:sz w:val="22"/>
                <w:szCs w:val="22"/>
              </w:rPr>
              <w:t>)</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AC4884D" w14:textId="4020C3E0" w:rsidR="006B1DE8" w:rsidRPr="008A2C89" w:rsidRDefault="008E4AF5" w:rsidP="006B1DE8">
            <w:pPr>
              <w:spacing w:after="160" w:line="259" w:lineRule="auto"/>
              <w:jc w:val="center"/>
              <w:rPr>
                <w:rFonts w:eastAsiaTheme="minorHAnsi"/>
                <w:sz w:val="22"/>
                <w:szCs w:val="22"/>
              </w:rPr>
            </w:pPr>
            <w:r>
              <w:rPr>
                <w:rFonts w:eastAsiaTheme="minorHAnsi"/>
                <w:sz w:val="22"/>
                <w:szCs w:val="22"/>
              </w:rPr>
              <w:t>2 (1.2)</w:t>
            </w:r>
          </w:p>
        </w:tc>
      </w:tr>
      <w:tr w:rsidR="006B1DE8" w:rsidRPr="008A2C89" w14:paraId="7D74066A"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81A2918"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Povraćanje</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EA75B01" w14:textId="77777777" w:rsidR="006B1DE8" w:rsidRPr="008A2C89" w:rsidRDefault="006B1DE8" w:rsidP="006B1DE8">
            <w:pPr>
              <w:spacing w:after="160" w:line="259" w:lineRule="auto"/>
              <w:jc w:val="center"/>
              <w:rPr>
                <w:rFonts w:eastAsiaTheme="minorHAnsi"/>
                <w:sz w:val="22"/>
                <w:szCs w:val="22"/>
              </w:rPr>
            </w:pPr>
            <w:r w:rsidRPr="008A2C89">
              <w:rPr>
                <w:rFonts w:eastAsiaTheme="minorHAnsi"/>
                <w:sz w:val="22"/>
                <w:szCs w:val="22"/>
              </w:rPr>
              <w:t>75 (21.7)</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55B14AD" w14:textId="44073B78" w:rsidR="006B1DE8" w:rsidRPr="008A2C89" w:rsidRDefault="008E4AF5" w:rsidP="006B1DE8">
            <w:pPr>
              <w:spacing w:after="160" w:line="259" w:lineRule="auto"/>
              <w:jc w:val="center"/>
              <w:rPr>
                <w:rFonts w:eastAsiaTheme="minorHAnsi"/>
                <w:sz w:val="22"/>
                <w:szCs w:val="22"/>
              </w:rPr>
            </w:pPr>
            <w:r>
              <w:rPr>
                <w:rFonts w:eastAsiaTheme="minorHAnsi"/>
                <w:sz w:val="22"/>
                <w:szCs w:val="22"/>
              </w:rPr>
              <w:t>2 (0.6)</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234E620" w14:textId="548D4C6D" w:rsidR="006B1DE8" w:rsidRPr="008A2C89" w:rsidRDefault="008E4AF5" w:rsidP="006B1DE8">
            <w:pPr>
              <w:spacing w:after="160" w:line="259" w:lineRule="auto"/>
              <w:jc w:val="center"/>
              <w:rPr>
                <w:rFonts w:eastAsiaTheme="minorHAnsi"/>
                <w:sz w:val="22"/>
                <w:szCs w:val="22"/>
              </w:rPr>
            </w:pPr>
            <w:r>
              <w:rPr>
                <w:rFonts w:eastAsiaTheme="minorHAnsi"/>
                <w:sz w:val="22"/>
                <w:szCs w:val="22"/>
              </w:rPr>
              <w:t>28</w:t>
            </w:r>
            <w:r w:rsidRPr="008A2C89">
              <w:rPr>
                <w:rFonts w:eastAsiaTheme="minorHAnsi"/>
                <w:sz w:val="22"/>
                <w:szCs w:val="22"/>
              </w:rPr>
              <w:t xml:space="preserve"> </w:t>
            </w:r>
            <w:r w:rsidR="006B1DE8" w:rsidRPr="008A2C89">
              <w:rPr>
                <w:rFonts w:eastAsiaTheme="minorHAnsi"/>
                <w:sz w:val="22"/>
                <w:szCs w:val="22"/>
              </w:rPr>
              <w:t>(</w:t>
            </w:r>
            <w:r>
              <w:rPr>
                <w:rFonts w:eastAsiaTheme="minorHAnsi"/>
                <w:sz w:val="22"/>
                <w:szCs w:val="22"/>
              </w:rPr>
              <w:t>16</w:t>
            </w:r>
            <w:r w:rsidR="006B1DE8" w:rsidRPr="008A2C89">
              <w:rPr>
                <w:rFonts w:eastAsiaTheme="minorHAnsi"/>
                <w:sz w:val="22"/>
                <w:szCs w:val="22"/>
              </w:rPr>
              <w:t>.</w:t>
            </w:r>
            <w:r>
              <w:rPr>
                <w:rFonts w:eastAsiaTheme="minorHAnsi"/>
                <w:sz w:val="22"/>
                <w:szCs w:val="22"/>
              </w:rPr>
              <w:t>3</w:t>
            </w:r>
            <w:r w:rsidR="006B1DE8" w:rsidRPr="008A2C89">
              <w:rPr>
                <w:rFonts w:eastAsiaTheme="minorHAnsi"/>
                <w:sz w:val="22"/>
                <w:szCs w:val="22"/>
              </w:rPr>
              <w:t>)</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26D12B9" w14:textId="4BB9C764" w:rsidR="006B1DE8" w:rsidRPr="008A2C89" w:rsidRDefault="008E4AF5" w:rsidP="006B1DE8">
            <w:pPr>
              <w:spacing w:after="160" w:line="259" w:lineRule="auto"/>
              <w:jc w:val="center"/>
              <w:rPr>
                <w:rFonts w:eastAsiaTheme="minorHAnsi"/>
                <w:sz w:val="22"/>
                <w:szCs w:val="22"/>
              </w:rPr>
            </w:pPr>
            <w:r>
              <w:rPr>
                <w:rFonts w:eastAsiaTheme="minorHAnsi"/>
                <w:sz w:val="22"/>
                <w:szCs w:val="22"/>
              </w:rPr>
              <w:t>1 (0,6)</w:t>
            </w:r>
          </w:p>
        </w:tc>
      </w:tr>
      <w:tr w:rsidR="006B1DE8" w:rsidRPr="008A2C89" w14:paraId="60544C50" w14:textId="77777777" w:rsidTr="006B1DE8">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7270E16" w14:textId="77777777" w:rsidR="006B1DE8" w:rsidRPr="008A2C89" w:rsidRDefault="006B1DE8" w:rsidP="006B1DE8">
            <w:pPr>
              <w:spacing w:line="276" w:lineRule="auto"/>
              <w:rPr>
                <w:rFonts w:eastAsia="Calibri"/>
                <w:sz w:val="22"/>
                <w:szCs w:val="22"/>
                <w:lang w:val="en-GB"/>
              </w:rPr>
            </w:pPr>
            <w:r w:rsidRPr="008A2C89">
              <w:rPr>
                <w:rFonts w:eastAsia="Calibri"/>
                <w:b/>
                <w:bCs/>
                <w:sz w:val="22"/>
                <w:szCs w:val="22"/>
                <w:lang w:val="en-GB"/>
              </w:rPr>
              <w:t>Poremećaji kože i potkožnog tkiva</w:t>
            </w:r>
          </w:p>
        </w:tc>
      </w:tr>
      <w:tr w:rsidR="006B1DE8" w:rsidRPr="008A2C89" w14:paraId="1C281208"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D008F9A" w14:textId="77777777" w:rsidR="006B1DE8" w:rsidRPr="008A2C89" w:rsidRDefault="006B1DE8" w:rsidP="006B1DE8">
            <w:pPr>
              <w:spacing w:line="276" w:lineRule="auto"/>
              <w:rPr>
                <w:rFonts w:eastAsia="Calibri"/>
                <w:sz w:val="22"/>
                <w:szCs w:val="22"/>
                <w:lang w:val="en-GB"/>
              </w:rPr>
            </w:pPr>
            <w:r w:rsidRPr="008A2C89">
              <w:rPr>
                <w:rFonts w:eastAsia="Calibri"/>
                <w:i/>
                <w:iCs/>
                <w:sz w:val="22"/>
                <w:szCs w:val="22"/>
                <w:lang w:val="en-GB"/>
              </w:rPr>
              <w:t>Veoma često</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991C80F" w14:textId="77777777" w:rsidR="006B1DE8" w:rsidRPr="008A2C89" w:rsidRDefault="006B1DE8" w:rsidP="006B1DE8">
            <w:pPr>
              <w:spacing w:line="276" w:lineRule="auto"/>
              <w:rPr>
                <w:rFonts w:eastAsia="Calibri"/>
                <w:sz w:val="22"/>
                <w:szCs w:val="22"/>
                <w:u w:val="single"/>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8B4BB5F" w14:textId="77777777" w:rsidR="006B1DE8" w:rsidRPr="008A2C89" w:rsidRDefault="006B1DE8" w:rsidP="006B1DE8">
            <w:pPr>
              <w:spacing w:line="276" w:lineRule="auto"/>
              <w:rPr>
                <w:rFonts w:eastAsia="Calibri"/>
                <w:sz w:val="22"/>
                <w:szCs w:val="22"/>
                <w:u w:val="single"/>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884EFC6" w14:textId="77777777" w:rsidR="006B1DE8" w:rsidRPr="008A2C89" w:rsidRDefault="006B1DE8" w:rsidP="006B1DE8">
            <w:pPr>
              <w:spacing w:line="276" w:lineRule="auto"/>
              <w:rPr>
                <w:rFonts w:eastAsia="Calibri"/>
                <w:sz w:val="22"/>
                <w:szCs w:val="22"/>
                <w:u w:val="single"/>
                <w:lang w:val="en-GB"/>
              </w:rPr>
            </w:pP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EEF449D" w14:textId="77777777" w:rsidR="006B1DE8" w:rsidRPr="008A2C89" w:rsidRDefault="006B1DE8" w:rsidP="006B1DE8">
            <w:pPr>
              <w:spacing w:line="276" w:lineRule="auto"/>
              <w:rPr>
                <w:rFonts w:eastAsia="Calibri"/>
                <w:sz w:val="22"/>
                <w:szCs w:val="22"/>
                <w:u w:val="single"/>
                <w:lang w:val="en-GB"/>
              </w:rPr>
            </w:pPr>
          </w:p>
        </w:tc>
      </w:tr>
      <w:tr w:rsidR="006B1DE8" w:rsidRPr="008A2C89" w14:paraId="0FFE8C41"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8486BF6"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Alopecija</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D6298E8"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67 (19.4)</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A90BC45"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NP</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D93818D"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11 (6.4)</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EDDD9F0"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NP</w:t>
            </w:r>
          </w:p>
        </w:tc>
      </w:tr>
      <w:tr w:rsidR="006B1DE8" w:rsidRPr="008A2C89" w14:paraId="1457B9CD"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35758B4"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Osip</w:t>
            </w:r>
            <w:r w:rsidRPr="008A2C89">
              <w:rPr>
                <w:rFonts w:eastAsia="Calibri"/>
                <w:sz w:val="22"/>
                <w:szCs w:val="22"/>
                <w:vertAlign w:val="superscript"/>
                <w:lang w:val="en-GB"/>
              </w:rPr>
              <w:t>h</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8F2C8FC"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63 (18.3)</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5152BFC"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3 (0.9)</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845447B"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10 (5.8)</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460E5AC"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r>
      <w:tr w:rsidR="006B1DE8" w:rsidRPr="008A2C89" w14:paraId="6F2538D9"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47F9770" w14:textId="77777777" w:rsidR="006B1DE8" w:rsidRPr="008A2C89" w:rsidRDefault="006B1DE8" w:rsidP="006B1DE8">
            <w:pPr>
              <w:spacing w:line="276" w:lineRule="auto"/>
              <w:rPr>
                <w:rFonts w:eastAsia="Calibri"/>
                <w:i/>
                <w:sz w:val="22"/>
                <w:szCs w:val="22"/>
                <w:lang w:val="en-GB"/>
              </w:rPr>
            </w:pPr>
            <w:r w:rsidRPr="008A2C89">
              <w:rPr>
                <w:rFonts w:eastAsia="Calibri"/>
                <w:i/>
                <w:sz w:val="22"/>
                <w:szCs w:val="22"/>
                <w:lang w:val="en-GB"/>
              </w:rPr>
              <w:t>Često</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DE14C60" w14:textId="77777777" w:rsidR="006B1DE8" w:rsidRPr="008A2C89" w:rsidRDefault="006B1DE8" w:rsidP="006B1DE8">
            <w:pPr>
              <w:spacing w:line="276" w:lineRule="auto"/>
              <w:jc w:val="center"/>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73BCA8E" w14:textId="77777777" w:rsidR="006B1DE8" w:rsidRPr="008A2C89" w:rsidRDefault="006B1DE8" w:rsidP="006B1DE8">
            <w:pPr>
              <w:spacing w:line="276" w:lineRule="auto"/>
              <w:jc w:val="center"/>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BD66E99" w14:textId="77777777" w:rsidR="006B1DE8" w:rsidRPr="008A2C89" w:rsidRDefault="006B1DE8" w:rsidP="006B1DE8">
            <w:pPr>
              <w:spacing w:line="276" w:lineRule="auto"/>
              <w:jc w:val="center"/>
              <w:rPr>
                <w:rFonts w:eastAsia="Calibri"/>
                <w:sz w:val="22"/>
                <w:szCs w:val="22"/>
                <w:lang w:val="en-GB"/>
              </w:rPr>
            </w:pP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C5DA239" w14:textId="77777777" w:rsidR="006B1DE8" w:rsidRPr="008A2C89" w:rsidRDefault="006B1DE8" w:rsidP="006B1DE8">
            <w:pPr>
              <w:spacing w:line="276" w:lineRule="auto"/>
              <w:jc w:val="center"/>
              <w:rPr>
                <w:rFonts w:eastAsia="Calibri"/>
                <w:sz w:val="22"/>
                <w:szCs w:val="22"/>
                <w:lang w:val="en-GB"/>
              </w:rPr>
            </w:pPr>
          </w:p>
        </w:tc>
      </w:tr>
      <w:tr w:rsidR="006B1DE8" w:rsidRPr="008A2C89" w14:paraId="198D836E"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202DC5D"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Suva koža</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2CC9541"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28 (8.1)</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D86C4AB"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633ADBB"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3 (1.7)</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79CE86E"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r>
      <w:tr w:rsidR="006B1DE8" w:rsidRPr="008A2C89" w14:paraId="0FA73252" w14:textId="77777777" w:rsidTr="006B1DE8">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4F7C0AA" w14:textId="77777777" w:rsidR="006B1DE8" w:rsidRPr="008A2C89" w:rsidRDefault="006B1DE8" w:rsidP="006B1DE8">
            <w:pPr>
              <w:spacing w:line="276" w:lineRule="auto"/>
              <w:rPr>
                <w:rFonts w:eastAsia="Calibri"/>
                <w:sz w:val="22"/>
                <w:szCs w:val="22"/>
                <w:lang w:val="en-GB"/>
              </w:rPr>
            </w:pPr>
            <w:r w:rsidRPr="008A2C89">
              <w:rPr>
                <w:rFonts w:eastAsia="Calibri"/>
                <w:b/>
                <w:bCs/>
                <w:sz w:val="22"/>
                <w:szCs w:val="22"/>
                <w:lang w:val="en-GB"/>
              </w:rPr>
              <w:t xml:space="preserve">Opšti poremećaji i rekacije na mjestu primjene </w:t>
            </w:r>
          </w:p>
        </w:tc>
      </w:tr>
      <w:tr w:rsidR="006B1DE8" w:rsidRPr="008A2C89" w14:paraId="2CC90184"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C42313C" w14:textId="77777777" w:rsidR="006B1DE8" w:rsidRPr="008A2C89" w:rsidRDefault="006B1DE8" w:rsidP="006B1DE8">
            <w:pPr>
              <w:spacing w:line="276" w:lineRule="auto"/>
              <w:rPr>
                <w:rFonts w:eastAsia="Calibri"/>
                <w:sz w:val="22"/>
                <w:szCs w:val="22"/>
                <w:lang w:val="en-GB"/>
              </w:rPr>
            </w:pPr>
            <w:r w:rsidRPr="008A2C89">
              <w:rPr>
                <w:rFonts w:eastAsia="Calibri"/>
                <w:i/>
                <w:iCs/>
                <w:sz w:val="22"/>
                <w:szCs w:val="22"/>
                <w:lang w:val="en-GB"/>
              </w:rPr>
              <w:t>Veoma često</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2677C2D"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71398B9"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5D6CAE5" w14:textId="77777777" w:rsidR="006B1DE8" w:rsidRPr="008A2C89" w:rsidRDefault="006B1DE8" w:rsidP="006B1DE8">
            <w:pPr>
              <w:spacing w:line="276" w:lineRule="auto"/>
              <w:rPr>
                <w:rFonts w:eastAsia="Calibri"/>
                <w:sz w:val="22"/>
                <w:szCs w:val="22"/>
                <w:lang w:val="en-GB"/>
              </w:rPr>
            </w:pP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C329D4B" w14:textId="77777777" w:rsidR="006B1DE8" w:rsidRPr="008A2C89" w:rsidRDefault="006B1DE8" w:rsidP="006B1DE8">
            <w:pPr>
              <w:spacing w:line="276" w:lineRule="auto"/>
              <w:rPr>
                <w:rFonts w:eastAsia="Calibri"/>
                <w:sz w:val="22"/>
                <w:szCs w:val="22"/>
                <w:lang w:val="en-GB"/>
              </w:rPr>
            </w:pPr>
          </w:p>
        </w:tc>
      </w:tr>
      <w:tr w:rsidR="006B1DE8" w:rsidRPr="008A2C89" w14:paraId="7FE4CB5F"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64BF26E"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 xml:space="preserve">Umor </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AA038C2"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152 (44.1)</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FAE394E"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9 (2.6)</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9D91C1C"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54 (31.4)</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9182F8C"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2 (1.2)</w:t>
            </w:r>
          </w:p>
        </w:tc>
      </w:tr>
      <w:tr w:rsidR="006B1DE8" w:rsidRPr="008A2C89" w14:paraId="6CCA5E57"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75B0097"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Pireksija</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93244BF"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47 (13.6)</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8842D74"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1 (0.3)</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1D07B5A"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10 (5.8)</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6191F15"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0</w:t>
            </w:r>
          </w:p>
        </w:tc>
      </w:tr>
      <w:tr w:rsidR="006B1DE8" w:rsidRPr="008A2C89" w14:paraId="3155EE29"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A921728" w14:textId="77777777" w:rsidR="006B1DE8" w:rsidRPr="008A2C89" w:rsidRDefault="006B1DE8" w:rsidP="006B1DE8">
            <w:pPr>
              <w:spacing w:line="276" w:lineRule="auto"/>
              <w:rPr>
                <w:rFonts w:eastAsia="Calibri"/>
                <w:i/>
                <w:sz w:val="22"/>
                <w:szCs w:val="22"/>
                <w:lang w:val="en-GB"/>
              </w:rPr>
            </w:pPr>
            <w:r w:rsidRPr="008A2C89">
              <w:rPr>
                <w:rFonts w:eastAsia="Calibri"/>
                <w:i/>
                <w:sz w:val="22"/>
                <w:szCs w:val="22"/>
                <w:lang w:val="en-GB"/>
              </w:rPr>
              <w:t>Često</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18F3492" w14:textId="77777777" w:rsidR="006B1DE8" w:rsidRPr="008A2C89" w:rsidRDefault="006B1DE8" w:rsidP="006B1DE8">
            <w:pPr>
              <w:spacing w:line="276" w:lineRule="auto"/>
              <w:jc w:val="center"/>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DE0931E" w14:textId="77777777" w:rsidR="006B1DE8" w:rsidRPr="008A2C89" w:rsidRDefault="006B1DE8" w:rsidP="006B1DE8">
            <w:pPr>
              <w:spacing w:line="276" w:lineRule="auto"/>
              <w:jc w:val="center"/>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B78A3B8" w14:textId="77777777" w:rsidR="006B1DE8" w:rsidRPr="008A2C89" w:rsidRDefault="006B1DE8" w:rsidP="006B1DE8">
            <w:pPr>
              <w:spacing w:line="276" w:lineRule="auto"/>
              <w:jc w:val="center"/>
              <w:rPr>
                <w:rFonts w:eastAsia="Calibri"/>
                <w:sz w:val="22"/>
                <w:szCs w:val="22"/>
                <w:lang w:val="en-GB"/>
              </w:rPr>
            </w:pP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E2D77B2" w14:textId="77777777" w:rsidR="006B1DE8" w:rsidRPr="008A2C89" w:rsidRDefault="006B1DE8" w:rsidP="006B1DE8">
            <w:pPr>
              <w:spacing w:line="276" w:lineRule="auto"/>
              <w:jc w:val="center"/>
              <w:rPr>
                <w:rFonts w:eastAsia="Calibri"/>
                <w:sz w:val="22"/>
                <w:szCs w:val="22"/>
                <w:lang w:val="en-GB"/>
              </w:rPr>
            </w:pPr>
          </w:p>
        </w:tc>
      </w:tr>
      <w:tr w:rsidR="006B1DE8" w:rsidRPr="008A2C89" w14:paraId="569BB4F9"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89E7688"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Astenija</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2361EDE"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27 (7.8)</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14AEDDB"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1 (0.3)</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293E824"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13 (7.6)</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F3D881D"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2 (1.2)</w:t>
            </w:r>
          </w:p>
        </w:tc>
      </w:tr>
      <w:tr w:rsidR="006B1DE8" w:rsidRPr="008A2C89" w14:paraId="303E796F" w14:textId="77777777" w:rsidTr="006B1DE8">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E7A98A3" w14:textId="77777777" w:rsidR="006B1DE8" w:rsidRPr="008A2C89" w:rsidRDefault="006B1DE8" w:rsidP="006B1DE8">
            <w:pPr>
              <w:spacing w:line="276" w:lineRule="auto"/>
              <w:rPr>
                <w:rFonts w:eastAsia="Calibri"/>
                <w:sz w:val="22"/>
                <w:szCs w:val="22"/>
                <w:lang w:val="en-GB"/>
              </w:rPr>
            </w:pPr>
            <w:r w:rsidRPr="008A2C89">
              <w:rPr>
                <w:rFonts w:eastAsia="Calibri"/>
                <w:b/>
                <w:bCs/>
                <w:sz w:val="22"/>
                <w:szCs w:val="22"/>
                <w:lang w:val="en-GB"/>
              </w:rPr>
              <w:t>Ispitivanja</w:t>
            </w:r>
          </w:p>
        </w:tc>
      </w:tr>
      <w:tr w:rsidR="006B1DE8" w:rsidRPr="008A2C89" w14:paraId="445A851A"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7C57775" w14:textId="77777777" w:rsidR="006B1DE8" w:rsidRPr="008A2C89" w:rsidRDefault="006B1DE8" w:rsidP="006B1DE8">
            <w:pPr>
              <w:spacing w:line="276" w:lineRule="auto"/>
              <w:rPr>
                <w:rFonts w:eastAsia="Calibri"/>
                <w:i/>
                <w:sz w:val="22"/>
                <w:szCs w:val="22"/>
                <w:lang w:val="en-GB"/>
              </w:rPr>
            </w:pPr>
            <w:r w:rsidRPr="008A2C89">
              <w:rPr>
                <w:rFonts w:eastAsia="Calibri"/>
                <w:i/>
                <w:sz w:val="22"/>
                <w:szCs w:val="22"/>
                <w:lang w:val="en-GB"/>
              </w:rPr>
              <w:t>Veoma često</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D849F12"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3D727AC" w14:textId="77777777" w:rsidR="006B1DE8" w:rsidRPr="008A2C89" w:rsidRDefault="006B1DE8" w:rsidP="006B1DE8">
            <w:pPr>
              <w:spacing w:line="276" w:lineRule="auto"/>
              <w:rPr>
                <w:rFonts w:eastAsia="Calibri"/>
                <w:sz w:val="22"/>
                <w:szCs w:val="22"/>
                <w:lang w:val="en-GB"/>
              </w:rPr>
            </w:pP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0199273" w14:textId="77777777" w:rsidR="006B1DE8" w:rsidRPr="008A2C89" w:rsidRDefault="006B1DE8" w:rsidP="006B1DE8">
            <w:pPr>
              <w:spacing w:line="276" w:lineRule="auto"/>
              <w:rPr>
                <w:rFonts w:eastAsia="Calibri"/>
                <w:sz w:val="22"/>
                <w:szCs w:val="22"/>
                <w:lang w:val="en-GB"/>
              </w:rPr>
            </w:pP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01442FC" w14:textId="77777777" w:rsidR="006B1DE8" w:rsidRPr="008A2C89" w:rsidRDefault="006B1DE8" w:rsidP="006B1DE8">
            <w:pPr>
              <w:spacing w:line="276" w:lineRule="auto"/>
              <w:rPr>
                <w:rFonts w:eastAsia="Calibri"/>
                <w:sz w:val="22"/>
                <w:szCs w:val="22"/>
                <w:lang w:val="en-GB"/>
              </w:rPr>
            </w:pPr>
          </w:p>
        </w:tc>
      </w:tr>
      <w:tr w:rsidR="006B1DE8" w:rsidRPr="008A2C89" w14:paraId="2E541B61"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FB12231"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Povišen AST</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9799349"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40 (11.6)</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814170F"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11 (3.2)</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5C5757C"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13 (7.6)</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3390A7D"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4 (2.3)</w:t>
            </w:r>
          </w:p>
        </w:tc>
      </w:tr>
      <w:tr w:rsidR="006B1DE8" w:rsidRPr="008A2C89" w14:paraId="47D7C47F"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tcPr>
          <w:p w14:paraId="6BAB1407"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Često</w:t>
            </w:r>
          </w:p>
        </w:tc>
        <w:tc>
          <w:tcPr>
            <w:tcW w:w="3128" w:type="pct"/>
            <w:gridSpan w:val="4"/>
            <w:tcBorders>
              <w:top w:val="outset" w:sz="6" w:space="0" w:color="7B7B7B"/>
              <w:left w:val="outset" w:sz="6" w:space="0" w:color="7B7B7B"/>
              <w:bottom w:val="outset" w:sz="6" w:space="0" w:color="7B7B7B"/>
              <w:right w:val="outset" w:sz="6" w:space="0" w:color="7B7B7B"/>
            </w:tcBorders>
            <w:shd w:val="clear" w:color="auto" w:fill="auto"/>
            <w:vAlign w:val="center"/>
          </w:tcPr>
          <w:p w14:paraId="1D2C4ECD" w14:textId="77777777" w:rsidR="006B1DE8" w:rsidRPr="008A2C89" w:rsidRDefault="006B1DE8" w:rsidP="006B1DE8">
            <w:pPr>
              <w:spacing w:line="276" w:lineRule="auto"/>
              <w:jc w:val="center"/>
              <w:rPr>
                <w:rFonts w:eastAsia="Calibri"/>
                <w:sz w:val="22"/>
                <w:szCs w:val="22"/>
                <w:lang w:val="en-GB"/>
              </w:rPr>
            </w:pPr>
          </w:p>
        </w:tc>
      </w:tr>
      <w:tr w:rsidR="006B1DE8" w:rsidRPr="008A2C89" w14:paraId="3D7DCE2C" w14:textId="77777777" w:rsidTr="006B1DE8">
        <w:tc>
          <w:tcPr>
            <w:tcW w:w="187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B9A148D" w14:textId="77777777" w:rsidR="006B1DE8" w:rsidRPr="008A2C89" w:rsidRDefault="006B1DE8" w:rsidP="006B1DE8">
            <w:pPr>
              <w:spacing w:line="276" w:lineRule="auto"/>
              <w:rPr>
                <w:rFonts w:eastAsia="Calibri"/>
                <w:sz w:val="22"/>
                <w:szCs w:val="22"/>
                <w:lang w:val="en-GB"/>
              </w:rPr>
            </w:pPr>
            <w:r w:rsidRPr="008A2C89">
              <w:rPr>
                <w:rFonts w:eastAsia="Calibri"/>
                <w:sz w:val="22"/>
                <w:szCs w:val="22"/>
                <w:lang w:val="en-GB"/>
              </w:rPr>
              <w:t xml:space="preserve">Povišen ALT </w:t>
            </w:r>
          </w:p>
        </w:tc>
        <w:tc>
          <w:tcPr>
            <w:tcW w:w="860"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1134BF4"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30 (8.7)</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C55843D"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7 (2.0)</w:t>
            </w:r>
          </w:p>
        </w:tc>
        <w:tc>
          <w:tcPr>
            <w:tcW w:w="782"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7BF05A1"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10 (5.8)</w:t>
            </w:r>
          </w:p>
        </w:tc>
        <w:tc>
          <w:tcPr>
            <w:tcW w:w="704"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647D9DC" w14:textId="77777777" w:rsidR="006B1DE8" w:rsidRPr="008A2C89" w:rsidRDefault="006B1DE8" w:rsidP="006B1DE8">
            <w:pPr>
              <w:spacing w:line="276" w:lineRule="auto"/>
              <w:jc w:val="center"/>
              <w:rPr>
                <w:rFonts w:eastAsia="Calibri"/>
                <w:sz w:val="22"/>
                <w:szCs w:val="22"/>
                <w:lang w:val="en-GB"/>
              </w:rPr>
            </w:pPr>
            <w:r w:rsidRPr="008A2C89">
              <w:rPr>
                <w:rFonts w:eastAsia="Calibri"/>
                <w:sz w:val="22"/>
                <w:szCs w:val="22"/>
                <w:lang w:val="en-GB"/>
              </w:rPr>
              <w:t>1 (0.6)</w:t>
            </w:r>
          </w:p>
        </w:tc>
      </w:tr>
    </w:tbl>
    <w:p w14:paraId="1E5B5490" w14:textId="31232058" w:rsidR="006B1DE8" w:rsidRPr="00AE5D50" w:rsidRDefault="006B1DE8" w:rsidP="006B1DE8">
      <w:pPr>
        <w:spacing w:line="276" w:lineRule="auto"/>
        <w:rPr>
          <w:rFonts w:eastAsia="Calibri"/>
          <w:sz w:val="20"/>
          <w:szCs w:val="22"/>
          <w:lang w:val="en-GB"/>
        </w:rPr>
      </w:pPr>
      <w:r w:rsidRPr="00AE5D50">
        <w:rPr>
          <w:rFonts w:eastAsia="Calibri"/>
          <w:sz w:val="20"/>
          <w:szCs w:val="22"/>
          <w:lang w:val="en-GB"/>
        </w:rPr>
        <w:t>ALT=alanin aminotransferaza; AST=aspartat aminotransferaza; N/n=broj pacijenata</w:t>
      </w:r>
      <w:r w:rsidR="00865CF7">
        <w:rPr>
          <w:rFonts w:eastAsia="Calibri"/>
          <w:sz w:val="20"/>
          <w:szCs w:val="22"/>
          <w:lang w:val="en-GB"/>
        </w:rPr>
        <w:t>;</w:t>
      </w:r>
      <w:r w:rsidR="00865CF7" w:rsidRPr="00865CF7">
        <w:t xml:space="preserve"> </w:t>
      </w:r>
      <w:r w:rsidR="00865CF7" w:rsidRPr="00865CF7">
        <w:rPr>
          <w:rFonts w:eastAsia="Calibri"/>
          <w:sz w:val="20"/>
          <w:szCs w:val="22"/>
          <w:lang w:val="en-GB"/>
        </w:rPr>
        <w:t>NP= nije primjenjivo</w:t>
      </w:r>
    </w:p>
    <w:p w14:paraId="30C7E557" w14:textId="77777777" w:rsidR="006B1DE8" w:rsidRPr="00AE5D50" w:rsidRDefault="006B1DE8" w:rsidP="006B1DE8">
      <w:pPr>
        <w:spacing w:line="276" w:lineRule="auto"/>
        <w:rPr>
          <w:rFonts w:eastAsia="Calibri"/>
          <w:sz w:val="20"/>
          <w:szCs w:val="22"/>
          <w:lang w:val="en-GB"/>
        </w:rPr>
      </w:pPr>
      <w:proofErr w:type="gramStart"/>
      <w:r w:rsidRPr="00AE5D50">
        <w:rPr>
          <w:rFonts w:eastAsia="Calibri"/>
          <w:sz w:val="20"/>
          <w:szCs w:val="22"/>
          <w:lang w:val="en-GB"/>
        </w:rPr>
        <w:t>a</w:t>
      </w:r>
      <w:proofErr w:type="gramEnd"/>
      <w:r w:rsidRPr="00AE5D50">
        <w:rPr>
          <w:rFonts w:eastAsia="Calibri"/>
          <w:sz w:val="20"/>
          <w:szCs w:val="22"/>
          <w:lang w:val="en-GB"/>
        </w:rPr>
        <w:t xml:space="preserve"> Preferirani termini (PTs) su navedeni prema MedDRA 17.1.</w:t>
      </w:r>
    </w:p>
    <w:p w14:paraId="7FB609F3" w14:textId="77777777" w:rsidR="006B1DE8" w:rsidRPr="00AE5D50" w:rsidRDefault="006B1DE8" w:rsidP="006B1DE8">
      <w:pPr>
        <w:spacing w:line="276" w:lineRule="auto"/>
        <w:rPr>
          <w:rFonts w:eastAsia="Calibri"/>
          <w:sz w:val="20"/>
          <w:szCs w:val="22"/>
          <w:lang w:val="en-GB"/>
        </w:rPr>
      </w:pPr>
      <w:proofErr w:type="gramStart"/>
      <w:r w:rsidRPr="00AE5D50">
        <w:rPr>
          <w:rFonts w:eastAsia="Calibri"/>
          <w:sz w:val="20"/>
          <w:szCs w:val="22"/>
          <w:lang w:val="en-GB"/>
        </w:rPr>
        <w:t>b</w:t>
      </w:r>
      <w:proofErr w:type="gramEnd"/>
      <w:r w:rsidRPr="00AE5D50">
        <w:rPr>
          <w:rFonts w:eastAsia="Calibri"/>
          <w:sz w:val="20"/>
          <w:szCs w:val="22"/>
          <w:lang w:val="en-GB"/>
        </w:rPr>
        <w:t xml:space="preserve"> Infekcije ukjljučuju  sve PTs koji su dio klase sistema organa </w:t>
      </w:r>
      <w:r w:rsidRPr="00AE5D50">
        <w:rPr>
          <w:rFonts w:eastAsia="Calibri"/>
          <w:i/>
          <w:sz w:val="20"/>
          <w:szCs w:val="22"/>
          <w:lang w:val="en-GB"/>
        </w:rPr>
        <w:t>Infekcije i infestacije</w:t>
      </w:r>
      <w:r w:rsidRPr="00AE5D50">
        <w:rPr>
          <w:rFonts w:eastAsia="Calibri"/>
          <w:sz w:val="20"/>
          <w:szCs w:val="22"/>
          <w:lang w:val="en-GB"/>
        </w:rPr>
        <w:t>.</w:t>
      </w:r>
    </w:p>
    <w:p w14:paraId="05A8BD32" w14:textId="77777777" w:rsidR="006B1DE8" w:rsidRPr="00AE5D50" w:rsidRDefault="006B1DE8" w:rsidP="006B1DE8">
      <w:pPr>
        <w:spacing w:line="276" w:lineRule="auto"/>
        <w:rPr>
          <w:rFonts w:eastAsia="Calibri"/>
          <w:sz w:val="20"/>
          <w:szCs w:val="22"/>
          <w:lang w:val="en-GB"/>
        </w:rPr>
      </w:pPr>
      <w:proofErr w:type="gramStart"/>
      <w:r w:rsidRPr="00AE5D50">
        <w:rPr>
          <w:rFonts w:eastAsia="Calibri"/>
          <w:sz w:val="20"/>
          <w:szCs w:val="22"/>
          <w:lang w:val="en-GB"/>
        </w:rPr>
        <w:t>c</w:t>
      </w:r>
      <w:proofErr w:type="gramEnd"/>
      <w:r w:rsidRPr="00AE5D50">
        <w:rPr>
          <w:rFonts w:eastAsia="Calibri"/>
          <w:sz w:val="20"/>
          <w:szCs w:val="22"/>
          <w:lang w:val="en-GB"/>
        </w:rPr>
        <w:t xml:space="preserve"> Neutropenija uključuje sljedeće PT: neutropenija, smanjen broj neutrofila.</w:t>
      </w:r>
    </w:p>
    <w:p w14:paraId="356EDBD7" w14:textId="77777777" w:rsidR="006B1DE8" w:rsidRPr="00AE5D50" w:rsidRDefault="006B1DE8" w:rsidP="006B1DE8">
      <w:pPr>
        <w:spacing w:line="276" w:lineRule="auto"/>
        <w:rPr>
          <w:rFonts w:eastAsia="Calibri"/>
          <w:sz w:val="20"/>
          <w:szCs w:val="22"/>
          <w:lang w:val="en-GB"/>
        </w:rPr>
      </w:pPr>
      <w:proofErr w:type="gramStart"/>
      <w:r w:rsidRPr="00AE5D50">
        <w:rPr>
          <w:rFonts w:eastAsia="Calibri"/>
          <w:sz w:val="20"/>
          <w:szCs w:val="22"/>
          <w:lang w:val="en-GB"/>
        </w:rPr>
        <w:t>d</w:t>
      </w:r>
      <w:proofErr w:type="gramEnd"/>
      <w:r w:rsidRPr="00AE5D50">
        <w:rPr>
          <w:rFonts w:eastAsia="Calibri"/>
          <w:sz w:val="20"/>
          <w:szCs w:val="22"/>
          <w:lang w:val="en-GB"/>
        </w:rPr>
        <w:t xml:space="preserve"> Leukopenija uključuje sljedeće PT: leukopenija, smanjen broj leukocita.</w:t>
      </w:r>
    </w:p>
    <w:p w14:paraId="78F4952D" w14:textId="77777777" w:rsidR="006B1DE8" w:rsidRPr="00AE5D50" w:rsidRDefault="006B1DE8" w:rsidP="006B1DE8">
      <w:pPr>
        <w:spacing w:line="276" w:lineRule="auto"/>
        <w:rPr>
          <w:rFonts w:eastAsia="Calibri"/>
          <w:sz w:val="20"/>
          <w:szCs w:val="22"/>
          <w:lang w:val="en-GB"/>
        </w:rPr>
      </w:pPr>
      <w:proofErr w:type="gramStart"/>
      <w:r w:rsidRPr="00AE5D50">
        <w:rPr>
          <w:rFonts w:eastAsia="Calibri"/>
          <w:sz w:val="20"/>
          <w:szCs w:val="22"/>
          <w:lang w:val="en-GB"/>
        </w:rPr>
        <w:t>e</w:t>
      </w:r>
      <w:proofErr w:type="gramEnd"/>
      <w:r w:rsidRPr="00AE5D50">
        <w:rPr>
          <w:rFonts w:eastAsia="Calibri"/>
          <w:sz w:val="20"/>
          <w:szCs w:val="22"/>
          <w:lang w:val="en-GB"/>
        </w:rPr>
        <w:t xml:space="preserve"> Anemija uključuje sljedeće PT: anemija, smanjen nivo hemoglobina, smanjen hematokrit.</w:t>
      </w:r>
    </w:p>
    <w:p w14:paraId="5A0BE9E4" w14:textId="77777777" w:rsidR="006B1DE8" w:rsidRPr="00AE5D50" w:rsidRDefault="006B1DE8" w:rsidP="006B1DE8">
      <w:pPr>
        <w:spacing w:line="276" w:lineRule="auto"/>
        <w:rPr>
          <w:rFonts w:eastAsia="Calibri"/>
          <w:sz w:val="20"/>
          <w:szCs w:val="22"/>
          <w:lang w:val="en-GB"/>
        </w:rPr>
      </w:pPr>
      <w:proofErr w:type="gramStart"/>
      <w:r w:rsidRPr="00AE5D50">
        <w:rPr>
          <w:rFonts w:eastAsia="Calibri"/>
          <w:sz w:val="20"/>
          <w:szCs w:val="22"/>
          <w:lang w:val="en-GB"/>
        </w:rPr>
        <w:t>f</w:t>
      </w:r>
      <w:proofErr w:type="gramEnd"/>
      <w:r w:rsidRPr="00AE5D50">
        <w:rPr>
          <w:rFonts w:eastAsia="Calibri"/>
          <w:sz w:val="20"/>
          <w:szCs w:val="22"/>
          <w:lang w:val="en-GB"/>
        </w:rPr>
        <w:t xml:space="preserve"> Trombocitopenija uključuje sljedeće PT: trombocitopenija, smanjen broj trombocita.</w:t>
      </w:r>
    </w:p>
    <w:p w14:paraId="1618A420" w14:textId="77777777" w:rsidR="006B1DE8" w:rsidRPr="00AE5D50" w:rsidRDefault="006B1DE8" w:rsidP="006B1DE8">
      <w:pPr>
        <w:spacing w:line="276" w:lineRule="auto"/>
        <w:rPr>
          <w:rFonts w:eastAsia="Calibri"/>
          <w:sz w:val="20"/>
          <w:szCs w:val="22"/>
          <w:lang w:val="en-GB"/>
        </w:rPr>
      </w:pPr>
      <w:proofErr w:type="gramStart"/>
      <w:r w:rsidRPr="00AE5D50">
        <w:rPr>
          <w:rFonts w:eastAsia="Calibri"/>
          <w:sz w:val="20"/>
          <w:szCs w:val="22"/>
          <w:lang w:val="en-GB"/>
        </w:rPr>
        <w:t>g</w:t>
      </w:r>
      <w:proofErr w:type="gramEnd"/>
      <w:r w:rsidRPr="00AE5D50">
        <w:rPr>
          <w:rFonts w:eastAsia="Calibri"/>
          <w:sz w:val="20"/>
          <w:szCs w:val="22"/>
          <w:lang w:val="en-GB"/>
        </w:rPr>
        <w:t xml:space="preserve"> Stomatitis uključuje sljedeće PT: aftozni stomatitis, heilitis, upala jezika, bol u jeziku, ulceracije usta, zapaljenja mukoze, bol u ustima, orofaringealna nelagodnost, orofaringealni bol, stomatitis.</w:t>
      </w:r>
    </w:p>
    <w:p w14:paraId="4A5D205D" w14:textId="77777777" w:rsidR="006B1DE8" w:rsidRPr="00AE5D50" w:rsidRDefault="006B1DE8" w:rsidP="006B1DE8">
      <w:pPr>
        <w:spacing w:line="276" w:lineRule="auto"/>
        <w:rPr>
          <w:rFonts w:eastAsia="Calibri"/>
          <w:sz w:val="20"/>
          <w:szCs w:val="22"/>
          <w:lang w:val="en-GB"/>
        </w:rPr>
      </w:pPr>
      <w:proofErr w:type="gramStart"/>
      <w:r w:rsidRPr="00AE5D50">
        <w:rPr>
          <w:rFonts w:eastAsia="Calibri"/>
          <w:sz w:val="20"/>
          <w:szCs w:val="22"/>
          <w:lang w:val="en-GB"/>
        </w:rPr>
        <w:t>h</w:t>
      </w:r>
      <w:proofErr w:type="gramEnd"/>
      <w:r w:rsidRPr="00AE5D50">
        <w:rPr>
          <w:rFonts w:eastAsia="Calibri"/>
          <w:sz w:val="20"/>
          <w:szCs w:val="22"/>
          <w:lang w:val="en-GB"/>
        </w:rPr>
        <w:t xml:space="preserve"> Osip uključuje sljedeće PT: osip, makulo-papulozni osip, prurituzni osip, eritematozni osip, papularni osip, dermatitis, dermatitis nalik aknama, toksične erupcije kože.</w:t>
      </w:r>
    </w:p>
    <w:p w14:paraId="71AF6739" w14:textId="77777777" w:rsidR="006B1DE8" w:rsidRPr="008A2C89" w:rsidRDefault="006B1DE8" w:rsidP="006B1DE8">
      <w:pPr>
        <w:spacing w:line="276" w:lineRule="auto"/>
        <w:jc w:val="both"/>
        <w:rPr>
          <w:rFonts w:eastAsia="Calibri"/>
          <w:sz w:val="22"/>
          <w:szCs w:val="22"/>
          <w:u w:val="single"/>
          <w:lang w:val="en-GB"/>
        </w:rPr>
      </w:pPr>
    </w:p>
    <w:p w14:paraId="7117F4EF" w14:textId="77777777" w:rsidR="006B1DE8" w:rsidRPr="008A2C89" w:rsidRDefault="006B1DE8" w:rsidP="006B1DE8">
      <w:pPr>
        <w:spacing w:line="276" w:lineRule="auto"/>
        <w:jc w:val="both"/>
        <w:rPr>
          <w:rFonts w:eastAsia="Calibri"/>
          <w:sz w:val="22"/>
          <w:szCs w:val="22"/>
          <w:u w:val="single"/>
          <w:lang w:val="en-GB"/>
        </w:rPr>
      </w:pPr>
      <w:r w:rsidRPr="008A2C89">
        <w:rPr>
          <w:rFonts w:eastAsia="Calibri"/>
          <w:sz w:val="22"/>
          <w:szCs w:val="22"/>
          <w:u w:val="single"/>
          <w:lang w:val="en-GB"/>
        </w:rPr>
        <w:t xml:space="preserve">Opis odabranih neželjenih dejstava </w:t>
      </w:r>
    </w:p>
    <w:p w14:paraId="3F1C5F26" w14:textId="77777777" w:rsidR="00A00303" w:rsidRPr="008A2C89" w:rsidRDefault="00A00303" w:rsidP="006B1DE8">
      <w:pPr>
        <w:spacing w:line="276" w:lineRule="auto"/>
        <w:jc w:val="both"/>
        <w:rPr>
          <w:rFonts w:eastAsia="Calibri"/>
          <w:sz w:val="22"/>
          <w:szCs w:val="22"/>
          <w:u w:val="single"/>
          <w:lang w:val="en-GB"/>
        </w:rPr>
      </w:pPr>
    </w:p>
    <w:p w14:paraId="3E7B050E" w14:textId="77777777" w:rsidR="00A00303" w:rsidRPr="008A2C89" w:rsidRDefault="00A00303" w:rsidP="00A00303">
      <w:pPr>
        <w:spacing w:line="276" w:lineRule="auto"/>
        <w:jc w:val="both"/>
        <w:rPr>
          <w:rFonts w:eastAsia="Calibri"/>
          <w:sz w:val="22"/>
          <w:szCs w:val="22"/>
          <w:lang w:val="en-GB"/>
        </w:rPr>
      </w:pPr>
      <w:r w:rsidRPr="008A2C89">
        <w:rPr>
          <w:rFonts w:eastAsia="Calibri"/>
          <w:i/>
          <w:iCs/>
          <w:sz w:val="22"/>
          <w:szCs w:val="22"/>
          <w:lang w:val="en-GB"/>
        </w:rPr>
        <w:t>Neutropenija</w:t>
      </w:r>
    </w:p>
    <w:p w14:paraId="107DB22C" w14:textId="77777777" w:rsidR="00A00303" w:rsidRPr="008A2C89" w:rsidRDefault="00A00303" w:rsidP="00A00303">
      <w:pPr>
        <w:spacing w:line="276" w:lineRule="auto"/>
        <w:jc w:val="both"/>
        <w:rPr>
          <w:rFonts w:eastAsia="Calibri"/>
          <w:sz w:val="22"/>
          <w:szCs w:val="22"/>
          <w:lang w:val="en-GB"/>
        </w:rPr>
      </w:pPr>
    </w:p>
    <w:p w14:paraId="4128EB6C" w14:textId="77777777" w:rsidR="00A00303" w:rsidRPr="008A2C89" w:rsidRDefault="00A00303" w:rsidP="00A00303">
      <w:pPr>
        <w:spacing w:line="276" w:lineRule="auto"/>
        <w:jc w:val="both"/>
        <w:rPr>
          <w:rFonts w:eastAsia="Calibri"/>
          <w:sz w:val="22"/>
          <w:szCs w:val="22"/>
          <w:lang w:val="en-GB"/>
        </w:rPr>
      </w:pPr>
      <w:r w:rsidRPr="008A2C89">
        <w:rPr>
          <w:rFonts w:eastAsia="Calibri"/>
          <w:sz w:val="22"/>
          <w:szCs w:val="22"/>
          <w:lang w:val="en-GB"/>
        </w:rPr>
        <w:lastRenderedPageBreak/>
        <w:t xml:space="preserve">Kod pacijentkinja koje su primale fulvestrant u kombinaciji sa palbociklibom u studiji PALOMA3, neutropenija bilo kog stepena je prijavljena kod 290 (84.1%) pacijentkinja, neutropenija stepena 3 je prijavljena kod 200 (58.0%) pacijentkinja, i neutropenija stepena 4 je prijavljena kod 40 (11.6%) pacijentkinja. U grupi koja je primala fulvestrant + placebo (n=172), neutropenija bilo kog stepena je prijavljena kod 6 (3.5%) pacijentkinja. Nije bilo prijava neutropenije stepena </w:t>
      </w:r>
      <w:proofErr w:type="gramStart"/>
      <w:r w:rsidRPr="008A2C89">
        <w:rPr>
          <w:rFonts w:eastAsia="Calibri"/>
          <w:sz w:val="22"/>
          <w:szCs w:val="22"/>
          <w:lang w:val="en-GB"/>
        </w:rPr>
        <w:t>3</w:t>
      </w:r>
      <w:proofErr w:type="gramEnd"/>
      <w:r w:rsidRPr="008A2C89">
        <w:rPr>
          <w:rFonts w:eastAsia="Calibri"/>
          <w:sz w:val="22"/>
          <w:szCs w:val="22"/>
          <w:lang w:val="en-GB"/>
        </w:rPr>
        <w:t xml:space="preserve"> i 4 u grupi koja je primala fulvestrant + placebo.</w:t>
      </w:r>
    </w:p>
    <w:p w14:paraId="59DC52DE" w14:textId="77777777" w:rsidR="00A00303" w:rsidRPr="008A2C89" w:rsidRDefault="00A00303" w:rsidP="00A00303">
      <w:pPr>
        <w:spacing w:line="276" w:lineRule="auto"/>
        <w:jc w:val="both"/>
        <w:rPr>
          <w:rFonts w:eastAsia="Calibri"/>
          <w:sz w:val="22"/>
          <w:szCs w:val="22"/>
          <w:lang w:val="en-GB"/>
        </w:rPr>
      </w:pPr>
    </w:p>
    <w:p w14:paraId="7463F72C" w14:textId="77777777" w:rsidR="00A00303" w:rsidRPr="008A2C89" w:rsidRDefault="00A00303" w:rsidP="00A00303">
      <w:pPr>
        <w:spacing w:line="276" w:lineRule="auto"/>
        <w:jc w:val="both"/>
        <w:rPr>
          <w:rFonts w:eastAsia="Calibri"/>
          <w:sz w:val="22"/>
          <w:szCs w:val="22"/>
          <w:lang w:val="en-GB"/>
        </w:rPr>
      </w:pPr>
      <w:r w:rsidRPr="008A2C89">
        <w:rPr>
          <w:rFonts w:eastAsia="Calibri"/>
          <w:sz w:val="22"/>
          <w:szCs w:val="22"/>
          <w:lang w:val="en-GB"/>
        </w:rPr>
        <w:t xml:space="preserve">Kod pacijentkinja koje su primale fulvestrant u kombinaciji </w:t>
      </w:r>
      <w:proofErr w:type="gramStart"/>
      <w:r w:rsidRPr="008A2C89">
        <w:rPr>
          <w:rFonts w:eastAsia="Calibri"/>
          <w:sz w:val="22"/>
          <w:szCs w:val="22"/>
          <w:lang w:val="en-GB"/>
        </w:rPr>
        <w:t>sa</w:t>
      </w:r>
      <w:proofErr w:type="gramEnd"/>
      <w:r w:rsidRPr="008A2C89">
        <w:rPr>
          <w:rFonts w:eastAsia="Calibri"/>
          <w:sz w:val="22"/>
          <w:szCs w:val="22"/>
          <w:lang w:val="en-GB"/>
        </w:rPr>
        <w:t xml:space="preserve"> lijekom palbociklib, srednje vrijeme do prve epizode neutropenije bilo kog stepena je bilo 15 dana (opseg: 13-512) i srednja dužina trajanja neutropenije stepena ≥3 je bila 16 dana. Febrilna neutropenija je prijavljena kod 3 (0.9%) pacijentkinja koje su primale fulvestrant u kombinaciji </w:t>
      </w:r>
      <w:proofErr w:type="gramStart"/>
      <w:r w:rsidRPr="008A2C89">
        <w:rPr>
          <w:rFonts w:eastAsia="Calibri"/>
          <w:sz w:val="22"/>
          <w:szCs w:val="22"/>
          <w:lang w:val="en-GB"/>
        </w:rPr>
        <w:t>sa</w:t>
      </w:r>
      <w:proofErr w:type="gramEnd"/>
      <w:r w:rsidRPr="008A2C89">
        <w:rPr>
          <w:rFonts w:eastAsia="Calibri"/>
          <w:sz w:val="22"/>
          <w:szCs w:val="22"/>
          <w:lang w:val="en-GB"/>
        </w:rPr>
        <w:t xml:space="preserve"> lijekom palbociklib.</w:t>
      </w:r>
    </w:p>
    <w:p w14:paraId="3A0E3BBC" w14:textId="77777777" w:rsidR="003A2EB0" w:rsidRPr="008A2C89" w:rsidRDefault="003A2EB0" w:rsidP="00480FB1">
      <w:pPr>
        <w:tabs>
          <w:tab w:val="left" w:pos="540"/>
          <w:tab w:val="left" w:pos="569"/>
        </w:tabs>
        <w:rPr>
          <w:b/>
          <w:bCs/>
          <w:sz w:val="22"/>
          <w:szCs w:val="22"/>
        </w:rPr>
      </w:pPr>
    </w:p>
    <w:p w14:paraId="4F1672BD" w14:textId="77777777" w:rsidR="005A23D2" w:rsidRPr="008A2C89" w:rsidRDefault="005A23D2" w:rsidP="00A46C9A">
      <w:pPr>
        <w:spacing w:after="200" w:line="276" w:lineRule="auto"/>
        <w:rPr>
          <w:rFonts w:eastAsia="Calibri"/>
          <w:sz w:val="22"/>
          <w:szCs w:val="22"/>
          <w:u w:val="single"/>
          <w:lang w:val="sr-Latn-RS"/>
        </w:rPr>
      </w:pPr>
      <w:r w:rsidRPr="008A2C89">
        <w:rPr>
          <w:rFonts w:eastAsia="Calibri"/>
          <w:sz w:val="22"/>
          <w:szCs w:val="22"/>
          <w:u w:val="single"/>
          <w:lang w:val="sr-Latn-RS"/>
        </w:rPr>
        <w:t>Prijavljivanje sumnji na neželjena dejstva</w:t>
      </w:r>
    </w:p>
    <w:p w14:paraId="2B3C9587" w14:textId="77777777" w:rsidR="005A23D2" w:rsidRPr="008A2C89" w:rsidRDefault="005A23D2" w:rsidP="00A46C9A">
      <w:pPr>
        <w:spacing w:after="200"/>
        <w:jc w:val="both"/>
        <w:rPr>
          <w:rFonts w:eastAsia="Calibri"/>
          <w:sz w:val="22"/>
          <w:szCs w:val="22"/>
          <w:lang w:val="sr-Latn-RS"/>
        </w:rPr>
      </w:pPr>
      <w:r w:rsidRPr="008A2C89">
        <w:rPr>
          <w:rFonts w:eastAsia="Calibri"/>
          <w:sz w:val="22"/>
          <w:szCs w:val="22"/>
          <w:lang w:val="sr-Latn-RS"/>
        </w:rPr>
        <w:t>Prijavljivanje neželjenih dejstava nakon dobijanja dozvole je od velikog značaja jer obezbjeđuje kont</w:t>
      </w:r>
      <w:r w:rsidR="00EA5765" w:rsidRPr="008A2C89">
        <w:rPr>
          <w:rFonts w:eastAsia="Calibri"/>
          <w:sz w:val="22"/>
          <w:szCs w:val="22"/>
          <w:lang w:val="sr-Latn-RS"/>
        </w:rPr>
        <w:t>inuirano praćenje odnosa korist</w:t>
      </w:r>
      <w:r w:rsidRPr="008A2C89">
        <w:rPr>
          <w:rFonts w:eastAsia="Calibri"/>
          <w:sz w:val="22"/>
          <w:szCs w:val="22"/>
          <w:lang w:val="sr-Latn-RS"/>
        </w:rPr>
        <w:t>/rizik primjene lijeka. Zdravstveni radnici treba da prijave svaku sumnju na neželjeno</w:t>
      </w:r>
      <w:r w:rsidR="009B062A" w:rsidRPr="008A2C89">
        <w:rPr>
          <w:rFonts w:eastAsia="Calibri"/>
          <w:sz w:val="22"/>
          <w:szCs w:val="22"/>
          <w:lang w:val="sr-Latn-RS"/>
        </w:rPr>
        <w:t xml:space="preserve"> </w:t>
      </w:r>
      <w:r w:rsidRPr="008A2C89">
        <w:rPr>
          <w:rFonts w:eastAsia="Calibri"/>
          <w:sz w:val="22"/>
          <w:szCs w:val="22"/>
          <w:lang w:val="sr-Latn-RS"/>
        </w:rPr>
        <w:t xml:space="preserve">dejstvo ovog lijeka </w:t>
      </w:r>
      <w:r w:rsidR="004E70AD" w:rsidRPr="008A2C89">
        <w:rPr>
          <w:rFonts w:eastAsia="Calibri"/>
          <w:sz w:val="22"/>
          <w:szCs w:val="22"/>
          <w:lang w:val="sr-Latn-RS"/>
        </w:rPr>
        <w:t>Institutu</w:t>
      </w:r>
      <w:r w:rsidRPr="008A2C89">
        <w:rPr>
          <w:rFonts w:eastAsia="Calibri"/>
          <w:sz w:val="22"/>
          <w:szCs w:val="22"/>
          <w:lang w:val="sr-Latn-RS"/>
        </w:rPr>
        <w:t xml:space="preserve"> za ljekove i medicinska sredstva</w:t>
      </w:r>
      <w:r w:rsidR="004E70AD" w:rsidRPr="008A2C89">
        <w:rPr>
          <w:rFonts w:eastAsia="Calibri"/>
          <w:sz w:val="22"/>
          <w:szCs w:val="22"/>
          <w:lang w:val="sr-Latn-RS"/>
        </w:rPr>
        <w:t xml:space="preserve"> </w:t>
      </w:r>
      <w:r w:rsidRPr="008A2C89">
        <w:rPr>
          <w:rFonts w:eastAsia="Calibri"/>
          <w:sz w:val="22"/>
          <w:szCs w:val="22"/>
          <w:lang w:val="sr-Latn-RS"/>
        </w:rPr>
        <w:t>(</w:t>
      </w:r>
      <w:r w:rsidR="004E70AD" w:rsidRPr="008A2C89">
        <w:rPr>
          <w:rFonts w:eastAsia="Calibri"/>
          <w:sz w:val="22"/>
          <w:szCs w:val="22"/>
          <w:lang w:val="sr-Latn-RS"/>
        </w:rPr>
        <w:t>CInMED</w:t>
      </w:r>
      <w:r w:rsidRPr="008A2C89">
        <w:rPr>
          <w:rFonts w:eastAsia="Calibri"/>
          <w:sz w:val="22"/>
          <w:szCs w:val="22"/>
          <w:lang w:val="sr-Latn-RS"/>
        </w:rPr>
        <w:t>):</w:t>
      </w:r>
    </w:p>
    <w:p w14:paraId="4E411FDA" w14:textId="77777777" w:rsidR="0087349C" w:rsidRPr="00786071" w:rsidRDefault="0087349C" w:rsidP="0087349C">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336FD6CC" w14:textId="77777777" w:rsidR="0087349C" w:rsidRPr="00786071" w:rsidRDefault="0087349C" w:rsidP="0087349C">
      <w:pPr>
        <w:pStyle w:val="NoSpacing"/>
        <w:jc w:val="both"/>
        <w:rPr>
          <w:rFonts w:eastAsia="Calibri"/>
          <w:sz w:val="22"/>
          <w:szCs w:val="22"/>
          <w:lang w:val="sr-Latn-RS"/>
        </w:rPr>
      </w:pPr>
      <w:r w:rsidRPr="00786071">
        <w:rPr>
          <w:rFonts w:eastAsia="Calibri"/>
          <w:sz w:val="22"/>
          <w:szCs w:val="22"/>
          <w:lang w:val="sr-Latn-RS"/>
        </w:rPr>
        <w:t>Odjeljenje za farmakovigilancu</w:t>
      </w:r>
    </w:p>
    <w:p w14:paraId="64901976" w14:textId="77777777" w:rsidR="0087349C" w:rsidRPr="00786071" w:rsidRDefault="0087349C" w:rsidP="0087349C">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072DBD68" w14:textId="77777777" w:rsidR="0087349C" w:rsidRPr="00786071" w:rsidRDefault="0087349C" w:rsidP="0087349C">
      <w:pPr>
        <w:pStyle w:val="NoSpacing"/>
        <w:rPr>
          <w:rFonts w:eastAsia="Calibri"/>
          <w:sz w:val="22"/>
          <w:szCs w:val="22"/>
          <w:lang w:val="sr-Latn-RS"/>
        </w:rPr>
      </w:pPr>
    </w:p>
    <w:p w14:paraId="00C7E3BA" w14:textId="77777777" w:rsidR="0087349C" w:rsidRPr="00786071" w:rsidRDefault="0087349C" w:rsidP="0087349C">
      <w:pPr>
        <w:pStyle w:val="NoSpacing"/>
        <w:jc w:val="both"/>
        <w:rPr>
          <w:rFonts w:eastAsia="Calibri"/>
          <w:sz w:val="22"/>
          <w:szCs w:val="22"/>
          <w:lang w:val="sr-Latn-RS"/>
        </w:rPr>
      </w:pPr>
      <w:r w:rsidRPr="00786071">
        <w:rPr>
          <w:rFonts w:eastAsia="Calibri"/>
          <w:sz w:val="22"/>
          <w:szCs w:val="22"/>
          <w:lang w:val="sr-Latn-RS"/>
        </w:rPr>
        <w:t>tel: +382 (0) 20 310 280</w:t>
      </w:r>
    </w:p>
    <w:p w14:paraId="0F77F8BE" w14:textId="77777777" w:rsidR="0087349C" w:rsidRPr="00786071" w:rsidRDefault="0087349C" w:rsidP="0087349C">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088E3DE9" w14:textId="77777777" w:rsidR="0087349C" w:rsidRPr="00786071" w:rsidRDefault="00D10545" w:rsidP="0087349C">
      <w:pPr>
        <w:pStyle w:val="NoSpacing"/>
        <w:jc w:val="both"/>
        <w:rPr>
          <w:rFonts w:eastAsia="Calibri"/>
          <w:sz w:val="22"/>
          <w:szCs w:val="22"/>
          <w:lang w:val="sr-Latn-RS"/>
        </w:rPr>
      </w:pPr>
      <w:hyperlink r:id="rId8" w:history="1">
        <w:r w:rsidR="0087349C" w:rsidRPr="00B664A0">
          <w:rPr>
            <w:rStyle w:val="Hyperlink"/>
            <w:rFonts w:eastAsia="Calibri"/>
            <w:sz w:val="22"/>
            <w:szCs w:val="22"/>
            <w:lang w:val="sr-Latn-RS"/>
          </w:rPr>
          <w:t>www.cinmed.me</w:t>
        </w:r>
      </w:hyperlink>
    </w:p>
    <w:p w14:paraId="53E9CB0E" w14:textId="77777777" w:rsidR="0087349C" w:rsidRPr="00786071" w:rsidRDefault="00D10545" w:rsidP="0087349C">
      <w:pPr>
        <w:pStyle w:val="NoSpacing"/>
        <w:jc w:val="both"/>
        <w:rPr>
          <w:rFonts w:eastAsia="Calibri"/>
          <w:color w:val="0000FF"/>
          <w:sz w:val="22"/>
          <w:szCs w:val="22"/>
          <w:u w:val="single"/>
          <w:lang w:val="sr-Latn-RS"/>
        </w:rPr>
      </w:pPr>
      <w:hyperlink r:id="rId9" w:history="1">
        <w:r w:rsidR="0087349C" w:rsidRPr="00B664A0">
          <w:rPr>
            <w:rStyle w:val="Hyperlink"/>
            <w:rFonts w:eastAsia="Calibri"/>
            <w:sz w:val="22"/>
            <w:szCs w:val="22"/>
            <w:lang w:val="sr-Latn-RS"/>
          </w:rPr>
          <w:t>nezeljenadejstva@cinmed.me</w:t>
        </w:r>
      </w:hyperlink>
    </w:p>
    <w:p w14:paraId="4B1FAB25" w14:textId="77777777" w:rsidR="0087349C" w:rsidRDefault="0087349C" w:rsidP="0087349C">
      <w:pPr>
        <w:pStyle w:val="NoSpacing"/>
        <w:jc w:val="both"/>
        <w:rPr>
          <w:rFonts w:eastAsia="Calibri"/>
          <w:sz w:val="22"/>
          <w:szCs w:val="22"/>
          <w:lang w:val="sr-Latn-RS"/>
        </w:rPr>
      </w:pPr>
      <w:r w:rsidRPr="00786071">
        <w:rPr>
          <w:rFonts w:eastAsia="Calibri"/>
          <w:sz w:val="22"/>
          <w:szCs w:val="22"/>
          <w:lang w:val="sr-Latn-RS"/>
        </w:rPr>
        <w:t>putem IS zdravstvene zaštite</w:t>
      </w:r>
    </w:p>
    <w:p w14:paraId="18F57E83" w14:textId="77777777" w:rsidR="0087349C" w:rsidRDefault="0087349C" w:rsidP="0087349C">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1D0339CA" w14:textId="77777777" w:rsidR="0087349C" w:rsidRDefault="0087349C" w:rsidP="0087349C">
      <w:pPr>
        <w:pStyle w:val="NoSpacing"/>
        <w:jc w:val="both"/>
        <w:rPr>
          <w:rFonts w:eastAsia="Calibri"/>
          <w:sz w:val="22"/>
          <w:szCs w:val="22"/>
          <w:lang w:val="sr-Latn-RS"/>
        </w:rPr>
      </w:pPr>
    </w:p>
    <w:p w14:paraId="1FCCB7D4" w14:textId="77777777" w:rsidR="0087349C" w:rsidRPr="00786071" w:rsidRDefault="0087349C" w:rsidP="0087349C">
      <w:pPr>
        <w:pStyle w:val="NoSpacing"/>
        <w:rPr>
          <w:rFonts w:eastAsia="Calibri"/>
          <w:sz w:val="22"/>
          <w:szCs w:val="22"/>
          <w:lang w:val="sr-Latn-RS"/>
        </w:rPr>
      </w:pPr>
      <w:r>
        <w:rPr>
          <w:noProof/>
        </w:rPr>
        <w:drawing>
          <wp:inline distT="0" distB="0" distL="0" distR="0" wp14:anchorId="7C676C4A" wp14:editId="26B25842">
            <wp:extent cx="971550" cy="971550"/>
            <wp:effectExtent l="0" t="0" r="0" b="0"/>
            <wp:docPr id="5" name="Picture 5"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CEBABE4" w14:textId="77777777" w:rsidR="00836B35" w:rsidRPr="008A2C89" w:rsidRDefault="00836B35" w:rsidP="00480FB1">
      <w:pPr>
        <w:tabs>
          <w:tab w:val="left" w:pos="540"/>
          <w:tab w:val="left" w:pos="569"/>
        </w:tabs>
        <w:rPr>
          <w:b/>
          <w:bCs/>
          <w:sz w:val="22"/>
          <w:szCs w:val="22"/>
        </w:rPr>
      </w:pPr>
    </w:p>
    <w:p w14:paraId="482E0758" w14:textId="77777777" w:rsidR="00CD6F02" w:rsidRPr="008A2C89" w:rsidRDefault="0072020E" w:rsidP="00480FB1">
      <w:pPr>
        <w:tabs>
          <w:tab w:val="left" w:pos="540"/>
          <w:tab w:val="left" w:pos="569"/>
        </w:tabs>
        <w:rPr>
          <w:b/>
          <w:bCs/>
          <w:sz w:val="22"/>
          <w:szCs w:val="22"/>
        </w:rPr>
      </w:pPr>
      <w:r w:rsidRPr="008A2C89">
        <w:rPr>
          <w:b/>
          <w:bCs/>
          <w:sz w:val="22"/>
          <w:szCs w:val="22"/>
        </w:rPr>
        <w:t xml:space="preserve">4.9. </w:t>
      </w:r>
      <w:r w:rsidR="00480FB1" w:rsidRPr="008A2C89">
        <w:rPr>
          <w:b/>
          <w:bCs/>
          <w:sz w:val="22"/>
          <w:szCs w:val="22"/>
        </w:rPr>
        <w:tab/>
      </w:r>
      <w:r w:rsidRPr="008A2C89">
        <w:rPr>
          <w:b/>
          <w:bCs/>
          <w:sz w:val="22"/>
          <w:szCs w:val="22"/>
        </w:rPr>
        <w:t>Predoziranje</w:t>
      </w:r>
      <w:r w:rsidR="002846DB" w:rsidRPr="008A2C89">
        <w:rPr>
          <w:b/>
          <w:bCs/>
          <w:sz w:val="22"/>
          <w:szCs w:val="22"/>
        </w:rPr>
        <w:t xml:space="preserve"> </w:t>
      </w:r>
    </w:p>
    <w:p w14:paraId="28DC99AE" w14:textId="77777777" w:rsidR="00A00303" w:rsidRPr="008A2C89" w:rsidRDefault="00A00303" w:rsidP="00480FB1">
      <w:pPr>
        <w:tabs>
          <w:tab w:val="left" w:pos="540"/>
          <w:tab w:val="left" w:pos="569"/>
        </w:tabs>
        <w:rPr>
          <w:b/>
          <w:bCs/>
          <w:sz w:val="22"/>
          <w:szCs w:val="22"/>
        </w:rPr>
      </w:pPr>
    </w:p>
    <w:p w14:paraId="32007277" w14:textId="77777777" w:rsidR="00A00303" w:rsidRPr="008A2C89" w:rsidRDefault="00A00303" w:rsidP="00A00303">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 xml:space="preserve">Postoje izolovani izvještaji o predoziranju kod ljudi. Ako dođe do predoziranja, preporučuje se simptomatska suportivna terapija. Istraživanja na životinjama ukazuju da kod primjene visokih doza fulvestranta nijesu zapaženi drugi efekti osim onih direktno ili indirektno povezanih sa antiestrogenim djelovanjem (vidjeti dio 5.3). </w:t>
      </w:r>
    </w:p>
    <w:p w14:paraId="5634194B" w14:textId="77777777" w:rsidR="00227BDB" w:rsidRPr="00585C79" w:rsidRDefault="00227BDB" w:rsidP="00480FB1">
      <w:pPr>
        <w:tabs>
          <w:tab w:val="left" w:pos="540"/>
          <w:tab w:val="left" w:pos="569"/>
        </w:tabs>
        <w:rPr>
          <w:b/>
          <w:bCs/>
          <w:sz w:val="22"/>
          <w:szCs w:val="22"/>
          <w:lang w:val="hr-HR"/>
        </w:rPr>
      </w:pPr>
    </w:p>
    <w:p w14:paraId="27BB38D3" w14:textId="77777777" w:rsidR="000D24E4" w:rsidRPr="00585C79" w:rsidRDefault="000D24E4" w:rsidP="00480FB1">
      <w:pPr>
        <w:tabs>
          <w:tab w:val="left" w:pos="540"/>
          <w:tab w:val="left" w:pos="569"/>
        </w:tabs>
        <w:rPr>
          <w:b/>
          <w:bCs/>
          <w:sz w:val="22"/>
          <w:szCs w:val="22"/>
          <w:lang w:val="hr-HR"/>
        </w:rPr>
      </w:pPr>
    </w:p>
    <w:p w14:paraId="547FC3AD" w14:textId="77777777" w:rsidR="0072020E" w:rsidRPr="008A2C89" w:rsidRDefault="0072020E" w:rsidP="00480FB1">
      <w:pPr>
        <w:tabs>
          <w:tab w:val="left" w:pos="540"/>
          <w:tab w:val="left" w:pos="569"/>
        </w:tabs>
        <w:rPr>
          <w:b/>
          <w:bCs/>
          <w:sz w:val="22"/>
          <w:szCs w:val="22"/>
        </w:rPr>
      </w:pPr>
      <w:r w:rsidRPr="008A2C89">
        <w:rPr>
          <w:b/>
          <w:bCs/>
          <w:sz w:val="22"/>
          <w:szCs w:val="22"/>
        </w:rPr>
        <w:t xml:space="preserve">5. </w:t>
      </w:r>
      <w:r w:rsidR="00480FB1" w:rsidRPr="008A2C89">
        <w:rPr>
          <w:b/>
          <w:bCs/>
          <w:sz w:val="22"/>
          <w:szCs w:val="22"/>
        </w:rPr>
        <w:tab/>
      </w:r>
      <w:r w:rsidRPr="008A2C89">
        <w:rPr>
          <w:b/>
          <w:bCs/>
          <w:sz w:val="22"/>
          <w:szCs w:val="22"/>
        </w:rPr>
        <w:t>FARMAKOLOŠK</w:t>
      </w:r>
      <w:r w:rsidR="000D425A" w:rsidRPr="008A2C89">
        <w:rPr>
          <w:b/>
          <w:bCs/>
          <w:sz w:val="22"/>
          <w:szCs w:val="22"/>
        </w:rPr>
        <w:t>I</w:t>
      </w:r>
      <w:r w:rsidRPr="008A2C89">
        <w:rPr>
          <w:b/>
          <w:bCs/>
          <w:sz w:val="22"/>
          <w:szCs w:val="22"/>
        </w:rPr>
        <w:t xml:space="preserve"> PODACI</w:t>
      </w:r>
    </w:p>
    <w:p w14:paraId="4482B98F" w14:textId="77777777" w:rsidR="0072020E" w:rsidRPr="008A2C89" w:rsidRDefault="0072020E" w:rsidP="00480FB1">
      <w:pPr>
        <w:tabs>
          <w:tab w:val="left" w:pos="540"/>
          <w:tab w:val="left" w:pos="569"/>
        </w:tabs>
        <w:rPr>
          <w:b/>
          <w:bCs/>
          <w:sz w:val="22"/>
          <w:szCs w:val="22"/>
        </w:rPr>
      </w:pPr>
    </w:p>
    <w:p w14:paraId="66158A80" w14:textId="77777777" w:rsidR="0072020E" w:rsidRPr="008A2C89" w:rsidRDefault="0072020E" w:rsidP="00480FB1">
      <w:pPr>
        <w:tabs>
          <w:tab w:val="left" w:pos="540"/>
          <w:tab w:val="left" w:pos="569"/>
        </w:tabs>
        <w:rPr>
          <w:b/>
          <w:bCs/>
          <w:sz w:val="22"/>
          <w:szCs w:val="22"/>
        </w:rPr>
      </w:pPr>
      <w:r w:rsidRPr="008A2C89">
        <w:rPr>
          <w:b/>
          <w:bCs/>
          <w:sz w:val="22"/>
          <w:szCs w:val="22"/>
        </w:rPr>
        <w:t xml:space="preserve">5.1. </w:t>
      </w:r>
      <w:r w:rsidR="00480FB1" w:rsidRPr="008A2C89">
        <w:rPr>
          <w:b/>
          <w:bCs/>
          <w:sz w:val="22"/>
          <w:szCs w:val="22"/>
        </w:rPr>
        <w:tab/>
      </w:r>
      <w:r w:rsidRPr="008A2C89">
        <w:rPr>
          <w:b/>
          <w:bCs/>
          <w:sz w:val="22"/>
          <w:szCs w:val="22"/>
        </w:rPr>
        <w:t>Farmakodinamski podaci</w:t>
      </w:r>
      <w:r w:rsidR="003A7059" w:rsidRPr="008A2C89">
        <w:rPr>
          <w:b/>
          <w:bCs/>
          <w:sz w:val="22"/>
          <w:szCs w:val="22"/>
        </w:rPr>
        <w:t xml:space="preserve"> </w:t>
      </w:r>
    </w:p>
    <w:p w14:paraId="636F2B63" w14:textId="77777777" w:rsidR="00F45F77" w:rsidRPr="008A2C89" w:rsidRDefault="00F45F77" w:rsidP="00480FB1">
      <w:pPr>
        <w:tabs>
          <w:tab w:val="left" w:pos="540"/>
          <w:tab w:val="left" w:pos="569"/>
        </w:tabs>
        <w:rPr>
          <w:b/>
          <w:bCs/>
          <w:sz w:val="22"/>
          <w:szCs w:val="22"/>
        </w:rPr>
      </w:pPr>
    </w:p>
    <w:p w14:paraId="3AE05B78" w14:textId="77777777" w:rsidR="006F76B8" w:rsidRPr="008A2C89" w:rsidRDefault="006F76B8" w:rsidP="006F76B8">
      <w:pPr>
        <w:tabs>
          <w:tab w:val="left" w:pos="540"/>
          <w:tab w:val="left" w:pos="569"/>
        </w:tabs>
        <w:spacing w:line="259" w:lineRule="auto"/>
        <w:jc w:val="both"/>
        <w:rPr>
          <w:rFonts w:eastAsiaTheme="minorHAnsi"/>
          <w:bCs/>
          <w:sz w:val="22"/>
          <w:szCs w:val="22"/>
        </w:rPr>
      </w:pPr>
      <w:r w:rsidRPr="008A2C89">
        <w:rPr>
          <w:rFonts w:eastAsiaTheme="minorHAnsi"/>
          <w:bCs/>
          <w:sz w:val="22"/>
          <w:szCs w:val="22"/>
        </w:rPr>
        <w:t>Farmakoterapijska grupa:</w:t>
      </w:r>
      <w:r w:rsidRPr="008A2C89">
        <w:rPr>
          <w:rFonts w:eastAsia="TimesNewRoman"/>
          <w:sz w:val="22"/>
          <w:szCs w:val="22"/>
          <w:lang w:val="hr-HR"/>
        </w:rPr>
        <w:t xml:space="preserve"> endokrina terapija, antiestrogeni</w:t>
      </w:r>
    </w:p>
    <w:p w14:paraId="4C21D0A7" w14:textId="77777777" w:rsidR="006F76B8" w:rsidRPr="008A2C89" w:rsidRDefault="006F76B8" w:rsidP="006F76B8">
      <w:pPr>
        <w:tabs>
          <w:tab w:val="left" w:pos="540"/>
          <w:tab w:val="left" w:pos="569"/>
        </w:tabs>
        <w:spacing w:line="259" w:lineRule="auto"/>
        <w:jc w:val="both"/>
        <w:rPr>
          <w:rFonts w:eastAsiaTheme="minorHAnsi"/>
          <w:bCs/>
          <w:sz w:val="22"/>
          <w:szCs w:val="22"/>
        </w:rPr>
      </w:pPr>
    </w:p>
    <w:p w14:paraId="484E6A23" w14:textId="77777777" w:rsidR="006F76B8" w:rsidRPr="008A2C89" w:rsidRDefault="006F76B8" w:rsidP="006F76B8">
      <w:pPr>
        <w:tabs>
          <w:tab w:val="left" w:pos="540"/>
          <w:tab w:val="left" w:pos="569"/>
        </w:tabs>
        <w:spacing w:line="259" w:lineRule="auto"/>
        <w:jc w:val="both"/>
        <w:rPr>
          <w:rFonts w:eastAsiaTheme="minorHAnsi"/>
          <w:bCs/>
          <w:sz w:val="22"/>
          <w:szCs w:val="22"/>
        </w:rPr>
      </w:pPr>
      <w:r w:rsidRPr="008A2C89">
        <w:rPr>
          <w:rFonts w:eastAsiaTheme="minorHAnsi"/>
          <w:bCs/>
          <w:sz w:val="22"/>
          <w:szCs w:val="22"/>
        </w:rPr>
        <w:t>ATC kod:</w:t>
      </w:r>
      <w:r w:rsidRPr="008A2C89">
        <w:rPr>
          <w:rFonts w:eastAsia="TimesNewRoman"/>
          <w:sz w:val="22"/>
          <w:szCs w:val="22"/>
          <w:lang w:val="hr-HR"/>
        </w:rPr>
        <w:t xml:space="preserve"> L02BA03</w:t>
      </w:r>
    </w:p>
    <w:p w14:paraId="034AA7E5" w14:textId="77777777" w:rsidR="006F76B8" w:rsidRPr="008A2C89" w:rsidRDefault="006F76B8" w:rsidP="006F76B8">
      <w:pPr>
        <w:autoSpaceDE w:val="0"/>
        <w:autoSpaceDN w:val="0"/>
        <w:adjustRightInd w:val="0"/>
        <w:spacing w:line="259" w:lineRule="auto"/>
        <w:jc w:val="both"/>
        <w:rPr>
          <w:rFonts w:eastAsia="TimesNewRoman"/>
          <w:sz w:val="22"/>
          <w:szCs w:val="22"/>
          <w:u w:val="single"/>
          <w:lang w:val="hr-HR"/>
        </w:rPr>
      </w:pPr>
    </w:p>
    <w:p w14:paraId="6217B43C" w14:textId="77777777" w:rsidR="006F76B8" w:rsidRPr="008A2C89" w:rsidRDefault="006F76B8" w:rsidP="006F76B8">
      <w:pPr>
        <w:autoSpaceDE w:val="0"/>
        <w:autoSpaceDN w:val="0"/>
        <w:adjustRightInd w:val="0"/>
        <w:spacing w:line="259" w:lineRule="auto"/>
        <w:jc w:val="both"/>
        <w:rPr>
          <w:rFonts w:eastAsia="TimesNewRoman"/>
          <w:sz w:val="22"/>
          <w:szCs w:val="22"/>
          <w:u w:val="single"/>
          <w:lang w:val="hr-HR"/>
        </w:rPr>
      </w:pPr>
      <w:r w:rsidRPr="008A2C89">
        <w:rPr>
          <w:rFonts w:eastAsia="TimesNewRoman"/>
          <w:sz w:val="22"/>
          <w:szCs w:val="22"/>
          <w:u w:val="single"/>
          <w:lang w:val="hr-HR"/>
        </w:rPr>
        <w:t>Mehanizam djelovanja i farmakodinamski efekti</w:t>
      </w:r>
    </w:p>
    <w:p w14:paraId="426A5CE8" w14:textId="77777777" w:rsidR="006F76B8" w:rsidRPr="008A2C89" w:rsidRDefault="006F76B8" w:rsidP="006F76B8">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 xml:space="preserve">Fulvestrant je kompetitivni antagonist estrogenskih receptora (ER), sa afinitetom uporedivim sa estradiolom. Fulvestrant blokira trofičko djelovanje estrogena, a sam nema nikakvog parcijalno </w:t>
      </w:r>
      <w:r w:rsidRPr="008A2C89">
        <w:rPr>
          <w:rFonts w:eastAsia="TimesNewRoman"/>
          <w:sz w:val="22"/>
          <w:szCs w:val="22"/>
          <w:lang w:val="hr-HR"/>
        </w:rPr>
        <w:lastRenderedPageBreak/>
        <w:t xml:space="preserve">agonističkog (estrogenu sličnog) dejstva. Mehanizam dejstva povezan je sa nishodnom regulacijom  nivoa proteina estrogenskih receptora. </w:t>
      </w:r>
    </w:p>
    <w:p w14:paraId="057B0B79" w14:textId="77777777" w:rsidR="006F76B8" w:rsidRPr="008A2C89" w:rsidRDefault="006F76B8" w:rsidP="006F76B8">
      <w:pPr>
        <w:autoSpaceDE w:val="0"/>
        <w:autoSpaceDN w:val="0"/>
        <w:adjustRightInd w:val="0"/>
        <w:spacing w:line="259" w:lineRule="auto"/>
        <w:jc w:val="both"/>
        <w:rPr>
          <w:rFonts w:eastAsia="TimesNewRoman"/>
          <w:sz w:val="22"/>
          <w:szCs w:val="22"/>
          <w:lang w:val="hr-HR"/>
        </w:rPr>
      </w:pPr>
    </w:p>
    <w:p w14:paraId="5C73D69B" w14:textId="77777777" w:rsidR="006F76B8" w:rsidRPr="008A2C89" w:rsidRDefault="006F76B8" w:rsidP="006F76B8">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Klinička ispitivanja kod postmenopauzalnih žena sa primarnim karcinomom dojke pokazala su da fulvestrant, u poređenju sa placebom, značajno smanjuje količinu proteina ER u ER pozitivnim tumorima. Zabilježeno je i značajno smanjenje ekspresije progesteronskih receptora, što je u skladu sa izostankom intrinzičnih efekata agonista estrogena. Pokazalo se takođe da u neoadjuvantnom liječenju tumora dojke kod postmenopauzalnih žena fulvestrant u dozi od 500 mg/5 ml snižava broj estrogenskih receptora i markera proliferacije Ki67 u većoj mjeri nego fulvestrant u dozi od 250 mg/5 ml.</w:t>
      </w:r>
    </w:p>
    <w:p w14:paraId="62FCD43E" w14:textId="77777777" w:rsidR="006F76B8" w:rsidRPr="008A2C89" w:rsidRDefault="006F76B8" w:rsidP="006F76B8">
      <w:pPr>
        <w:autoSpaceDE w:val="0"/>
        <w:autoSpaceDN w:val="0"/>
        <w:adjustRightInd w:val="0"/>
        <w:spacing w:line="259" w:lineRule="auto"/>
        <w:jc w:val="both"/>
        <w:rPr>
          <w:rFonts w:eastAsia="TimesNewRoman"/>
          <w:color w:val="FF0000"/>
          <w:sz w:val="22"/>
          <w:szCs w:val="22"/>
          <w:lang w:val="hr-HR"/>
        </w:rPr>
      </w:pPr>
    </w:p>
    <w:p w14:paraId="186749DC" w14:textId="77777777" w:rsidR="006F76B8" w:rsidRPr="008A2C89" w:rsidRDefault="006F76B8" w:rsidP="006F76B8">
      <w:pPr>
        <w:autoSpaceDE w:val="0"/>
        <w:autoSpaceDN w:val="0"/>
        <w:adjustRightInd w:val="0"/>
        <w:spacing w:line="259" w:lineRule="auto"/>
        <w:jc w:val="both"/>
        <w:rPr>
          <w:rFonts w:eastAsia="TimesNewRoman"/>
          <w:sz w:val="22"/>
          <w:szCs w:val="22"/>
          <w:u w:val="single"/>
          <w:lang w:val="hr-HR"/>
        </w:rPr>
      </w:pPr>
      <w:r w:rsidRPr="008A2C89">
        <w:rPr>
          <w:rFonts w:eastAsia="TimesNewRoman"/>
          <w:sz w:val="22"/>
          <w:szCs w:val="22"/>
          <w:u w:val="single"/>
          <w:lang w:val="hr-HR"/>
        </w:rPr>
        <w:t>Klinička efikasnost i bezbjednost kod uznapredovalog karcinoma dojke</w:t>
      </w:r>
    </w:p>
    <w:p w14:paraId="22F5CC06" w14:textId="77777777" w:rsidR="006F76B8" w:rsidRPr="008A2C89" w:rsidRDefault="006F76B8" w:rsidP="006F76B8">
      <w:pPr>
        <w:autoSpaceDE w:val="0"/>
        <w:autoSpaceDN w:val="0"/>
        <w:adjustRightInd w:val="0"/>
        <w:spacing w:line="259" w:lineRule="auto"/>
        <w:jc w:val="both"/>
        <w:rPr>
          <w:rFonts w:eastAsia="TimesNewRoman"/>
          <w:i/>
          <w:sz w:val="22"/>
          <w:szCs w:val="22"/>
          <w:u w:val="single"/>
          <w:lang w:val="hr-HR"/>
        </w:rPr>
      </w:pPr>
      <w:r w:rsidRPr="008A2C89">
        <w:rPr>
          <w:rFonts w:eastAsia="TimesNewRoman"/>
          <w:i/>
          <w:sz w:val="22"/>
          <w:szCs w:val="22"/>
          <w:u w:val="single"/>
          <w:lang w:val="hr-HR"/>
        </w:rPr>
        <w:t>Monoterapija</w:t>
      </w:r>
    </w:p>
    <w:p w14:paraId="4AA0B80E" w14:textId="77777777" w:rsidR="006F76B8" w:rsidRPr="008A2C89" w:rsidRDefault="006F76B8" w:rsidP="006F76B8">
      <w:pPr>
        <w:autoSpaceDE w:val="0"/>
        <w:autoSpaceDN w:val="0"/>
        <w:adjustRightInd w:val="0"/>
        <w:spacing w:line="259" w:lineRule="auto"/>
        <w:jc w:val="both"/>
        <w:rPr>
          <w:rFonts w:eastAsia="TimesNewRoman"/>
          <w:sz w:val="22"/>
          <w:szCs w:val="22"/>
          <w:lang w:val="hr-HR"/>
        </w:rPr>
      </w:pPr>
    </w:p>
    <w:p w14:paraId="12C1BB91" w14:textId="77777777" w:rsidR="006F76B8" w:rsidRPr="008A2C89" w:rsidRDefault="006F76B8" w:rsidP="006F76B8">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 xml:space="preserve">Kliničko ispitivanje faze III sprovedeno je kod 736 postmenopauzalnih žena sa uznapredovalim karcinomom dojke kod kojih se bolest ponovo pojavila tokom ili nakon adjuvantne endokrine terapije, ili je došlo do progresije bolesti nakon endokrine terapije uznapredovale bolesti. U ispitivanje su bile uključene 423 pacijentkinje kod kojih se bolest ponovo pojavila ili je uznapredovala tokom terapije antiestrogenom (AE podgrupa), i 313 pacijentkinja kod kojih se bolest ponovo pojavila ili je uznapredovala tokom terapije inhibitorom aromataze (AI podgrupa). </w:t>
      </w:r>
    </w:p>
    <w:p w14:paraId="2D457248" w14:textId="77777777" w:rsidR="006F76B8" w:rsidRPr="008A2C89" w:rsidRDefault="006F76B8" w:rsidP="006F76B8">
      <w:pPr>
        <w:autoSpaceDE w:val="0"/>
        <w:autoSpaceDN w:val="0"/>
        <w:adjustRightInd w:val="0"/>
        <w:spacing w:line="259" w:lineRule="auto"/>
        <w:jc w:val="both"/>
        <w:rPr>
          <w:rFonts w:eastAsia="TimesNewRoman"/>
          <w:sz w:val="22"/>
          <w:szCs w:val="22"/>
          <w:lang w:val="hr-HR"/>
        </w:rPr>
      </w:pPr>
    </w:p>
    <w:p w14:paraId="5C3E0E5E" w14:textId="77777777" w:rsidR="006F76B8" w:rsidRPr="008A2C89" w:rsidRDefault="006F76B8" w:rsidP="006F76B8">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 xml:space="preserve">U ovom ispitivanju se upoređivala efikasnost i bezbjednost primjene fulvestranta u dozi od 500 mg (n=362) i fulvestranta u dozi od 250 mg (n=374). Preživljavanje bez progresije bolesti (PFS; engl. </w:t>
      </w:r>
      <w:r w:rsidRPr="008A2C89">
        <w:rPr>
          <w:rFonts w:eastAsia="TimesNewRoman"/>
          <w:i/>
          <w:sz w:val="22"/>
          <w:szCs w:val="22"/>
          <w:lang w:val="hr-HR"/>
        </w:rPr>
        <w:t>Progression Free Survival</w:t>
      </w:r>
      <w:r w:rsidRPr="008A2C89">
        <w:rPr>
          <w:rFonts w:eastAsia="TimesNewRoman"/>
          <w:sz w:val="22"/>
          <w:szCs w:val="22"/>
          <w:lang w:val="hr-HR"/>
        </w:rPr>
        <w:t xml:space="preserve">) bilo je primarna mjera ishoda studije; ključne sekundarne mjere ishoda studije obuhvatale su stopu objektivnog odgovora (ORR; engl. </w:t>
      </w:r>
      <w:r w:rsidRPr="008A2C89">
        <w:rPr>
          <w:rFonts w:eastAsia="TimesNewRoman"/>
          <w:i/>
          <w:sz w:val="22"/>
          <w:szCs w:val="22"/>
          <w:lang w:val="hr-HR"/>
        </w:rPr>
        <w:t>Objective response rate</w:t>
      </w:r>
      <w:r w:rsidRPr="008A2C89">
        <w:rPr>
          <w:rFonts w:eastAsia="TimesNewRoman"/>
          <w:sz w:val="22"/>
          <w:szCs w:val="22"/>
          <w:lang w:val="hr-HR"/>
        </w:rPr>
        <w:t xml:space="preserve">), stopu kliničke koristi (CBR; engl. </w:t>
      </w:r>
      <w:r w:rsidRPr="008A2C89">
        <w:rPr>
          <w:rFonts w:eastAsia="TimesNewRoman"/>
          <w:i/>
          <w:sz w:val="22"/>
          <w:szCs w:val="22"/>
          <w:lang w:val="hr-HR"/>
        </w:rPr>
        <w:t>Clinical Benefit Rate</w:t>
      </w:r>
      <w:r w:rsidRPr="008A2C89">
        <w:rPr>
          <w:rFonts w:eastAsia="TimesNewRoman"/>
          <w:sz w:val="22"/>
          <w:szCs w:val="22"/>
          <w:lang w:val="hr-HR"/>
        </w:rPr>
        <w:t xml:space="preserve">) i ukupno preživljavanje (OS; engl. </w:t>
      </w:r>
      <w:r w:rsidRPr="008A2C89">
        <w:rPr>
          <w:rFonts w:eastAsia="TimesNewRoman"/>
          <w:i/>
          <w:sz w:val="22"/>
          <w:szCs w:val="22"/>
          <w:lang w:val="hr-HR"/>
        </w:rPr>
        <w:t>Overall Survival</w:t>
      </w:r>
      <w:r w:rsidRPr="008A2C89">
        <w:rPr>
          <w:rFonts w:eastAsia="TimesNewRoman"/>
          <w:sz w:val="22"/>
          <w:szCs w:val="22"/>
          <w:lang w:val="hr-HR"/>
        </w:rPr>
        <w:t>). Rezultati efikasnosti za CONFIRM studiju su sumirani u Tabeli 3.</w:t>
      </w:r>
    </w:p>
    <w:p w14:paraId="53BA20A9" w14:textId="77777777" w:rsidR="006F76B8" w:rsidRPr="008A2C89" w:rsidRDefault="006F76B8" w:rsidP="006F76B8">
      <w:pPr>
        <w:autoSpaceDE w:val="0"/>
        <w:autoSpaceDN w:val="0"/>
        <w:adjustRightInd w:val="0"/>
        <w:spacing w:line="259" w:lineRule="auto"/>
        <w:jc w:val="both"/>
        <w:rPr>
          <w:rFonts w:eastAsia="TimesNewRoman"/>
          <w:sz w:val="22"/>
          <w:szCs w:val="22"/>
          <w:lang w:val="hr-HR"/>
        </w:rPr>
      </w:pPr>
    </w:p>
    <w:p w14:paraId="2683DE8B" w14:textId="250D0313" w:rsidR="006F76B8" w:rsidRPr="008A2C89" w:rsidRDefault="006F76B8" w:rsidP="006F76B8">
      <w:pPr>
        <w:autoSpaceDE w:val="0"/>
        <w:autoSpaceDN w:val="0"/>
        <w:adjustRightInd w:val="0"/>
        <w:spacing w:line="259" w:lineRule="auto"/>
        <w:ind w:left="1247" w:hanging="1247"/>
        <w:jc w:val="both"/>
        <w:rPr>
          <w:rFonts w:eastAsia="TimesNewRoman,Bold"/>
          <w:b/>
          <w:bCs/>
          <w:sz w:val="22"/>
          <w:szCs w:val="22"/>
          <w:lang w:val="hr-HR"/>
        </w:rPr>
      </w:pPr>
      <w:r w:rsidRPr="009338F8">
        <w:rPr>
          <w:rFonts w:eastAsia="TimesNewRoman,Bold"/>
          <w:b/>
          <w:bCs/>
          <w:sz w:val="22"/>
          <w:szCs w:val="22"/>
          <w:lang w:val="hr-HR"/>
        </w:rPr>
        <w:t xml:space="preserve">Tabela 3       Pregled rezultata </w:t>
      </w:r>
      <w:r w:rsidR="00037946" w:rsidRPr="00AE5D50">
        <w:rPr>
          <w:rFonts w:eastAsia="TimesNewRoman,Bold"/>
          <w:b/>
          <w:bCs/>
          <w:sz w:val="22"/>
          <w:szCs w:val="22"/>
          <w:lang w:val="hr-HR"/>
        </w:rPr>
        <w:t>primarnih mjera ishoda efikasnosti</w:t>
      </w:r>
      <w:r w:rsidRPr="009338F8">
        <w:rPr>
          <w:rFonts w:eastAsia="TimesNewRoman,Bold"/>
          <w:b/>
          <w:bCs/>
          <w:sz w:val="22"/>
          <w:szCs w:val="22"/>
          <w:lang w:val="hr-HR"/>
        </w:rPr>
        <w:t xml:space="preserve"> (preživljavanje bez progresije bolesti, PFS) i </w:t>
      </w:r>
      <w:r w:rsidR="00037946" w:rsidRPr="00037946">
        <w:rPr>
          <w:rFonts w:eastAsia="TimesNewRoman,Bold"/>
          <w:b/>
          <w:bCs/>
          <w:sz w:val="22"/>
          <w:szCs w:val="22"/>
          <w:lang w:val="hr-HR"/>
        </w:rPr>
        <w:t>ključni</w:t>
      </w:r>
      <w:r w:rsidR="00037946" w:rsidRPr="00AE5D50">
        <w:rPr>
          <w:rFonts w:eastAsia="TimesNewRoman,Bold"/>
          <w:b/>
          <w:bCs/>
          <w:sz w:val="22"/>
          <w:szCs w:val="22"/>
          <w:lang w:val="hr-HR"/>
        </w:rPr>
        <w:t>h sekundarnim mjera ishoda efikasnosti</w:t>
      </w:r>
      <w:r w:rsidRPr="009338F8">
        <w:rPr>
          <w:rFonts w:eastAsia="TimesNewRoman,Bold"/>
          <w:b/>
          <w:bCs/>
          <w:sz w:val="22"/>
          <w:szCs w:val="22"/>
          <w:lang w:val="hr-HR"/>
        </w:rPr>
        <w:t xml:space="preserve"> u CONFIRM studiji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39"/>
        <w:gridCol w:w="1358"/>
        <w:gridCol w:w="1260"/>
        <w:gridCol w:w="44"/>
        <w:gridCol w:w="1304"/>
        <w:gridCol w:w="1175"/>
        <w:gridCol w:w="1097"/>
        <w:gridCol w:w="1345"/>
      </w:tblGrid>
      <w:tr w:rsidR="0060668B" w:rsidRPr="00585C79" w14:paraId="25F81C85" w14:textId="77777777" w:rsidTr="00AE5D50">
        <w:tc>
          <w:tcPr>
            <w:tcW w:w="764" w:type="pct"/>
            <w:tcBorders>
              <w:top w:val="single" w:sz="4" w:space="0" w:color="auto"/>
              <w:left w:val="nil"/>
              <w:bottom w:val="single" w:sz="4" w:space="0" w:color="auto"/>
              <w:right w:val="nil"/>
            </w:tcBorders>
            <w:shd w:val="clear" w:color="auto" w:fill="auto"/>
          </w:tcPr>
          <w:p w14:paraId="2BFD4A99" w14:textId="77777777" w:rsidR="0060668B" w:rsidRPr="008A2C89" w:rsidRDefault="0060668B" w:rsidP="0060668B">
            <w:pPr>
              <w:spacing w:line="276" w:lineRule="auto"/>
              <w:rPr>
                <w:rFonts w:eastAsia="Calibri"/>
                <w:b/>
                <w:sz w:val="22"/>
                <w:szCs w:val="22"/>
                <w:lang w:val="hr-HR"/>
              </w:rPr>
            </w:pPr>
            <w:r w:rsidRPr="008A2C89">
              <w:rPr>
                <w:rFonts w:eastAsia="Calibri"/>
                <w:b/>
                <w:sz w:val="22"/>
                <w:szCs w:val="22"/>
                <w:lang w:val="hr-HR"/>
              </w:rPr>
              <w:t>Promjenljiva</w:t>
            </w:r>
          </w:p>
        </w:tc>
        <w:tc>
          <w:tcPr>
            <w:tcW w:w="805" w:type="pct"/>
            <w:gridSpan w:val="2"/>
            <w:tcBorders>
              <w:top w:val="single" w:sz="4" w:space="0" w:color="auto"/>
              <w:left w:val="nil"/>
              <w:bottom w:val="single" w:sz="4" w:space="0" w:color="auto"/>
              <w:right w:val="nil"/>
            </w:tcBorders>
            <w:shd w:val="clear" w:color="auto" w:fill="auto"/>
          </w:tcPr>
          <w:p w14:paraId="2F2389BA" w14:textId="77777777" w:rsidR="0060668B" w:rsidRPr="008A2C89" w:rsidRDefault="0060668B" w:rsidP="0060668B">
            <w:pPr>
              <w:spacing w:line="276" w:lineRule="auto"/>
              <w:rPr>
                <w:rFonts w:eastAsia="Calibri"/>
                <w:b/>
                <w:sz w:val="22"/>
                <w:szCs w:val="22"/>
                <w:lang w:val="hr-HR"/>
              </w:rPr>
            </w:pPr>
            <w:r w:rsidRPr="008A2C89">
              <w:rPr>
                <w:rFonts w:eastAsia="Calibri"/>
                <w:b/>
                <w:sz w:val="22"/>
                <w:szCs w:val="22"/>
                <w:lang w:val="hr-HR"/>
              </w:rPr>
              <w:t>Vrsta procjene; Poređenje liječenja</w:t>
            </w:r>
          </w:p>
        </w:tc>
        <w:tc>
          <w:tcPr>
            <w:tcW w:w="699" w:type="pct"/>
            <w:gridSpan w:val="2"/>
            <w:tcBorders>
              <w:top w:val="single" w:sz="4" w:space="0" w:color="auto"/>
              <w:left w:val="nil"/>
              <w:bottom w:val="single" w:sz="4" w:space="0" w:color="auto"/>
              <w:right w:val="nil"/>
            </w:tcBorders>
            <w:shd w:val="clear" w:color="auto" w:fill="auto"/>
          </w:tcPr>
          <w:p w14:paraId="01677C9D" w14:textId="77777777" w:rsidR="0060668B" w:rsidRPr="008A2C89" w:rsidRDefault="0060668B" w:rsidP="0060668B">
            <w:pPr>
              <w:spacing w:line="276" w:lineRule="auto"/>
              <w:rPr>
                <w:rFonts w:eastAsia="Calibri"/>
                <w:b/>
                <w:sz w:val="22"/>
                <w:szCs w:val="22"/>
                <w:lang w:val="hr-HR"/>
              </w:rPr>
            </w:pPr>
            <w:r w:rsidRPr="008A2C89">
              <w:rPr>
                <w:rFonts w:eastAsia="Calibri"/>
                <w:b/>
                <w:sz w:val="22"/>
                <w:szCs w:val="22"/>
                <w:lang w:val="hr-HR"/>
              </w:rPr>
              <w:t>Fulvestrant 500 mg (N=362)</w:t>
            </w:r>
          </w:p>
        </w:tc>
        <w:tc>
          <w:tcPr>
            <w:tcW w:w="686" w:type="pct"/>
            <w:tcBorders>
              <w:top w:val="single" w:sz="4" w:space="0" w:color="auto"/>
              <w:left w:val="nil"/>
              <w:bottom w:val="single" w:sz="4" w:space="0" w:color="auto"/>
              <w:right w:val="nil"/>
            </w:tcBorders>
            <w:shd w:val="clear" w:color="auto" w:fill="auto"/>
          </w:tcPr>
          <w:p w14:paraId="7A2456EB" w14:textId="77777777" w:rsidR="0060668B" w:rsidRPr="008A2C89" w:rsidRDefault="0060668B" w:rsidP="0060668B">
            <w:pPr>
              <w:spacing w:line="276" w:lineRule="auto"/>
              <w:rPr>
                <w:rFonts w:eastAsia="Calibri"/>
                <w:b/>
                <w:sz w:val="22"/>
                <w:szCs w:val="22"/>
                <w:lang w:val="hr-HR"/>
              </w:rPr>
            </w:pPr>
            <w:r w:rsidRPr="008A2C89">
              <w:rPr>
                <w:rFonts w:eastAsia="Calibri"/>
                <w:b/>
                <w:sz w:val="22"/>
                <w:szCs w:val="22"/>
                <w:lang w:val="hr-HR"/>
              </w:rPr>
              <w:t>Fulvestrant 250mg (N=374)</w:t>
            </w:r>
          </w:p>
        </w:tc>
        <w:tc>
          <w:tcPr>
            <w:tcW w:w="2046" w:type="pct"/>
            <w:gridSpan w:val="3"/>
            <w:tcBorders>
              <w:top w:val="single" w:sz="4" w:space="0" w:color="auto"/>
              <w:left w:val="nil"/>
              <w:bottom w:val="single" w:sz="4" w:space="0" w:color="auto"/>
              <w:right w:val="nil"/>
            </w:tcBorders>
            <w:shd w:val="clear" w:color="auto" w:fill="auto"/>
          </w:tcPr>
          <w:p w14:paraId="5F2764F0" w14:textId="77777777" w:rsidR="0060668B" w:rsidRPr="008A2C89" w:rsidRDefault="0060668B" w:rsidP="0060668B">
            <w:pPr>
              <w:spacing w:line="276" w:lineRule="auto"/>
              <w:rPr>
                <w:rFonts w:eastAsia="Calibri"/>
                <w:b/>
                <w:sz w:val="22"/>
                <w:szCs w:val="22"/>
                <w:lang w:val="hr-HR"/>
              </w:rPr>
            </w:pPr>
            <w:r w:rsidRPr="008A2C89">
              <w:rPr>
                <w:rFonts w:eastAsia="Calibri"/>
                <w:b/>
                <w:sz w:val="22"/>
                <w:szCs w:val="22"/>
                <w:lang w:val="hr-HR"/>
              </w:rPr>
              <w:t xml:space="preserve">Poređenje između grupa </w:t>
            </w:r>
            <w:r w:rsidRPr="008A2C89">
              <w:rPr>
                <w:rFonts w:eastAsia="Calibri"/>
                <w:b/>
                <w:sz w:val="22"/>
                <w:szCs w:val="22"/>
                <w:u w:val="single"/>
                <w:lang w:val="hr-HR"/>
              </w:rPr>
              <w:t>(fulvestrant 500 mg/ fulvestrant 250 mg)</w:t>
            </w:r>
            <w:r w:rsidRPr="008A2C89">
              <w:rPr>
                <w:rFonts w:eastAsia="Calibri"/>
                <w:b/>
                <w:sz w:val="22"/>
                <w:szCs w:val="22"/>
                <w:lang w:val="hr-HR"/>
              </w:rPr>
              <w:t xml:space="preserve"> </w:t>
            </w:r>
          </w:p>
          <w:p w14:paraId="05584267" w14:textId="77777777" w:rsidR="0060668B" w:rsidRPr="008A2C89" w:rsidRDefault="0060668B" w:rsidP="0060668B">
            <w:pPr>
              <w:spacing w:line="276" w:lineRule="auto"/>
              <w:rPr>
                <w:rFonts w:eastAsia="Calibri"/>
                <w:b/>
                <w:sz w:val="22"/>
                <w:szCs w:val="22"/>
                <w:lang w:val="hr-HR"/>
              </w:rPr>
            </w:pPr>
            <w:r w:rsidRPr="008A2C89">
              <w:rPr>
                <w:rFonts w:eastAsia="Calibri"/>
                <w:b/>
                <w:sz w:val="22"/>
                <w:szCs w:val="22"/>
                <w:lang w:val="hr-HR"/>
              </w:rPr>
              <w:t>Odnos rizika</w:t>
            </w:r>
            <w:r w:rsidRPr="008A2C89">
              <w:rPr>
                <w:rFonts w:eastAsia="Calibri"/>
                <w:b/>
                <w:sz w:val="22"/>
                <w:szCs w:val="22"/>
                <w:lang w:val="hr-HR"/>
              </w:rPr>
              <w:tab/>
              <w:t>95% CI      p-vrijednost</w:t>
            </w:r>
          </w:p>
        </w:tc>
      </w:tr>
      <w:tr w:rsidR="0060668B" w:rsidRPr="008A2C89" w14:paraId="3066D694"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3"/>
        </w:trPr>
        <w:tc>
          <w:tcPr>
            <w:tcW w:w="1569" w:type="pct"/>
            <w:gridSpan w:val="3"/>
            <w:tcBorders>
              <w:top w:val="nil"/>
            </w:tcBorders>
            <w:vAlign w:val="center"/>
          </w:tcPr>
          <w:p w14:paraId="3A6AEF83" w14:textId="7F3BBE93" w:rsidR="0060668B" w:rsidRPr="008A2C89" w:rsidRDefault="0060668B">
            <w:pPr>
              <w:autoSpaceDE w:val="0"/>
              <w:autoSpaceDN w:val="0"/>
              <w:adjustRightInd w:val="0"/>
              <w:spacing w:line="259" w:lineRule="auto"/>
              <w:rPr>
                <w:rFonts w:eastAsia="Calibri"/>
                <w:sz w:val="22"/>
                <w:szCs w:val="22"/>
                <w:lang w:val="hr-HR"/>
              </w:rPr>
            </w:pPr>
            <w:r w:rsidRPr="008A2C89">
              <w:rPr>
                <w:rFonts w:eastAsia="Calibri"/>
                <w:b/>
                <w:bCs/>
                <w:sz w:val="22"/>
                <w:szCs w:val="22"/>
                <w:lang w:val="hr-HR"/>
              </w:rPr>
              <w:t xml:space="preserve">PFS             K-M medijana </w:t>
            </w:r>
          </w:p>
        </w:tc>
        <w:tc>
          <w:tcPr>
            <w:tcW w:w="675" w:type="pct"/>
            <w:tcBorders>
              <w:top w:val="nil"/>
            </w:tcBorders>
          </w:tcPr>
          <w:p w14:paraId="33733C39"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10" w:type="pct"/>
            <w:gridSpan w:val="2"/>
            <w:tcBorders>
              <w:top w:val="nil"/>
            </w:tcBorders>
          </w:tcPr>
          <w:p w14:paraId="66DA230F"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665" w:type="pct"/>
            <w:tcBorders>
              <w:top w:val="nil"/>
            </w:tcBorders>
          </w:tcPr>
          <w:p w14:paraId="597FD3CF"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621" w:type="pct"/>
            <w:tcBorders>
              <w:top w:val="nil"/>
            </w:tcBorders>
          </w:tcPr>
          <w:p w14:paraId="17ED927B"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59" w:type="pct"/>
            <w:tcBorders>
              <w:top w:val="nil"/>
            </w:tcBorders>
          </w:tcPr>
          <w:p w14:paraId="101929D7" w14:textId="77777777" w:rsidR="0060668B" w:rsidRPr="008A2C89" w:rsidRDefault="0060668B" w:rsidP="0060668B">
            <w:pPr>
              <w:autoSpaceDE w:val="0"/>
              <w:autoSpaceDN w:val="0"/>
              <w:adjustRightInd w:val="0"/>
              <w:spacing w:line="259" w:lineRule="auto"/>
              <w:rPr>
                <w:rFonts w:eastAsia="Calibri"/>
                <w:sz w:val="22"/>
                <w:szCs w:val="22"/>
                <w:lang w:val="hr-HR"/>
              </w:rPr>
            </w:pPr>
          </w:p>
        </w:tc>
      </w:tr>
      <w:tr w:rsidR="0060668B" w:rsidRPr="008A2C89" w14:paraId="2FC425D9"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60"/>
        </w:trPr>
        <w:tc>
          <w:tcPr>
            <w:tcW w:w="1569" w:type="pct"/>
            <w:gridSpan w:val="3"/>
          </w:tcPr>
          <w:p w14:paraId="7442AB74"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               u mjesecima; </w:t>
            </w:r>
          </w:p>
        </w:tc>
        <w:tc>
          <w:tcPr>
            <w:tcW w:w="675" w:type="pct"/>
          </w:tcPr>
          <w:p w14:paraId="3CB86A1E"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10" w:type="pct"/>
            <w:gridSpan w:val="2"/>
          </w:tcPr>
          <w:p w14:paraId="09CBC6CF"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665" w:type="pct"/>
          </w:tcPr>
          <w:p w14:paraId="6996B8BB"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621" w:type="pct"/>
          </w:tcPr>
          <w:p w14:paraId="5639CD5A"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59" w:type="pct"/>
          </w:tcPr>
          <w:p w14:paraId="0287D35C" w14:textId="77777777" w:rsidR="0060668B" w:rsidRPr="008A2C89" w:rsidRDefault="0060668B" w:rsidP="0060668B">
            <w:pPr>
              <w:autoSpaceDE w:val="0"/>
              <w:autoSpaceDN w:val="0"/>
              <w:adjustRightInd w:val="0"/>
              <w:spacing w:line="259" w:lineRule="auto"/>
              <w:rPr>
                <w:rFonts w:eastAsia="Calibri"/>
                <w:sz w:val="22"/>
                <w:szCs w:val="22"/>
                <w:lang w:val="hr-HR"/>
              </w:rPr>
            </w:pPr>
          </w:p>
        </w:tc>
      </w:tr>
      <w:tr w:rsidR="0060668B" w:rsidRPr="008A2C89" w14:paraId="0757C56D"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63"/>
        </w:trPr>
        <w:tc>
          <w:tcPr>
            <w:tcW w:w="1569" w:type="pct"/>
            <w:gridSpan w:val="3"/>
          </w:tcPr>
          <w:p w14:paraId="12ECBCDF"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              Odnos rizika </w:t>
            </w:r>
          </w:p>
        </w:tc>
        <w:tc>
          <w:tcPr>
            <w:tcW w:w="675" w:type="pct"/>
          </w:tcPr>
          <w:p w14:paraId="1F16629F"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10" w:type="pct"/>
            <w:gridSpan w:val="2"/>
          </w:tcPr>
          <w:p w14:paraId="38D23CA9"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665" w:type="pct"/>
          </w:tcPr>
          <w:p w14:paraId="746E037F"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621" w:type="pct"/>
          </w:tcPr>
          <w:p w14:paraId="3B8912C0"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59" w:type="pct"/>
          </w:tcPr>
          <w:p w14:paraId="14A13415" w14:textId="77777777" w:rsidR="0060668B" w:rsidRPr="008A2C89" w:rsidRDefault="0060668B" w:rsidP="0060668B">
            <w:pPr>
              <w:autoSpaceDE w:val="0"/>
              <w:autoSpaceDN w:val="0"/>
              <w:adjustRightInd w:val="0"/>
              <w:spacing w:line="259" w:lineRule="auto"/>
              <w:rPr>
                <w:rFonts w:eastAsia="Calibri"/>
                <w:sz w:val="22"/>
                <w:szCs w:val="22"/>
                <w:lang w:val="hr-HR"/>
              </w:rPr>
            </w:pPr>
          </w:p>
        </w:tc>
      </w:tr>
      <w:tr w:rsidR="0060668B" w:rsidRPr="008A2C89" w14:paraId="73CA0015"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53"/>
        </w:trPr>
        <w:tc>
          <w:tcPr>
            <w:tcW w:w="1569" w:type="pct"/>
            <w:gridSpan w:val="3"/>
          </w:tcPr>
          <w:p w14:paraId="4D3D9820"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b/>
                <w:bCs/>
                <w:sz w:val="22"/>
                <w:szCs w:val="22"/>
                <w:lang w:val="hr-HR"/>
              </w:rPr>
              <w:t>Sve pacijentkinje</w:t>
            </w:r>
          </w:p>
        </w:tc>
        <w:tc>
          <w:tcPr>
            <w:tcW w:w="675" w:type="pct"/>
          </w:tcPr>
          <w:p w14:paraId="4F01DFF0"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6,5 </w:t>
            </w:r>
          </w:p>
        </w:tc>
        <w:tc>
          <w:tcPr>
            <w:tcW w:w="710" w:type="pct"/>
            <w:gridSpan w:val="2"/>
          </w:tcPr>
          <w:p w14:paraId="15F8CBA3"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5,5 </w:t>
            </w:r>
          </w:p>
        </w:tc>
        <w:tc>
          <w:tcPr>
            <w:tcW w:w="665" w:type="pct"/>
          </w:tcPr>
          <w:p w14:paraId="04A8F0B4"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0,80 </w:t>
            </w:r>
          </w:p>
        </w:tc>
        <w:tc>
          <w:tcPr>
            <w:tcW w:w="621" w:type="pct"/>
          </w:tcPr>
          <w:p w14:paraId="6026DD9D"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0,68; 0,94 </w:t>
            </w:r>
          </w:p>
        </w:tc>
        <w:tc>
          <w:tcPr>
            <w:tcW w:w="759" w:type="pct"/>
          </w:tcPr>
          <w:p w14:paraId="4E10C107"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0,006 </w:t>
            </w:r>
          </w:p>
        </w:tc>
      </w:tr>
      <w:tr w:rsidR="0060668B" w:rsidRPr="008A2C89" w14:paraId="3DA87FA4"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68"/>
        </w:trPr>
        <w:tc>
          <w:tcPr>
            <w:tcW w:w="1569" w:type="pct"/>
            <w:gridSpan w:val="3"/>
          </w:tcPr>
          <w:p w14:paraId="27721DF7"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b/>
                <w:bCs/>
                <w:sz w:val="22"/>
                <w:szCs w:val="22"/>
                <w:lang w:val="hr-HR"/>
              </w:rPr>
              <w:t xml:space="preserve">-AE podgrupa (n=423) </w:t>
            </w:r>
          </w:p>
        </w:tc>
        <w:tc>
          <w:tcPr>
            <w:tcW w:w="675" w:type="pct"/>
          </w:tcPr>
          <w:p w14:paraId="5FF45BC7"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8,6 </w:t>
            </w:r>
          </w:p>
        </w:tc>
        <w:tc>
          <w:tcPr>
            <w:tcW w:w="710" w:type="pct"/>
            <w:gridSpan w:val="2"/>
          </w:tcPr>
          <w:p w14:paraId="3C71D356"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5,8 </w:t>
            </w:r>
          </w:p>
        </w:tc>
        <w:tc>
          <w:tcPr>
            <w:tcW w:w="665" w:type="pct"/>
          </w:tcPr>
          <w:p w14:paraId="75C54F40"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0,76 </w:t>
            </w:r>
          </w:p>
        </w:tc>
        <w:tc>
          <w:tcPr>
            <w:tcW w:w="621" w:type="pct"/>
          </w:tcPr>
          <w:p w14:paraId="2D7E2F41"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0,62; 0,94 </w:t>
            </w:r>
          </w:p>
        </w:tc>
        <w:tc>
          <w:tcPr>
            <w:tcW w:w="759" w:type="pct"/>
          </w:tcPr>
          <w:p w14:paraId="5CE7A4C2"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0,013 </w:t>
            </w:r>
          </w:p>
        </w:tc>
      </w:tr>
      <w:tr w:rsidR="0060668B" w:rsidRPr="008A2C89" w14:paraId="664E9EBE"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30"/>
        </w:trPr>
        <w:tc>
          <w:tcPr>
            <w:tcW w:w="1569" w:type="pct"/>
            <w:gridSpan w:val="3"/>
            <w:tcBorders>
              <w:bottom w:val="single" w:sz="4" w:space="0" w:color="auto"/>
            </w:tcBorders>
          </w:tcPr>
          <w:p w14:paraId="04359644"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b/>
                <w:bCs/>
                <w:sz w:val="22"/>
                <w:szCs w:val="22"/>
                <w:lang w:val="hr-HR"/>
              </w:rPr>
              <w:t>-AI podgrupa (n=313)</w:t>
            </w:r>
            <w:r w:rsidRPr="008A2C89">
              <w:rPr>
                <w:rFonts w:eastAsia="Calibri"/>
                <w:b/>
                <w:bCs/>
                <w:sz w:val="22"/>
                <w:szCs w:val="22"/>
                <w:vertAlign w:val="superscript"/>
                <w:lang w:val="hr-HR"/>
              </w:rPr>
              <w:t>a</w:t>
            </w:r>
            <w:r w:rsidRPr="008A2C89">
              <w:rPr>
                <w:rFonts w:eastAsia="Calibri"/>
                <w:b/>
                <w:bCs/>
                <w:sz w:val="22"/>
                <w:szCs w:val="22"/>
                <w:lang w:val="hr-HR"/>
              </w:rPr>
              <w:t xml:space="preserve"> </w:t>
            </w:r>
          </w:p>
        </w:tc>
        <w:tc>
          <w:tcPr>
            <w:tcW w:w="675" w:type="pct"/>
            <w:tcBorders>
              <w:bottom w:val="single" w:sz="4" w:space="0" w:color="auto"/>
            </w:tcBorders>
          </w:tcPr>
          <w:p w14:paraId="16D26075"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5,4 </w:t>
            </w:r>
          </w:p>
        </w:tc>
        <w:tc>
          <w:tcPr>
            <w:tcW w:w="710" w:type="pct"/>
            <w:gridSpan w:val="2"/>
            <w:tcBorders>
              <w:bottom w:val="single" w:sz="4" w:space="0" w:color="auto"/>
            </w:tcBorders>
          </w:tcPr>
          <w:p w14:paraId="1FCB335C"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4,1 </w:t>
            </w:r>
          </w:p>
        </w:tc>
        <w:tc>
          <w:tcPr>
            <w:tcW w:w="665" w:type="pct"/>
            <w:tcBorders>
              <w:bottom w:val="single" w:sz="4" w:space="0" w:color="auto"/>
            </w:tcBorders>
          </w:tcPr>
          <w:p w14:paraId="517E1581"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0,85 </w:t>
            </w:r>
          </w:p>
        </w:tc>
        <w:tc>
          <w:tcPr>
            <w:tcW w:w="621" w:type="pct"/>
            <w:tcBorders>
              <w:bottom w:val="single" w:sz="4" w:space="0" w:color="auto"/>
            </w:tcBorders>
          </w:tcPr>
          <w:p w14:paraId="6D0BE1D5"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0,67; 1,08 </w:t>
            </w:r>
          </w:p>
        </w:tc>
        <w:tc>
          <w:tcPr>
            <w:tcW w:w="759" w:type="pct"/>
            <w:tcBorders>
              <w:bottom w:val="single" w:sz="4" w:space="0" w:color="auto"/>
            </w:tcBorders>
          </w:tcPr>
          <w:p w14:paraId="7BE39EC3"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b/>
                <w:bCs/>
                <w:sz w:val="22"/>
                <w:szCs w:val="22"/>
                <w:lang w:val="hr-HR"/>
              </w:rPr>
              <w:t xml:space="preserve">0,195 </w:t>
            </w:r>
          </w:p>
        </w:tc>
      </w:tr>
      <w:tr w:rsidR="0060668B" w:rsidRPr="008A2C89" w14:paraId="260F5983"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5"/>
        </w:trPr>
        <w:tc>
          <w:tcPr>
            <w:tcW w:w="1569" w:type="pct"/>
            <w:gridSpan w:val="3"/>
            <w:tcBorders>
              <w:top w:val="single" w:sz="4" w:space="0" w:color="auto"/>
              <w:bottom w:val="nil"/>
            </w:tcBorders>
          </w:tcPr>
          <w:p w14:paraId="712CBB42" w14:textId="320B02F7" w:rsidR="0060668B" w:rsidRPr="008A2C89" w:rsidRDefault="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OSb             K-M medijana </w:t>
            </w:r>
          </w:p>
        </w:tc>
        <w:tc>
          <w:tcPr>
            <w:tcW w:w="675" w:type="pct"/>
            <w:tcBorders>
              <w:top w:val="single" w:sz="4" w:space="0" w:color="auto"/>
              <w:bottom w:val="nil"/>
            </w:tcBorders>
          </w:tcPr>
          <w:p w14:paraId="5C18C3D1"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10" w:type="pct"/>
            <w:gridSpan w:val="2"/>
            <w:tcBorders>
              <w:top w:val="single" w:sz="4" w:space="0" w:color="auto"/>
              <w:bottom w:val="nil"/>
            </w:tcBorders>
          </w:tcPr>
          <w:p w14:paraId="3D1D180C"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665" w:type="pct"/>
            <w:tcBorders>
              <w:top w:val="single" w:sz="4" w:space="0" w:color="auto"/>
              <w:bottom w:val="nil"/>
            </w:tcBorders>
          </w:tcPr>
          <w:p w14:paraId="20304626"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621" w:type="pct"/>
            <w:tcBorders>
              <w:top w:val="single" w:sz="4" w:space="0" w:color="auto"/>
              <w:bottom w:val="nil"/>
            </w:tcBorders>
          </w:tcPr>
          <w:p w14:paraId="76FFE5B6"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59" w:type="pct"/>
            <w:tcBorders>
              <w:top w:val="single" w:sz="4" w:space="0" w:color="auto"/>
              <w:bottom w:val="nil"/>
            </w:tcBorders>
          </w:tcPr>
          <w:p w14:paraId="521C6303" w14:textId="77777777" w:rsidR="0060668B" w:rsidRPr="008A2C89" w:rsidRDefault="0060668B" w:rsidP="0060668B">
            <w:pPr>
              <w:autoSpaceDE w:val="0"/>
              <w:autoSpaceDN w:val="0"/>
              <w:adjustRightInd w:val="0"/>
              <w:spacing w:line="259" w:lineRule="auto"/>
              <w:rPr>
                <w:rFonts w:eastAsia="Calibri"/>
                <w:sz w:val="22"/>
                <w:szCs w:val="22"/>
                <w:lang w:val="hr-HR"/>
              </w:rPr>
            </w:pPr>
          </w:p>
        </w:tc>
      </w:tr>
      <w:tr w:rsidR="0060668B" w:rsidRPr="008A2C89" w14:paraId="35C9BBC9"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60"/>
        </w:trPr>
        <w:tc>
          <w:tcPr>
            <w:tcW w:w="1569" w:type="pct"/>
            <w:gridSpan w:val="3"/>
            <w:tcBorders>
              <w:top w:val="nil"/>
            </w:tcBorders>
          </w:tcPr>
          <w:p w14:paraId="35E9ADE3" w14:textId="6B7D976B" w:rsidR="0060668B" w:rsidRPr="008A2C89" w:rsidRDefault="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                    u mjesecima; </w:t>
            </w:r>
          </w:p>
        </w:tc>
        <w:tc>
          <w:tcPr>
            <w:tcW w:w="675" w:type="pct"/>
            <w:tcBorders>
              <w:top w:val="nil"/>
            </w:tcBorders>
          </w:tcPr>
          <w:p w14:paraId="60C0B940"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10" w:type="pct"/>
            <w:gridSpan w:val="2"/>
            <w:tcBorders>
              <w:top w:val="nil"/>
            </w:tcBorders>
          </w:tcPr>
          <w:p w14:paraId="5C8FB9A5"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665" w:type="pct"/>
            <w:tcBorders>
              <w:top w:val="nil"/>
            </w:tcBorders>
          </w:tcPr>
          <w:p w14:paraId="10D1D047"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621" w:type="pct"/>
            <w:tcBorders>
              <w:top w:val="nil"/>
            </w:tcBorders>
          </w:tcPr>
          <w:p w14:paraId="5C2FE565"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59" w:type="pct"/>
            <w:tcBorders>
              <w:top w:val="nil"/>
            </w:tcBorders>
          </w:tcPr>
          <w:p w14:paraId="348036F9" w14:textId="77777777" w:rsidR="0060668B" w:rsidRPr="008A2C89" w:rsidRDefault="0060668B" w:rsidP="0060668B">
            <w:pPr>
              <w:autoSpaceDE w:val="0"/>
              <w:autoSpaceDN w:val="0"/>
              <w:adjustRightInd w:val="0"/>
              <w:spacing w:line="259" w:lineRule="auto"/>
              <w:rPr>
                <w:rFonts w:eastAsia="Calibri"/>
                <w:sz w:val="22"/>
                <w:szCs w:val="22"/>
                <w:lang w:val="hr-HR"/>
              </w:rPr>
            </w:pPr>
          </w:p>
        </w:tc>
      </w:tr>
      <w:tr w:rsidR="0060668B" w:rsidRPr="008A2C89" w14:paraId="6313417B"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60"/>
        </w:trPr>
        <w:tc>
          <w:tcPr>
            <w:tcW w:w="1569" w:type="pct"/>
            <w:gridSpan w:val="3"/>
          </w:tcPr>
          <w:p w14:paraId="1735D2E2"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Odnos rizika </w:t>
            </w:r>
          </w:p>
        </w:tc>
        <w:tc>
          <w:tcPr>
            <w:tcW w:w="675" w:type="pct"/>
          </w:tcPr>
          <w:p w14:paraId="06E7D8CF"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10" w:type="pct"/>
            <w:gridSpan w:val="2"/>
          </w:tcPr>
          <w:p w14:paraId="0775333A"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665" w:type="pct"/>
          </w:tcPr>
          <w:p w14:paraId="363AEA20"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621" w:type="pct"/>
          </w:tcPr>
          <w:p w14:paraId="0D348DFE"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59" w:type="pct"/>
          </w:tcPr>
          <w:p w14:paraId="3437FDE0" w14:textId="77777777" w:rsidR="0060668B" w:rsidRPr="008A2C89" w:rsidRDefault="0060668B" w:rsidP="0060668B">
            <w:pPr>
              <w:autoSpaceDE w:val="0"/>
              <w:autoSpaceDN w:val="0"/>
              <w:adjustRightInd w:val="0"/>
              <w:spacing w:line="259" w:lineRule="auto"/>
              <w:rPr>
                <w:rFonts w:eastAsia="Calibri"/>
                <w:sz w:val="22"/>
                <w:szCs w:val="22"/>
                <w:lang w:val="hr-HR"/>
              </w:rPr>
            </w:pPr>
          </w:p>
        </w:tc>
      </w:tr>
      <w:tr w:rsidR="0060668B" w:rsidRPr="008A2C89" w14:paraId="15550783"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50"/>
        </w:trPr>
        <w:tc>
          <w:tcPr>
            <w:tcW w:w="1569" w:type="pct"/>
            <w:gridSpan w:val="3"/>
          </w:tcPr>
          <w:p w14:paraId="74C3F3FB"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Sve pacijentkinje</w:t>
            </w:r>
          </w:p>
        </w:tc>
        <w:tc>
          <w:tcPr>
            <w:tcW w:w="675" w:type="pct"/>
          </w:tcPr>
          <w:p w14:paraId="1C73DE65"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26,4 </w:t>
            </w:r>
          </w:p>
        </w:tc>
        <w:tc>
          <w:tcPr>
            <w:tcW w:w="710" w:type="pct"/>
            <w:gridSpan w:val="2"/>
          </w:tcPr>
          <w:p w14:paraId="2427860F"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22,3 </w:t>
            </w:r>
          </w:p>
        </w:tc>
        <w:tc>
          <w:tcPr>
            <w:tcW w:w="665" w:type="pct"/>
          </w:tcPr>
          <w:p w14:paraId="1B4EBE39"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0,81 </w:t>
            </w:r>
          </w:p>
        </w:tc>
        <w:tc>
          <w:tcPr>
            <w:tcW w:w="621" w:type="pct"/>
          </w:tcPr>
          <w:p w14:paraId="36E46334"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0,69; 0,96 </w:t>
            </w:r>
          </w:p>
        </w:tc>
        <w:tc>
          <w:tcPr>
            <w:tcW w:w="759" w:type="pct"/>
          </w:tcPr>
          <w:p w14:paraId="72BE9B34"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0,016</w:t>
            </w:r>
            <w:r w:rsidRPr="008A2C89">
              <w:rPr>
                <w:rFonts w:eastAsia="Calibri"/>
                <w:sz w:val="22"/>
                <w:szCs w:val="22"/>
                <w:vertAlign w:val="superscript"/>
                <w:lang w:val="hr-HR"/>
              </w:rPr>
              <w:t>c</w:t>
            </w:r>
          </w:p>
        </w:tc>
      </w:tr>
      <w:tr w:rsidR="0060668B" w:rsidRPr="008A2C89" w14:paraId="12228336"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70"/>
        </w:trPr>
        <w:tc>
          <w:tcPr>
            <w:tcW w:w="1569" w:type="pct"/>
            <w:gridSpan w:val="3"/>
          </w:tcPr>
          <w:p w14:paraId="7A0DFC89"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-AE podgrupa (n=423) </w:t>
            </w:r>
          </w:p>
        </w:tc>
        <w:tc>
          <w:tcPr>
            <w:tcW w:w="675" w:type="pct"/>
          </w:tcPr>
          <w:p w14:paraId="059E0CB5"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30,6 </w:t>
            </w:r>
          </w:p>
        </w:tc>
        <w:tc>
          <w:tcPr>
            <w:tcW w:w="710" w:type="pct"/>
            <w:gridSpan w:val="2"/>
          </w:tcPr>
          <w:p w14:paraId="1B5A35D3"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23,9 </w:t>
            </w:r>
          </w:p>
        </w:tc>
        <w:tc>
          <w:tcPr>
            <w:tcW w:w="665" w:type="pct"/>
            <w:tcBorders>
              <w:bottom w:val="nil"/>
            </w:tcBorders>
          </w:tcPr>
          <w:p w14:paraId="6ECFB0B9"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0,79 </w:t>
            </w:r>
          </w:p>
        </w:tc>
        <w:tc>
          <w:tcPr>
            <w:tcW w:w="621" w:type="pct"/>
            <w:tcBorders>
              <w:bottom w:val="nil"/>
            </w:tcBorders>
          </w:tcPr>
          <w:p w14:paraId="30BB9794"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0,63; 0,99 </w:t>
            </w:r>
          </w:p>
        </w:tc>
        <w:tc>
          <w:tcPr>
            <w:tcW w:w="759" w:type="pct"/>
            <w:tcBorders>
              <w:bottom w:val="nil"/>
            </w:tcBorders>
          </w:tcPr>
          <w:p w14:paraId="27B2D1AC"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0,038</w:t>
            </w:r>
            <w:r w:rsidRPr="008A2C89">
              <w:rPr>
                <w:rFonts w:eastAsia="Calibri"/>
                <w:sz w:val="22"/>
                <w:szCs w:val="22"/>
                <w:vertAlign w:val="superscript"/>
                <w:lang w:val="hr-HR"/>
              </w:rPr>
              <w:t>c</w:t>
            </w:r>
            <w:r w:rsidRPr="008A2C89">
              <w:rPr>
                <w:rFonts w:eastAsia="Calibri"/>
                <w:sz w:val="22"/>
                <w:szCs w:val="22"/>
                <w:lang w:val="hr-HR"/>
              </w:rPr>
              <w:t xml:space="preserve"> </w:t>
            </w:r>
          </w:p>
        </w:tc>
      </w:tr>
      <w:tr w:rsidR="0060668B" w:rsidRPr="008A2C89" w14:paraId="62EA81DF"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48"/>
        </w:trPr>
        <w:tc>
          <w:tcPr>
            <w:tcW w:w="1569" w:type="pct"/>
            <w:gridSpan w:val="3"/>
            <w:tcBorders>
              <w:bottom w:val="single" w:sz="6" w:space="0" w:color="000000"/>
            </w:tcBorders>
          </w:tcPr>
          <w:p w14:paraId="51106C48"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-AI podgrupa (n=313)</w:t>
            </w:r>
            <w:r w:rsidRPr="008A2C89">
              <w:rPr>
                <w:rFonts w:eastAsia="Calibri"/>
                <w:sz w:val="22"/>
                <w:szCs w:val="22"/>
                <w:vertAlign w:val="superscript"/>
                <w:lang w:val="hr-HR"/>
              </w:rPr>
              <w:t>a</w:t>
            </w:r>
            <w:r w:rsidRPr="008A2C89">
              <w:rPr>
                <w:rFonts w:eastAsia="Calibri"/>
                <w:sz w:val="22"/>
                <w:szCs w:val="22"/>
                <w:lang w:val="hr-HR"/>
              </w:rPr>
              <w:t xml:space="preserve"> </w:t>
            </w:r>
          </w:p>
        </w:tc>
        <w:tc>
          <w:tcPr>
            <w:tcW w:w="675" w:type="pct"/>
            <w:tcBorders>
              <w:bottom w:val="single" w:sz="6" w:space="0" w:color="000000"/>
            </w:tcBorders>
          </w:tcPr>
          <w:p w14:paraId="7E16F2CC"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24,1 </w:t>
            </w:r>
          </w:p>
        </w:tc>
        <w:tc>
          <w:tcPr>
            <w:tcW w:w="710" w:type="pct"/>
            <w:gridSpan w:val="2"/>
            <w:tcBorders>
              <w:bottom w:val="single" w:sz="6" w:space="0" w:color="000000"/>
            </w:tcBorders>
          </w:tcPr>
          <w:p w14:paraId="516D8AD9"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20,8 </w:t>
            </w:r>
          </w:p>
        </w:tc>
        <w:tc>
          <w:tcPr>
            <w:tcW w:w="665" w:type="pct"/>
            <w:tcBorders>
              <w:top w:val="nil"/>
              <w:bottom w:val="single" w:sz="4" w:space="0" w:color="auto"/>
            </w:tcBorders>
          </w:tcPr>
          <w:p w14:paraId="727481B8"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0,86 </w:t>
            </w:r>
          </w:p>
        </w:tc>
        <w:tc>
          <w:tcPr>
            <w:tcW w:w="621" w:type="pct"/>
            <w:tcBorders>
              <w:top w:val="nil"/>
              <w:bottom w:val="single" w:sz="4" w:space="0" w:color="auto"/>
            </w:tcBorders>
          </w:tcPr>
          <w:p w14:paraId="7AA15658"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0,67; 1,11 </w:t>
            </w:r>
          </w:p>
        </w:tc>
        <w:tc>
          <w:tcPr>
            <w:tcW w:w="759" w:type="pct"/>
            <w:tcBorders>
              <w:top w:val="nil"/>
              <w:bottom w:val="single" w:sz="4" w:space="0" w:color="auto"/>
            </w:tcBorders>
          </w:tcPr>
          <w:p w14:paraId="1A7A5A65"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0,241</w:t>
            </w:r>
            <w:r w:rsidRPr="008A2C89">
              <w:rPr>
                <w:rFonts w:eastAsia="Calibri"/>
                <w:sz w:val="22"/>
                <w:szCs w:val="22"/>
                <w:vertAlign w:val="superscript"/>
                <w:lang w:val="hr-HR"/>
              </w:rPr>
              <w:t>c</w:t>
            </w:r>
            <w:r w:rsidRPr="008A2C89">
              <w:rPr>
                <w:rFonts w:eastAsia="Calibri"/>
                <w:sz w:val="22"/>
                <w:szCs w:val="22"/>
                <w:lang w:val="hr-HR"/>
              </w:rPr>
              <w:t xml:space="preserve"> </w:t>
            </w:r>
          </w:p>
        </w:tc>
      </w:tr>
      <w:tr w:rsidR="0060668B" w:rsidRPr="008A2C89" w14:paraId="02E53779" w14:textId="77777777" w:rsidTr="00AE5D50">
        <w:tblPrEx>
          <w:tblBorders>
            <w:top w:val="nil"/>
            <w:left w:val="nil"/>
            <w:bottom w:val="nil"/>
            <w:right w:val="nil"/>
          </w:tblBorders>
          <w:tblLook w:val="0000" w:firstRow="0" w:lastRow="0" w:firstColumn="0" w:lastColumn="0" w:noHBand="0" w:noVBand="0"/>
        </w:tblPrEx>
        <w:trPr>
          <w:trHeight w:val="285"/>
        </w:trPr>
        <w:tc>
          <w:tcPr>
            <w:tcW w:w="791" w:type="pct"/>
            <w:gridSpan w:val="2"/>
            <w:tcBorders>
              <w:top w:val="single" w:sz="6" w:space="0" w:color="000000"/>
              <w:bottom w:val="nil"/>
              <w:right w:val="nil"/>
            </w:tcBorders>
            <w:vAlign w:val="center"/>
          </w:tcPr>
          <w:p w14:paraId="59853628"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bCs/>
                <w:sz w:val="22"/>
                <w:szCs w:val="22"/>
                <w:lang w:val="hr-HR"/>
              </w:rPr>
              <w:lastRenderedPageBreak/>
              <w:t>Promjenljiva</w:t>
            </w:r>
          </w:p>
        </w:tc>
        <w:tc>
          <w:tcPr>
            <w:tcW w:w="778" w:type="pct"/>
            <w:tcBorders>
              <w:top w:val="nil"/>
              <w:left w:val="nil"/>
              <w:bottom w:val="nil"/>
              <w:right w:val="nil"/>
            </w:tcBorders>
            <w:vAlign w:val="center"/>
          </w:tcPr>
          <w:p w14:paraId="667B76D1"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Vrsta procjene;</w:t>
            </w:r>
          </w:p>
        </w:tc>
        <w:tc>
          <w:tcPr>
            <w:tcW w:w="675" w:type="pct"/>
            <w:tcBorders>
              <w:top w:val="nil"/>
              <w:left w:val="nil"/>
              <w:bottom w:val="nil"/>
              <w:right w:val="nil"/>
            </w:tcBorders>
            <w:vAlign w:val="center"/>
          </w:tcPr>
          <w:p w14:paraId="298A2B69"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Fulvestrant</w:t>
            </w:r>
          </w:p>
        </w:tc>
        <w:tc>
          <w:tcPr>
            <w:tcW w:w="710" w:type="pct"/>
            <w:gridSpan w:val="2"/>
            <w:tcBorders>
              <w:top w:val="nil"/>
              <w:left w:val="nil"/>
              <w:bottom w:val="nil"/>
              <w:right w:val="nil"/>
            </w:tcBorders>
            <w:vAlign w:val="center"/>
          </w:tcPr>
          <w:p w14:paraId="34B01BCF"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Fulvestrant</w:t>
            </w:r>
          </w:p>
        </w:tc>
        <w:tc>
          <w:tcPr>
            <w:tcW w:w="2046" w:type="pct"/>
            <w:gridSpan w:val="3"/>
            <w:tcBorders>
              <w:top w:val="nil"/>
              <w:left w:val="nil"/>
              <w:bottom w:val="nil"/>
              <w:right w:val="nil"/>
            </w:tcBorders>
            <w:vAlign w:val="center"/>
          </w:tcPr>
          <w:p w14:paraId="6327A4AC"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                  Poređenje između grupa </w:t>
            </w:r>
          </w:p>
        </w:tc>
      </w:tr>
      <w:tr w:rsidR="0060668B" w:rsidRPr="008A2C89" w14:paraId="09D7BA45" w14:textId="77777777" w:rsidTr="00AE5D50">
        <w:tblPrEx>
          <w:tblBorders>
            <w:top w:val="nil"/>
            <w:left w:val="nil"/>
            <w:bottom w:val="nil"/>
            <w:right w:val="nil"/>
          </w:tblBorders>
          <w:tblLook w:val="0000" w:firstRow="0" w:lastRow="0" w:firstColumn="0" w:lastColumn="0" w:noHBand="0" w:noVBand="0"/>
        </w:tblPrEx>
        <w:trPr>
          <w:trHeight w:val="245"/>
        </w:trPr>
        <w:tc>
          <w:tcPr>
            <w:tcW w:w="791" w:type="pct"/>
            <w:gridSpan w:val="2"/>
            <w:vMerge w:val="restart"/>
            <w:tcBorders>
              <w:top w:val="nil"/>
              <w:left w:val="nil"/>
              <w:bottom w:val="nil"/>
              <w:right w:val="nil"/>
            </w:tcBorders>
          </w:tcPr>
          <w:p w14:paraId="2E8DE065"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78" w:type="pct"/>
            <w:vMerge w:val="restart"/>
            <w:tcBorders>
              <w:top w:val="nil"/>
              <w:left w:val="nil"/>
              <w:bottom w:val="nil"/>
              <w:right w:val="nil"/>
            </w:tcBorders>
          </w:tcPr>
          <w:p w14:paraId="13E64874"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Poređenje liječenja</w:t>
            </w:r>
          </w:p>
        </w:tc>
        <w:tc>
          <w:tcPr>
            <w:tcW w:w="675" w:type="pct"/>
            <w:vMerge w:val="restart"/>
            <w:tcBorders>
              <w:top w:val="nil"/>
              <w:left w:val="nil"/>
              <w:bottom w:val="nil"/>
              <w:right w:val="nil"/>
            </w:tcBorders>
          </w:tcPr>
          <w:p w14:paraId="047658BF"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  500 mg</w:t>
            </w:r>
          </w:p>
          <w:p w14:paraId="4B373941" w14:textId="4C26CDF8"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   (N=362) </w:t>
            </w:r>
          </w:p>
        </w:tc>
        <w:tc>
          <w:tcPr>
            <w:tcW w:w="710" w:type="pct"/>
            <w:gridSpan w:val="2"/>
            <w:vMerge w:val="restart"/>
            <w:tcBorders>
              <w:top w:val="nil"/>
              <w:left w:val="nil"/>
              <w:bottom w:val="nil"/>
              <w:right w:val="nil"/>
            </w:tcBorders>
          </w:tcPr>
          <w:p w14:paraId="209C505A"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250 mg (N=374)</w:t>
            </w:r>
          </w:p>
        </w:tc>
        <w:tc>
          <w:tcPr>
            <w:tcW w:w="2046" w:type="pct"/>
            <w:gridSpan w:val="3"/>
            <w:tcBorders>
              <w:top w:val="nil"/>
              <w:left w:val="nil"/>
              <w:bottom w:val="nil"/>
              <w:right w:val="nil"/>
            </w:tcBorders>
          </w:tcPr>
          <w:p w14:paraId="27C34917" w14:textId="47D71C28" w:rsidR="0060668B" w:rsidRPr="008A2C89" w:rsidRDefault="00B25DCD" w:rsidP="0060668B">
            <w:pPr>
              <w:autoSpaceDE w:val="0"/>
              <w:autoSpaceDN w:val="0"/>
              <w:adjustRightInd w:val="0"/>
              <w:spacing w:line="259" w:lineRule="auto"/>
              <w:rPr>
                <w:rFonts w:eastAsia="Calibri"/>
                <w:sz w:val="22"/>
                <w:szCs w:val="22"/>
                <w:u w:val="single"/>
                <w:lang w:val="hr-HR"/>
              </w:rPr>
            </w:pPr>
            <w:r>
              <w:rPr>
                <w:rFonts w:eastAsia="Calibri"/>
                <w:sz w:val="22"/>
                <w:szCs w:val="22"/>
                <w:u w:val="single"/>
                <w:lang w:val="hr-HR"/>
              </w:rPr>
              <w:t>(</w:t>
            </w:r>
            <w:r w:rsidR="0060668B" w:rsidRPr="008A2C89">
              <w:rPr>
                <w:rFonts w:eastAsia="Calibri"/>
                <w:sz w:val="22"/>
                <w:szCs w:val="22"/>
                <w:u w:val="single"/>
                <w:lang w:val="hr-HR"/>
              </w:rPr>
              <w:t xml:space="preserve">fulvestrant 500 mg /fulvestrant 250 mg) </w:t>
            </w:r>
          </w:p>
        </w:tc>
      </w:tr>
      <w:tr w:rsidR="0060668B" w:rsidRPr="008A2C89" w14:paraId="640E46BC" w14:textId="77777777" w:rsidTr="00AE5D50">
        <w:tblPrEx>
          <w:tblBorders>
            <w:top w:val="nil"/>
            <w:left w:val="nil"/>
            <w:bottom w:val="nil"/>
            <w:right w:val="nil"/>
          </w:tblBorders>
          <w:tblLook w:val="0000" w:firstRow="0" w:lastRow="0" w:firstColumn="0" w:lastColumn="0" w:noHBand="0" w:noVBand="0"/>
        </w:tblPrEx>
        <w:trPr>
          <w:trHeight w:val="280"/>
        </w:trPr>
        <w:tc>
          <w:tcPr>
            <w:tcW w:w="791" w:type="pct"/>
            <w:gridSpan w:val="2"/>
            <w:vMerge/>
            <w:tcBorders>
              <w:top w:val="nil"/>
              <w:left w:val="nil"/>
              <w:bottom w:val="nil"/>
              <w:right w:val="nil"/>
            </w:tcBorders>
          </w:tcPr>
          <w:p w14:paraId="3411A469"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78" w:type="pct"/>
            <w:vMerge/>
            <w:tcBorders>
              <w:top w:val="nil"/>
              <w:left w:val="nil"/>
              <w:bottom w:val="nil"/>
              <w:right w:val="nil"/>
            </w:tcBorders>
          </w:tcPr>
          <w:p w14:paraId="23DD2497"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675" w:type="pct"/>
            <w:vMerge/>
            <w:tcBorders>
              <w:top w:val="nil"/>
              <w:left w:val="nil"/>
              <w:bottom w:val="nil"/>
              <w:right w:val="nil"/>
            </w:tcBorders>
          </w:tcPr>
          <w:p w14:paraId="75D18387"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10" w:type="pct"/>
            <w:gridSpan w:val="2"/>
            <w:vMerge/>
            <w:tcBorders>
              <w:top w:val="nil"/>
              <w:left w:val="nil"/>
              <w:bottom w:val="nil"/>
              <w:right w:val="nil"/>
            </w:tcBorders>
          </w:tcPr>
          <w:p w14:paraId="01AFC79C"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2046" w:type="pct"/>
            <w:gridSpan w:val="3"/>
            <w:tcBorders>
              <w:top w:val="nil"/>
              <w:left w:val="nil"/>
              <w:bottom w:val="nil"/>
              <w:right w:val="nil"/>
            </w:tcBorders>
            <w:vAlign w:val="center"/>
          </w:tcPr>
          <w:p w14:paraId="4F895EFF"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   Apsolutna   razlika u %      95% CI </w:t>
            </w:r>
          </w:p>
        </w:tc>
      </w:tr>
      <w:tr w:rsidR="0060668B" w:rsidRPr="008A2C89" w14:paraId="2A1497F5"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58"/>
        </w:trPr>
        <w:tc>
          <w:tcPr>
            <w:tcW w:w="1569" w:type="pct"/>
            <w:gridSpan w:val="3"/>
            <w:tcBorders>
              <w:top w:val="single" w:sz="6" w:space="0" w:color="000000"/>
            </w:tcBorders>
          </w:tcPr>
          <w:p w14:paraId="12BC92EF" w14:textId="56EDF532" w:rsidR="0060668B" w:rsidRPr="008A2C89" w:rsidRDefault="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ORR</w:t>
            </w:r>
            <w:r w:rsidRPr="008A2C89">
              <w:rPr>
                <w:rFonts w:eastAsia="Calibri"/>
                <w:sz w:val="22"/>
                <w:szCs w:val="22"/>
                <w:vertAlign w:val="superscript"/>
                <w:lang w:val="hr-HR"/>
              </w:rPr>
              <w:t>d</w:t>
            </w:r>
            <w:r w:rsidRPr="008A2C89">
              <w:rPr>
                <w:rFonts w:eastAsia="Calibri"/>
                <w:sz w:val="22"/>
                <w:szCs w:val="22"/>
                <w:lang w:val="hr-HR"/>
              </w:rPr>
              <w:t xml:space="preserve">            % pacijenata sa </w:t>
            </w:r>
          </w:p>
        </w:tc>
        <w:tc>
          <w:tcPr>
            <w:tcW w:w="675" w:type="pct"/>
            <w:tcBorders>
              <w:top w:val="single" w:sz="6" w:space="0" w:color="000000"/>
            </w:tcBorders>
          </w:tcPr>
          <w:p w14:paraId="675D9F3B"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10" w:type="pct"/>
            <w:gridSpan w:val="2"/>
            <w:tcBorders>
              <w:top w:val="single" w:sz="6" w:space="0" w:color="000000"/>
            </w:tcBorders>
          </w:tcPr>
          <w:p w14:paraId="0DB2946C"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1287" w:type="pct"/>
            <w:gridSpan w:val="2"/>
            <w:tcBorders>
              <w:top w:val="single" w:sz="6" w:space="0" w:color="000000"/>
            </w:tcBorders>
          </w:tcPr>
          <w:p w14:paraId="16F49BA0"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59" w:type="pct"/>
            <w:tcBorders>
              <w:top w:val="single" w:sz="6" w:space="0" w:color="000000"/>
            </w:tcBorders>
          </w:tcPr>
          <w:p w14:paraId="4102F8EE" w14:textId="77777777" w:rsidR="0060668B" w:rsidRPr="008A2C89" w:rsidRDefault="0060668B" w:rsidP="0060668B">
            <w:pPr>
              <w:autoSpaceDE w:val="0"/>
              <w:autoSpaceDN w:val="0"/>
              <w:adjustRightInd w:val="0"/>
              <w:spacing w:line="259" w:lineRule="auto"/>
              <w:rPr>
                <w:rFonts w:eastAsia="Calibri"/>
                <w:sz w:val="22"/>
                <w:szCs w:val="22"/>
                <w:lang w:val="hr-HR"/>
              </w:rPr>
            </w:pPr>
          </w:p>
        </w:tc>
      </w:tr>
      <w:tr w:rsidR="0060668B" w:rsidRPr="008A2C89" w14:paraId="377462C0"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0"/>
        </w:trPr>
        <w:tc>
          <w:tcPr>
            <w:tcW w:w="1569" w:type="pct"/>
            <w:gridSpan w:val="3"/>
            <w:vAlign w:val="center"/>
          </w:tcPr>
          <w:p w14:paraId="73164F25"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OR; </w:t>
            </w:r>
          </w:p>
        </w:tc>
        <w:tc>
          <w:tcPr>
            <w:tcW w:w="675" w:type="pct"/>
          </w:tcPr>
          <w:p w14:paraId="39E720AC"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10" w:type="pct"/>
            <w:gridSpan w:val="2"/>
          </w:tcPr>
          <w:p w14:paraId="72DD456A"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1287" w:type="pct"/>
            <w:gridSpan w:val="2"/>
          </w:tcPr>
          <w:p w14:paraId="2DBCF908"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59" w:type="pct"/>
          </w:tcPr>
          <w:p w14:paraId="45AA75C2" w14:textId="77777777" w:rsidR="0060668B" w:rsidRPr="008A2C89" w:rsidRDefault="0060668B" w:rsidP="0060668B">
            <w:pPr>
              <w:autoSpaceDE w:val="0"/>
              <w:autoSpaceDN w:val="0"/>
              <w:adjustRightInd w:val="0"/>
              <w:spacing w:line="259" w:lineRule="auto"/>
              <w:rPr>
                <w:rFonts w:eastAsia="Calibri"/>
                <w:sz w:val="22"/>
                <w:szCs w:val="22"/>
                <w:lang w:val="hr-HR"/>
              </w:rPr>
            </w:pPr>
          </w:p>
        </w:tc>
      </w:tr>
      <w:tr w:rsidR="0060668B" w:rsidRPr="008A2C89" w14:paraId="3BB06F1F"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70"/>
        </w:trPr>
        <w:tc>
          <w:tcPr>
            <w:tcW w:w="1569" w:type="pct"/>
            <w:gridSpan w:val="3"/>
          </w:tcPr>
          <w:p w14:paraId="06FD4056"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apsolutna </w:t>
            </w:r>
          </w:p>
        </w:tc>
        <w:tc>
          <w:tcPr>
            <w:tcW w:w="675" w:type="pct"/>
          </w:tcPr>
          <w:p w14:paraId="3C99DBE3"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10" w:type="pct"/>
            <w:gridSpan w:val="2"/>
          </w:tcPr>
          <w:p w14:paraId="75957997"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1287" w:type="pct"/>
            <w:gridSpan w:val="2"/>
          </w:tcPr>
          <w:p w14:paraId="026685CD"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59" w:type="pct"/>
          </w:tcPr>
          <w:p w14:paraId="3227CB56" w14:textId="77777777" w:rsidR="0060668B" w:rsidRPr="008A2C89" w:rsidRDefault="0060668B" w:rsidP="0060668B">
            <w:pPr>
              <w:autoSpaceDE w:val="0"/>
              <w:autoSpaceDN w:val="0"/>
              <w:adjustRightInd w:val="0"/>
              <w:spacing w:line="259" w:lineRule="auto"/>
              <w:rPr>
                <w:rFonts w:eastAsia="Calibri"/>
                <w:sz w:val="22"/>
                <w:szCs w:val="22"/>
                <w:lang w:val="hr-HR"/>
              </w:rPr>
            </w:pPr>
          </w:p>
        </w:tc>
      </w:tr>
      <w:tr w:rsidR="0060668B" w:rsidRPr="008A2C89" w14:paraId="2EF851F3"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30"/>
        </w:trPr>
        <w:tc>
          <w:tcPr>
            <w:tcW w:w="1569" w:type="pct"/>
            <w:gridSpan w:val="3"/>
          </w:tcPr>
          <w:p w14:paraId="7AA3D0AD"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razlika u % </w:t>
            </w:r>
          </w:p>
        </w:tc>
        <w:tc>
          <w:tcPr>
            <w:tcW w:w="675" w:type="pct"/>
          </w:tcPr>
          <w:p w14:paraId="79896392"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10" w:type="pct"/>
            <w:gridSpan w:val="2"/>
          </w:tcPr>
          <w:p w14:paraId="26BDD971"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1287" w:type="pct"/>
            <w:gridSpan w:val="2"/>
          </w:tcPr>
          <w:p w14:paraId="5C4B9233"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59" w:type="pct"/>
          </w:tcPr>
          <w:p w14:paraId="5A3499AC" w14:textId="77777777" w:rsidR="0060668B" w:rsidRPr="008A2C89" w:rsidRDefault="0060668B" w:rsidP="0060668B">
            <w:pPr>
              <w:autoSpaceDE w:val="0"/>
              <w:autoSpaceDN w:val="0"/>
              <w:adjustRightInd w:val="0"/>
              <w:spacing w:line="259" w:lineRule="auto"/>
              <w:rPr>
                <w:rFonts w:eastAsia="Calibri"/>
                <w:sz w:val="22"/>
                <w:szCs w:val="22"/>
                <w:lang w:val="hr-HR"/>
              </w:rPr>
            </w:pPr>
          </w:p>
        </w:tc>
      </w:tr>
      <w:tr w:rsidR="0060668B" w:rsidRPr="008A2C89" w14:paraId="4B091C01"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0"/>
        </w:trPr>
        <w:tc>
          <w:tcPr>
            <w:tcW w:w="1569" w:type="pct"/>
            <w:gridSpan w:val="3"/>
            <w:vAlign w:val="center"/>
          </w:tcPr>
          <w:p w14:paraId="076C916D"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Sve pacijentkinje </w:t>
            </w:r>
          </w:p>
        </w:tc>
        <w:tc>
          <w:tcPr>
            <w:tcW w:w="675" w:type="pct"/>
            <w:vAlign w:val="center"/>
          </w:tcPr>
          <w:p w14:paraId="6B13B446"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13,8 </w:t>
            </w:r>
          </w:p>
        </w:tc>
        <w:tc>
          <w:tcPr>
            <w:tcW w:w="710" w:type="pct"/>
            <w:gridSpan w:val="2"/>
            <w:vAlign w:val="center"/>
          </w:tcPr>
          <w:p w14:paraId="6DF7CBAD"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14,6 </w:t>
            </w:r>
          </w:p>
        </w:tc>
        <w:tc>
          <w:tcPr>
            <w:tcW w:w="1287" w:type="pct"/>
            <w:gridSpan w:val="2"/>
            <w:vAlign w:val="center"/>
          </w:tcPr>
          <w:p w14:paraId="564D9B91"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-0,8 </w:t>
            </w:r>
          </w:p>
        </w:tc>
        <w:tc>
          <w:tcPr>
            <w:tcW w:w="759" w:type="pct"/>
            <w:vAlign w:val="center"/>
          </w:tcPr>
          <w:p w14:paraId="7A55DCEB"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    -5,8; 6,3 </w:t>
            </w:r>
          </w:p>
        </w:tc>
      </w:tr>
      <w:tr w:rsidR="0060668B" w:rsidRPr="008A2C89" w14:paraId="0D9AA7E4"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68"/>
        </w:trPr>
        <w:tc>
          <w:tcPr>
            <w:tcW w:w="1569" w:type="pct"/>
            <w:gridSpan w:val="3"/>
          </w:tcPr>
          <w:p w14:paraId="37843D49"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-AE podgrupa (n=296) </w:t>
            </w:r>
          </w:p>
        </w:tc>
        <w:tc>
          <w:tcPr>
            <w:tcW w:w="675" w:type="pct"/>
          </w:tcPr>
          <w:p w14:paraId="672FFB13"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18,1 </w:t>
            </w:r>
          </w:p>
        </w:tc>
        <w:tc>
          <w:tcPr>
            <w:tcW w:w="710" w:type="pct"/>
            <w:gridSpan w:val="2"/>
          </w:tcPr>
          <w:p w14:paraId="36BFF4C6"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19,1 </w:t>
            </w:r>
          </w:p>
        </w:tc>
        <w:tc>
          <w:tcPr>
            <w:tcW w:w="1287" w:type="pct"/>
            <w:gridSpan w:val="2"/>
          </w:tcPr>
          <w:p w14:paraId="7D1E26D8"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-1,0 </w:t>
            </w:r>
          </w:p>
        </w:tc>
        <w:tc>
          <w:tcPr>
            <w:tcW w:w="759" w:type="pct"/>
          </w:tcPr>
          <w:p w14:paraId="08C52149"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-8,2; 9,3 </w:t>
            </w:r>
          </w:p>
        </w:tc>
      </w:tr>
      <w:tr w:rsidR="0060668B" w:rsidRPr="008A2C89" w14:paraId="1EC148A2"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45"/>
        </w:trPr>
        <w:tc>
          <w:tcPr>
            <w:tcW w:w="1569" w:type="pct"/>
            <w:gridSpan w:val="3"/>
            <w:tcBorders>
              <w:bottom w:val="single" w:sz="6" w:space="0" w:color="000000"/>
            </w:tcBorders>
          </w:tcPr>
          <w:p w14:paraId="01279C6A"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-AI podgrupa (n=205)</w:t>
            </w:r>
            <w:r w:rsidRPr="008A2C89">
              <w:rPr>
                <w:rFonts w:eastAsia="Calibri"/>
                <w:sz w:val="22"/>
                <w:szCs w:val="22"/>
                <w:vertAlign w:val="superscript"/>
                <w:lang w:val="hr-HR"/>
              </w:rPr>
              <w:t xml:space="preserve">a </w:t>
            </w:r>
          </w:p>
        </w:tc>
        <w:tc>
          <w:tcPr>
            <w:tcW w:w="675" w:type="pct"/>
            <w:tcBorders>
              <w:bottom w:val="single" w:sz="6" w:space="0" w:color="000000"/>
            </w:tcBorders>
          </w:tcPr>
          <w:p w14:paraId="67A84607"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7,3 </w:t>
            </w:r>
          </w:p>
        </w:tc>
        <w:tc>
          <w:tcPr>
            <w:tcW w:w="710" w:type="pct"/>
            <w:gridSpan w:val="2"/>
            <w:tcBorders>
              <w:bottom w:val="single" w:sz="6" w:space="0" w:color="000000"/>
            </w:tcBorders>
          </w:tcPr>
          <w:p w14:paraId="3D936B3D"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8,3 </w:t>
            </w:r>
          </w:p>
        </w:tc>
        <w:tc>
          <w:tcPr>
            <w:tcW w:w="1287" w:type="pct"/>
            <w:gridSpan w:val="2"/>
            <w:tcBorders>
              <w:bottom w:val="single" w:sz="6" w:space="0" w:color="000000"/>
            </w:tcBorders>
          </w:tcPr>
          <w:p w14:paraId="5B85C94B"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-1,0 </w:t>
            </w:r>
          </w:p>
        </w:tc>
        <w:tc>
          <w:tcPr>
            <w:tcW w:w="759" w:type="pct"/>
            <w:tcBorders>
              <w:bottom w:val="single" w:sz="6" w:space="0" w:color="000000"/>
            </w:tcBorders>
          </w:tcPr>
          <w:p w14:paraId="36881CAF"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     -5,5; 9,8 </w:t>
            </w:r>
          </w:p>
        </w:tc>
      </w:tr>
      <w:tr w:rsidR="0060668B" w:rsidRPr="008A2C89" w14:paraId="3D42AC99"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58"/>
        </w:trPr>
        <w:tc>
          <w:tcPr>
            <w:tcW w:w="1569" w:type="pct"/>
            <w:gridSpan w:val="3"/>
            <w:tcBorders>
              <w:top w:val="single" w:sz="6" w:space="0" w:color="000000"/>
            </w:tcBorders>
            <w:vAlign w:val="center"/>
          </w:tcPr>
          <w:p w14:paraId="780C2745" w14:textId="277E6E05" w:rsidR="0060668B" w:rsidRPr="008A2C89" w:rsidRDefault="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CBR</w:t>
            </w:r>
            <w:r w:rsidRPr="008A2C89">
              <w:rPr>
                <w:rFonts w:eastAsia="Calibri"/>
                <w:sz w:val="22"/>
                <w:szCs w:val="22"/>
                <w:vertAlign w:val="superscript"/>
                <w:lang w:val="hr-HR"/>
              </w:rPr>
              <w:t>e</w:t>
            </w:r>
            <w:r w:rsidRPr="008A2C89">
              <w:rPr>
                <w:rFonts w:eastAsia="Calibri"/>
                <w:sz w:val="22"/>
                <w:szCs w:val="22"/>
                <w:lang w:val="hr-HR"/>
              </w:rPr>
              <w:t xml:space="preserve">           % pacijenata </w:t>
            </w:r>
            <w:r w:rsidR="000D24E4">
              <w:rPr>
                <w:rFonts w:eastAsia="Calibri"/>
                <w:sz w:val="22"/>
                <w:szCs w:val="22"/>
                <w:lang w:val="hr-HR"/>
              </w:rPr>
              <w:t>s</w:t>
            </w:r>
            <w:r w:rsidRPr="008A2C89">
              <w:rPr>
                <w:rFonts w:eastAsia="Calibri"/>
                <w:sz w:val="22"/>
                <w:szCs w:val="22"/>
                <w:lang w:val="hr-HR"/>
              </w:rPr>
              <w:t xml:space="preserve">a </w:t>
            </w:r>
          </w:p>
        </w:tc>
        <w:tc>
          <w:tcPr>
            <w:tcW w:w="675" w:type="pct"/>
            <w:tcBorders>
              <w:top w:val="single" w:sz="6" w:space="0" w:color="000000"/>
            </w:tcBorders>
          </w:tcPr>
          <w:p w14:paraId="054B79A8"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10" w:type="pct"/>
            <w:gridSpan w:val="2"/>
            <w:tcBorders>
              <w:top w:val="single" w:sz="6" w:space="0" w:color="000000"/>
            </w:tcBorders>
          </w:tcPr>
          <w:p w14:paraId="3B86D19C"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1287" w:type="pct"/>
            <w:gridSpan w:val="2"/>
            <w:tcBorders>
              <w:top w:val="single" w:sz="6" w:space="0" w:color="000000"/>
            </w:tcBorders>
          </w:tcPr>
          <w:p w14:paraId="3E2434A0"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59" w:type="pct"/>
            <w:tcBorders>
              <w:top w:val="single" w:sz="6" w:space="0" w:color="000000"/>
            </w:tcBorders>
          </w:tcPr>
          <w:p w14:paraId="0E03A7A2" w14:textId="77777777" w:rsidR="0060668B" w:rsidRPr="008A2C89" w:rsidRDefault="0060668B" w:rsidP="0060668B">
            <w:pPr>
              <w:autoSpaceDE w:val="0"/>
              <w:autoSpaceDN w:val="0"/>
              <w:adjustRightInd w:val="0"/>
              <w:spacing w:line="259" w:lineRule="auto"/>
              <w:rPr>
                <w:rFonts w:eastAsia="Calibri"/>
                <w:sz w:val="22"/>
                <w:szCs w:val="22"/>
                <w:lang w:val="hr-HR"/>
              </w:rPr>
            </w:pPr>
          </w:p>
        </w:tc>
      </w:tr>
      <w:tr w:rsidR="0060668B" w:rsidRPr="008A2C89" w14:paraId="452A3C6E"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0"/>
        </w:trPr>
        <w:tc>
          <w:tcPr>
            <w:tcW w:w="1569" w:type="pct"/>
            <w:gridSpan w:val="3"/>
            <w:vAlign w:val="center"/>
          </w:tcPr>
          <w:p w14:paraId="41E42CA5"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CB; </w:t>
            </w:r>
          </w:p>
        </w:tc>
        <w:tc>
          <w:tcPr>
            <w:tcW w:w="675" w:type="pct"/>
          </w:tcPr>
          <w:p w14:paraId="69917F38"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10" w:type="pct"/>
            <w:gridSpan w:val="2"/>
          </w:tcPr>
          <w:p w14:paraId="0DCA79EA"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1287" w:type="pct"/>
            <w:gridSpan w:val="2"/>
          </w:tcPr>
          <w:p w14:paraId="2BB3AF12"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59" w:type="pct"/>
          </w:tcPr>
          <w:p w14:paraId="27500DB2" w14:textId="77777777" w:rsidR="0060668B" w:rsidRPr="008A2C89" w:rsidRDefault="0060668B" w:rsidP="0060668B">
            <w:pPr>
              <w:autoSpaceDE w:val="0"/>
              <w:autoSpaceDN w:val="0"/>
              <w:adjustRightInd w:val="0"/>
              <w:spacing w:line="259" w:lineRule="auto"/>
              <w:rPr>
                <w:rFonts w:eastAsia="Calibri"/>
                <w:sz w:val="22"/>
                <w:szCs w:val="22"/>
                <w:lang w:val="hr-HR"/>
              </w:rPr>
            </w:pPr>
          </w:p>
        </w:tc>
      </w:tr>
      <w:tr w:rsidR="0060668B" w:rsidRPr="008A2C89" w14:paraId="6D7C1610"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70"/>
        </w:trPr>
        <w:tc>
          <w:tcPr>
            <w:tcW w:w="1569" w:type="pct"/>
            <w:gridSpan w:val="3"/>
          </w:tcPr>
          <w:p w14:paraId="005D2ED7"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apsolutna </w:t>
            </w:r>
          </w:p>
        </w:tc>
        <w:tc>
          <w:tcPr>
            <w:tcW w:w="675" w:type="pct"/>
          </w:tcPr>
          <w:p w14:paraId="11DAB0A5"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10" w:type="pct"/>
            <w:gridSpan w:val="2"/>
          </w:tcPr>
          <w:p w14:paraId="0DB768D0"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1287" w:type="pct"/>
            <w:gridSpan w:val="2"/>
          </w:tcPr>
          <w:p w14:paraId="503C9E41"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59" w:type="pct"/>
          </w:tcPr>
          <w:p w14:paraId="408FF378" w14:textId="77777777" w:rsidR="0060668B" w:rsidRPr="008A2C89" w:rsidRDefault="0060668B" w:rsidP="0060668B">
            <w:pPr>
              <w:autoSpaceDE w:val="0"/>
              <w:autoSpaceDN w:val="0"/>
              <w:adjustRightInd w:val="0"/>
              <w:spacing w:line="259" w:lineRule="auto"/>
              <w:rPr>
                <w:rFonts w:eastAsia="Calibri"/>
                <w:sz w:val="22"/>
                <w:szCs w:val="22"/>
                <w:lang w:val="hr-HR"/>
              </w:rPr>
            </w:pPr>
          </w:p>
        </w:tc>
      </w:tr>
      <w:tr w:rsidR="0060668B" w:rsidRPr="008A2C89" w14:paraId="1676E933"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30"/>
        </w:trPr>
        <w:tc>
          <w:tcPr>
            <w:tcW w:w="1569" w:type="pct"/>
            <w:gridSpan w:val="3"/>
          </w:tcPr>
          <w:p w14:paraId="4C674AFD"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razlika u % </w:t>
            </w:r>
          </w:p>
        </w:tc>
        <w:tc>
          <w:tcPr>
            <w:tcW w:w="675" w:type="pct"/>
          </w:tcPr>
          <w:p w14:paraId="31B4AA65"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10" w:type="pct"/>
            <w:gridSpan w:val="2"/>
          </w:tcPr>
          <w:p w14:paraId="7AF9C066"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1287" w:type="pct"/>
            <w:gridSpan w:val="2"/>
          </w:tcPr>
          <w:p w14:paraId="5A5715D8" w14:textId="77777777" w:rsidR="0060668B" w:rsidRPr="008A2C89" w:rsidRDefault="0060668B" w:rsidP="0060668B">
            <w:pPr>
              <w:autoSpaceDE w:val="0"/>
              <w:autoSpaceDN w:val="0"/>
              <w:adjustRightInd w:val="0"/>
              <w:spacing w:line="259" w:lineRule="auto"/>
              <w:rPr>
                <w:rFonts w:eastAsia="Calibri"/>
                <w:sz w:val="22"/>
                <w:szCs w:val="22"/>
                <w:lang w:val="hr-HR"/>
              </w:rPr>
            </w:pPr>
          </w:p>
        </w:tc>
        <w:tc>
          <w:tcPr>
            <w:tcW w:w="759" w:type="pct"/>
          </w:tcPr>
          <w:p w14:paraId="59EDE4FF" w14:textId="77777777" w:rsidR="0060668B" w:rsidRPr="008A2C89" w:rsidRDefault="0060668B" w:rsidP="0060668B">
            <w:pPr>
              <w:autoSpaceDE w:val="0"/>
              <w:autoSpaceDN w:val="0"/>
              <w:adjustRightInd w:val="0"/>
              <w:spacing w:line="259" w:lineRule="auto"/>
              <w:rPr>
                <w:rFonts w:eastAsia="Calibri"/>
                <w:sz w:val="22"/>
                <w:szCs w:val="22"/>
                <w:lang w:val="hr-HR"/>
              </w:rPr>
            </w:pPr>
          </w:p>
        </w:tc>
      </w:tr>
      <w:tr w:rsidR="0060668B" w:rsidRPr="008A2C89" w14:paraId="2C8FCD65"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80"/>
        </w:trPr>
        <w:tc>
          <w:tcPr>
            <w:tcW w:w="1569" w:type="pct"/>
            <w:gridSpan w:val="3"/>
            <w:vAlign w:val="center"/>
          </w:tcPr>
          <w:p w14:paraId="6ADD05D8"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Sve pacijentkinje</w:t>
            </w:r>
          </w:p>
        </w:tc>
        <w:tc>
          <w:tcPr>
            <w:tcW w:w="675" w:type="pct"/>
            <w:vAlign w:val="center"/>
          </w:tcPr>
          <w:p w14:paraId="3C3611C6"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45,6 </w:t>
            </w:r>
          </w:p>
        </w:tc>
        <w:tc>
          <w:tcPr>
            <w:tcW w:w="710" w:type="pct"/>
            <w:gridSpan w:val="2"/>
            <w:vAlign w:val="center"/>
          </w:tcPr>
          <w:p w14:paraId="0154BEC3"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39,6 </w:t>
            </w:r>
          </w:p>
        </w:tc>
        <w:tc>
          <w:tcPr>
            <w:tcW w:w="1287" w:type="pct"/>
            <w:gridSpan w:val="2"/>
            <w:vAlign w:val="center"/>
          </w:tcPr>
          <w:p w14:paraId="2B26EC8C"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6,0 </w:t>
            </w:r>
          </w:p>
        </w:tc>
        <w:tc>
          <w:tcPr>
            <w:tcW w:w="759" w:type="pct"/>
            <w:vAlign w:val="center"/>
          </w:tcPr>
          <w:p w14:paraId="0F4D890F"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-1,1; 13,3 </w:t>
            </w:r>
          </w:p>
        </w:tc>
      </w:tr>
      <w:tr w:rsidR="0060668B" w:rsidRPr="008A2C89" w14:paraId="74269AC0"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68"/>
        </w:trPr>
        <w:tc>
          <w:tcPr>
            <w:tcW w:w="1569" w:type="pct"/>
            <w:gridSpan w:val="3"/>
          </w:tcPr>
          <w:p w14:paraId="23C75BB8"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 xml:space="preserve">-AE podgrupa (n=423) </w:t>
            </w:r>
          </w:p>
        </w:tc>
        <w:tc>
          <w:tcPr>
            <w:tcW w:w="675" w:type="pct"/>
          </w:tcPr>
          <w:p w14:paraId="321670A2"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52,4 </w:t>
            </w:r>
          </w:p>
        </w:tc>
        <w:tc>
          <w:tcPr>
            <w:tcW w:w="710" w:type="pct"/>
            <w:gridSpan w:val="2"/>
          </w:tcPr>
          <w:p w14:paraId="21EBBD53"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45,1 </w:t>
            </w:r>
          </w:p>
        </w:tc>
        <w:tc>
          <w:tcPr>
            <w:tcW w:w="1287" w:type="pct"/>
            <w:gridSpan w:val="2"/>
          </w:tcPr>
          <w:p w14:paraId="6BCAD967"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7,3 </w:t>
            </w:r>
          </w:p>
        </w:tc>
        <w:tc>
          <w:tcPr>
            <w:tcW w:w="759" w:type="pct"/>
          </w:tcPr>
          <w:p w14:paraId="6003281C"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-2,2; 16,6 </w:t>
            </w:r>
          </w:p>
        </w:tc>
      </w:tr>
      <w:tr w:rsidR="0060668B" w:rsidRPr="008A2C89" w14:paraId="6AB47A70" w14:textId="77777777" w:rsidTr="00AE5D50">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248"/>
        </w:trPr>
        <w:tc>
          <w:tcPr>
            <w:tcW w:w="1569" w:type="pct"/>
            <w:gridSpan w:val="3"/>
            <w:tcBorders>
              <w:bottom w:val="single" w:sz="6" w:space="0" w:color="000000"/>
            </w:tcBorders>
          </w:tcPr>
          <w:p w14:paraId="080BBD20" w14:textId="77777777" w:rsidR="0060668B" w:rsidRPr="008A2C89" w:rsidRDefault="0060668B" w:rsidP="0060668B">
            <w:pPr>
              <w:autoSpaceDE w:val="0"/>
              <w:autoSpaceDN w:val="0"/>
              <w:adjustRightInd w:val="0"/>
              <w:spacing w:line="259" w:lineRule="auto"/>
              <w:rPr>
                <w:rFonts w:eastAsia="Calibri"/>
                <w:sz w:val="22"/>
                <w:szCs w:val="22"/>
                <w:lang w:val="hr-HR"/>
              </w:rPr>
            </w:pPr>
            <w:r w:rsidRPr="008A2C89">
              <w:rPr>
                <w:rFonts w:eastAsia="Calibri"/>
                <w:sz w:val="22"/>
                <w:szCs w:val="22"/>
                <w:lang w:val="hr-HR"/>
              </w:rPr>
              <w:t>-AI podgrupa (n=313)</w:t>
            </w:r>
            <w:r w:rsidRPr="008A2C89">
              <w:rPr>
                <w:rFonts w:eastAsia="Calibri"/>
                <w:sz w:val="22"/>
                <w:szCs w:val="22"/>
                <w:vertAlign w:val="superscript"/>
                <w:lang w:val="hr-HR"/>
              </w:rPr>
              <w:t>a</w:t>
            </w:r>
            <w:r w:rsidRPr="008A2C89">
              <w:rPr>
                <w:rFonts w:eastAsia="Calibri"/>
                <w:sz w:val="22"/>
                <w:szCs w:val="22"/>
                <w:lang w:val="hr-HR"/>
              </w:rPr>
              <w:t xml:space="preserve"> </w:t>
            </w:r>
          </w:p>
        </w:tc>
        <w:tc>
          <w:tcPr>
            <w:tcW w:w="675" w:type="pct"/>
            <w:tcBorders>
              <w:bottom w:val="single" w:sz="6" w:space="0" w:color="000000"/>
            </w:tcBorders>
          </w:tcPr>
          <w:p w14:paraId="45633464"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36,2 </w:t>
            </w:r>
          </w:p>
        </w:tc>
        <w:tc>
          <w:tcPr>
            <w:tcW w:w="710" w:type="pct"/>
            <w:gridSpan w:val="2"/>
            <w:tcBorders>
              <w:bottom w:val="single" w:sz="6" w:space="0" w:color="000000"/>
            </w:tcBorders>
          </w:tcPr>
          <w:p w14:paraId="09DDA9E9"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32,3 </w:t>
            </w:r>
          </w:p>
        </w:tc>
        <w:tc>
          <w:tcPr>
            <w:tcW w:w="1287" w:type="pct"/>
            <w:gridSpan w:val="2"/>
            <w:tcBorders>
              <w:bottom w:val="single" w:sz="6" w:space="0" w:color="000000"/>
            </w:tcBorders>
          </w:tcPr>
          <w:p w14:paraId="17CC115C"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                   3,9 </w:t>
            </w:r>
          </w:p>
        </w:tc>
        <w:tc>
          <w:tcPr>
            <w:tcW w:w="759" w:type="pct"/>
            <w:tcBorders>
              <w:bottom w:val="single" w:sz="6" w:space="0" w:color="000000"/>
            </w:tcBorders>
          </w:tcPr>
          <w:p w14:paraId="0AC2B55D" w14:textId="77777777" w:rsidR="0060668B" w:rsidRPr="008A2C89" w:rsidRDefault="0060668B" w:rsidP="0060668B">
            <w:pPr>
              <w:autoSpaceDE w:val="0"/>
              <w:autoSpaceDN w:val="0"/>
              <w:adjustRightInd w:val="0"/>
              <w:spacing w:line="259" w:lineRule="auto"/>
              <w:jc w:val="center"/>
              <w:rPr>
                <w:rFonts w:eastAsia="Calibri"/>
                <w:sz w:val="22"/>
                <w:szCs w:val="22"/>
                <w:lang w:val="hr-HR"/>
              </w:rPr>
            </w:pPr>
            <w:r w:rsidRPr="008A2C89">
              <w:rPr>
                <w:rFonts w:eastAsia="Calibri"/>
                <w:sz w:val="22"/>
                <w:szCs w:val="22"/>
                <w:lang w:val="hr-HR"/>
              </w:rPr>
              <w:t xml:space="preserve">-6,1; 15,2 </w:t>
            </w:r>
          </w:p>
        </w:tc>
      </w:tr>
    </w:tbl>
    <w:p w14:paraId="69E42C1D" w14:textId="77777777" w:rsidR="00C661E8" w:rsidRPr="00AE5D50" w:rsidRDefault="00C661E8" w:rsidP="00C661E8">
      <w:pPr>
        <w:autoSpaceDE w:val="0"/>
        <w:autoSpaceDN w:val="0"/>
        <w:adjustRightInd w:val="0"/>
        <w:spacing w:line="259" w:lineRule="auto"/>
        <w:ind w:left="340" w:hanging="340"/>
        <w:jc w:val="both"/>
        <w:rPr>
          <w:rFonts w:eastAsia="Calibri"/>
          <w:sz w:val="20"/>
          <w:szCs w:val="22"/>
          <w:lang w:val="hr-HR"/>
        </w:rPr>
      </w:pPr>
      <w:r w:rsidRPr="00AE5D50">
        <w:rPr>
          <w:rFonts w:eastAsia="Calibri"/>
          <w:sz w:val="20"/>
          <w:szCs w:val="22"/>
          <w:vertAlign w:val="superscript"/>
          <w:lang w:val="hr-HR"/>
        </w:rPr>
        <w:t>a</w:t>
      </w:r>
      <w:r w:rsidRPr="00AE5D50">
        <w:rPr>
          <w:rFonts w:eastAsia="Calibri"/>
          <w:color w:val="FF0000"/>
          <w:sz w:val="20"/>
          <w:szCs w:val="22"/>
          <w:vertAlign w:val="superscript"/>
          <w:lang w:val="hr-HR"/>
        </w:rPr>
        <w:t xml:space="preserve">        </w:t>
      </w:r>
      <w:r w:rsidRPr="00AE5D50">
        <w:rPr>
          <w:rFonts w:eastAsia="Calibri"/>
          <w:sz w:val="20"/>
          <w:szCs w:val="22"/>
          <w:lang w:val="hr-HR"/>
        </w:rPr>
        <w:t xml:space="preserve">Fulvestrant je indikovan kod pacijentkinja kod kojih se bolest ponovo javila ili je uznapredovala tokom terapije antiestrogenom. Rezultati u AI podgrupi ne omogućuju konačan zaključak. </w:t>
      </w:r>
    </w:p>
    <w:p w14:paraId="717D44ED" w14:textId="77777777" w:rsidR="00C661E8" w:rsidRPr="00AE5D50" w:rsidRDefault="00C661E8" w:rsidP="00C661E8">
      <w:pPr>
        <w:autoSpaceDE w:val="0"/>
        <w:autoSpaceDN w:val="0"/>
        <w:adjustRightInd w:val="0"/>
        <w:spacing w:line="259" w:lineRule="auto"/>
        <w:jc w:val="both"/>
        <w:rPr>
          <w:rFonts w:eastAsia="Calibri"/>
          <w:sz w:val="20"/>
          <w:szCs w:val="22"/>
          <w:lang w:val="hr-HR"/>
        </w:rPr>
      </w:pPr>
      <w:r w:rsidRPr="00AE5D50">
        <w:rPr>
          <w:rFonts w:eastAsia="Calibri"/>
          <w:sz w:val="20"/>
          <w:szCs w:val="22"/>
          <w:vertAlign w:val="superscript"/>
          <w:lang w:val="hr-HR"/>
        </w:rPr>
        <w:t xml:space="preserve">b        </w:t>
      </w:r>
      <w:r w:rsidRPr="00AE5D50">
        <w:rPr>
          <w:rFonts w:eastAsia="Calibri"/>
          <w:sz w:val="20"/>
          <w:szCs w:val="22"/>
          <w:lang w:val="hr-HR"/>
        </w:rPr>
        <w:t xml:space="preserve">Prikazan je OS za konačne analize preživljavanja pri 75%-tnoj zrelosti podataka. </w:t>
      </w:r>
    </w:p>
    <w:p w14:paraId="6DCA239E" w14:textId="77777777" w:rsidR="00C661E8" w:rsidRPr="00AE5D50" w:rsidRDefault="00C661E8" w:rsidP="00C661E8">
      <w:pPr>
        <w:autoSpaceDE w:val="0"/>
        <w:autoSpaceDN w:val="0"/>
        <w:adjustRightInd w:val="0"/>
        <w:spacing w:line="259" w:lineRule="auto"/>
        <w:ind w:left="340" w:hanging="340"/>
        <w:jc w:val="both"/>
        <w:rPr>
          <w:rFonts w:eastAsia="Calibri"/>
          <w:sz w:val="20"/>
          <w:szCs w:val="22"/>
          <w:lang w:val="hr-HR"/>
        </w:rPr>
      </w:pPr>
      <w:r w:rsidRPr="00AE5D50">
        <w:rPr>
          <w:rFonts w:eastAsia="Calibri"/>
          <w:sz w:val="20"/>
          <w:szCs w:val="22"/>
          <w:vertAlign w:val="superscript"/>
          <w:lang w:val="hr-HR"/>
        </w:rPr>
        <w:t>c</w:t>
      </w:r>
      <w:r w:rsidRPr="00AE5D50">
        <w:rPr>
          <w:rFonts w:eastAsia="Calibri"/>
          <w:sz w:val="20"/>
          <w:szCs w:val="22"/>
          <w:lang w:val="hr-HR"/>
        </w:rPr>
        <w:t xml:space="preserve">  Nominalna p-vrijednost bez korekcije za multiplicitet između inicijalnih analiza ukupnog preživljavanja pri 50%-tnoj zrelosti podataka i ažuriranih analiza preživljavanja pri 75%-tnoj zrelosti podataka. </w:t>
      </w:r>
    </w:p>
    <w:p w14:paraId="7EC55769" w14:textId="77777777" w:rsidR="00C661E8" w:rsidRPr="00AE5D50" w:rsidRDefault="00C661E8" w:rsidP="00C661E8">
      <w:pPr>
        <w:autoSpaceDE w:val="0"/>
        <w:autoSpaceDN w:val="0"/>
        <w:adjustRightInd w:val="0"/>
        <w:spacing w:line="259" w:lineRule="auto"/>
        <w:ind w:left="340" w:hanging="340"/>
        <w:jc w:val="both"/>
        <w:rPr>
          <w:rFonts w:eastAsia="Calibri"/>
          <w:sz w:val="20"/>
          <w:szCs w:val="22"/>
          <w:lang w:val="hr-HR"/>
        </w:rPr>
      </w:pPr>
      <w:r w:rsidRPr="00AE5D50">
        <w:rPr>
          <w:rFonts w:eastAsia="Calibri"/>
          <w:sz w:val="20"/>
          <w:szCs w:val="22"/>
          <w:vertAlign w:val="superscript"/>
          <w:lang w:val="hr-HR"/>
        </w:rPr>
        <w:t xml:space="preserve">d       </w:t>
      </w:r>
      <w:r w:rsidRPr="00AE5D50">
        <w:rPr>
          <w:rFonts w:eastAsia="Calibri"/>
          <w:sz w:val="20"/>
          <w:szCs w:val="22"/>
          <w:lang w:val="hr-HR"/>
        </w:rPr>
        <w:t xml:space="preserve">ORR je procijenjena kod pacijentkinja čiji se odgovor mogao procijeniti na početku ispitivanja (tj. onih sa mjerljivom bolešću na početku ispitivanja: 240 pacijentkinja u grupi koje su primale fulvestrant 500 mg/5 ml te 261 pacijentkinja u grupi koja je primala fulvestrant 250 mg/5 ml). </w:t>
      </w:r>
    </w:p>
    <w:p w14:paraId="73B75073" w14:textId="77777777" w:rsidR="00C661E8" w:rsidRPr="00AE5D50" w:rsidRDefault="00C661E8" w:rsidP="00C661E8">
      <w:pPr>
        <w:autoSpaceDE w:val="0"/>
        <w:autoSpaceDN w:val="0"/>
        <w:adjustRightInd w:val="0"/>
        <w:spacing w:line="259" w:lineRule="auto"/>
        <w:ind w:left="340" w:hanging="340"/>
        <w:jc w:val="both"/>
        <w:rPr>
          <w:rFonts w:eastAsia="Calibri"/>
          <w:sz w:val="20"/>
          <w:szCs w:val="22"/>
          <w:lang w:val="hr-HR"/>
        </w:rPr>
      </w:pPr>
      <w:r w:rsidRPr="00AE5D50">
        <w:rPr>
          <w:rFonts w:eastAsia="Calibri"/>
          <w:sz w:val="20"/>
          <w:szCs w:val="22"/>
          <w:vertAlign w:val="superscript"/>
          <w:lang w:val="hr-HR"/>
        </w:rPr>
        <w:t>e</w:t>
      </w:r>
      <w:r w:rsidRPr="00AE5D50">
        <w:rPr>
          <w:rFonts w:eastAsia="Calibri"/>
          <w:sz w:val="20"/>
          <w:szCs w:val="22"/>
          <w:lang w:val="hr-HR"/>
        </w:rPr>
        <w:t xml:space="preserve">     Pacijentkinje sa najboljim objektivnim odgovorom na terapiju u kompletnom odgovoru, djelimičnom odgovoru i stabilnoj bolesti tokom ≥ 24 nedjelja.</w:t>
      </w:r>
    </w:p>
    <w:p w14:paraId="5A964EFA" w14:textId="77777777" w:rsidR="00C661E8" w:rsidRPr="008A2C89" w:rsidRDefault="00C661E8" w:rsidP="00C661E8">
      <w:pPr>
        <w:tabs>
          <w:tab w:val="left" w:pos="540"/>
          <w:tab w:val="left" w:pos="569"/>
        </w:tabs>
        <w:spacing w:line="259" w:lineRule="auto"/>
        <w:jc w:val="both"/>
        <w:rPr>
          <w:rFonts w:eastAsia="TimesNewRoman"/>
          <w:sz w:val="22"/>
          <w:szCs w:val="22"/>
          <w:lang w:val="hr-HR"/>
        </w:rPr>
      </w:pPr>
    </w:p>
    <w:p w14:paraId="5360A8C2" w14:textId="77777777" w:rsidR="00C661E8" w:rsidRDefault="00C661E8" w:rsidP="00C661E8">
      <w:pPr>
        <w:tabs>
          <w:tab w:val="left" w:pos="540"/>
          <w:tab w:val="left" w:pos="569"/>
        </w:tabs>
        <w:spacing w:line="259" w:lineRule="auto"/>
        <w:jc w:val="both"/>
        <w:rPr>
          <w:rFonts w:eastAsia="TimesNewRoman"/>
          <w:sz w:val="22"/>
          <w:szCs w:val="22"/>
          <w:lang w:val="hr-HR"/>
        </w:rPr>
      </w:pPr>
      <w:r w:rsidRPr="008A2C89">
        <w:rPr>
          <w:rFonts w:eastAsia="TimesNewRoman"/>
          <w:sz w:val="22"/>
          <w:szCs w:val="22"/>
          <w:lang w:val="hr-HR"/>
        </w:rPr>
        <w:t>PFS: preživljavanje bez progresije bolesti; ORR: objektivna stopa odgovora; OR: objektivni odgovor; CBR: stopa kliničke koristi; CB: klinička dobit; OS: ukupno preživljavanje; K-M: Kaplan-Meier; CI: interval pouzdanosti; AI: inhibitor aromataze; AE: antiestrogen.</w:t>
      </w:r>
    </w:p>
    <w:p w14:paraId="3E36EF72" w14:textId="77777777" w:rsidR="00046A09" w:rsidRPr="008A2C89" w:rsidRDefault="00046A09" w:rsidP="00C661E8">
      <w:pPr>
        <w:tabs>
          <w:tab w:val="left" w:pos="540"/>
          <w:tab w:val="left" w:pos="569"/>
        </w:tabs>
        <w:spacing w:line="259" w:lineRule="auto"/>
        <w:jc w:val="both"/>
        <w:rPr>
          <w:rFonts w:eastAsia="TimesNewRoman"/>
          <w:sz w:val="22"/>
          <w:szCs w:val="22"/>
          <w:lang w:val="hr-HR"/>
        </w:rPr>
      </w:pPr>
    </w:p>
    <w:p w14:paraId="5C8CC181" w14:textId="77777777" w:rsidR="00C661E8" w:rsidRPr="00585C79" w:rsidRDefault="00C661E8" w:rsidP="00C661E8">
      <w:pPr>
        <w:tabs>
          <w:tab w:val="left" w:pos="540"/>
          <w:tab w:val="left" w:pos="569"/>
        </w:tabs>
        <w:spacing w:line="259" w:lineRule="auto"/>
        <w:jc w:val="both"/>
        <w:rPr>
          <w:rFonts w:eastAsia="TimesNewRoman"/>
          <w:sz w:val="22"/>
          <w:szCs w:val="22"/>
          <w:lang w:val="hr-HR"/>
        </w:rPr>
      </w:pPr>
      <w:r w:rsidRPr="00585C79">
        <w:rPr>
          <w:rFonts w:eastAsia="TimesNewRoman"/>
          <w:sz w:val="22"/>
          <w:szCs w:val="22"/>
          <w:lang w:val="hr-HR"/>
        </w:rPr>
        <w:t>Randomizovana, duplo slijepa, duplo lažna, multicentrična studija faze III sa fulvestrantom 500 mg/5 ml naspram anastrozola 1 mg je sporovođena kod postmenopauzalnih žena sa ER-pozitivnim i/ili PgR-pozitivnim lokalno uznapredovalim ili metastatskim karcinomom dojke koje nijesu prethodno primale hormonsku terapiju. Ukupno 462 pacijentkinje su randomizovane u odnosu 1:1 sekvencijalno kako bi primile ili fulvestrant 500 mg/5 ml ili anastrozol 1 mg.</w:t>
      </w:r>
    </w:p>
    <w:p w14:paraId="1EE84A95" w14:textId="77777777" w:rsidR="00C661E8" w:rsidRPr="00585C79" w:rsidRDefault="00C661E8" w:rsidP="00C661E8">
      <w:pPr>
        <w:tabs>
          <w:tab w:val="left" w:pos="540"/>
          <w:tab w:val="left" w:pos="569"/>
        </w:tabs>
        <w:spacing w:line="259" w:lineRule="auto"/>
        <w:jc w:val="both"/>
        <w:rPr>
          <w:rFonts w:eastAsia="TimesNewRoman"/>
          <w:sz w:val="22"/>
          <w:szCs w:val="22"/>
          <w:lang w:val="hr-HR"/>
        </w:rPr>
      </w:pPr>
    </w:p>
    <w:p w14:paraId="5081EC00" w14:textId="384F70B6" w:rsidR="00C661E8" w:rsidRPr="00585C79" w:rsidRDefault="00C661E8" w:rsidP="00C661E8">
      <w:pPr>
        <w:tabs>
          <w:tab w:val="left" w:pos="540"/>
          <w:tab w:val="left" w:pos="569"/>
        </w:tabs>
        <w:spacing w:line="259" w:lineRule="auto"/>
        <w:jc w:val="both"/>
        <w:rPr>
          <w:rFonts w:eastAsia="TimesNewRoman"/>
          <w:sz w:val="22"/>
          <w:szCs w:val="22"/>
          <w:lang w:val="hr-HR"/>
        </w:rPr>
      </w:pPr>
      <w:r w:rsidRPr="00585C79">
        <w:rPr>
          <w:rFonts w:eastAsia="TimesNewRoman"/>
          <w:sz w:val="22"/>
          <w:szCs w:val="22"/>
          <w:lang w:val="hr-HR"/>
        </w:rPr>
        <w:t>Randomizacija je bila stratifikovana prema fazi bolesti (lokalno uznapredovala ili metastatska), prethodnoj hemioterapiji za uznapredovalu bolest, i mjerljivoj bolesti.</w:t>
      </w:r>
    </w:p>
    <w:p w14:paraId="2347ACD8" w14:textId="2984B4E5" w:rsidR="00C661E8" w:rsidRPr="00585C79" w:rsidRDefault="00C661E8" w:rsidP="00C661E8">
      <w:pPr>
        <w:tabs>
          <w:tab w:val="left" w:pos="540"/>
          <w:tab w:val="left" w:pos="569"/>
        </w:tabs>
        <w:spacing w:line="259" w:lineRule="auto"/>
        <w:jc w:val="both"/>
        <w:rPr>
          <w:rFonts w:eastAsia="TimesNewRoman"/>
          <w:sz w:val="22"/>
          <w:szCs w:val="22"/>
          <w:lang w:val="hr-HR"/>
        </w:rPr>
      </w:pPr>
      <w:r w:rsidRPr="00585C79">
        <w:rPr>
          <w:rFonts w:eastAsia="TimesNewRoman"/>
          <w:sz w:val="22"/>
          <w:szCs w:val="22"/>
          <w:lang w:val="hr-HR"/>
        </w:rPr>
        <w:t xml:space="preserve">Primarna </w:t>
      </w:r>
      <w:r w:rsidR="006F5D54" w:rsidRPr="00585C79">
        <w:rPr>
          <w:rFonts w:eastAsia="TimesNewRoman"/>
          <w:sz w:val="22"/>
          <w:szCs w:val="22"/>
          <w:lang w:val="hr-HR"/>
        </w:rPr>
        <w:t xml:space="preserve">mjera ishoda za </w:t>
      </w:r>
      <w:r w:rsidRPr="00585C79">
        <w:rPr>
          <w:rFonts w:eastAsia="TimesNewRoman"/>
          <w:sz w:val="22"/>
          <w:szCs w:val="22"/>
          <w:lang w:val="hr-HR"/>
        </w:rPr>
        <w:t xml:space="preserve">efikasnost studije </w:t>
      </w:r>
      <w:r w:rsidR="006F5D54" w:rsidRPr="00585C79">
        <w:rPr>
          <w:rFonts w:eastAsia="TimesNewRoman"/>
          <w:sz w:val="22"/>
          <w:szCs w:val="22"/>
          <w:lang w:val="hr-HR"/>
        </w:rPr>
        <w:t xml:space="preserve">bila je preživljavanje bez progresije bolesti (PFS) </w:t>
      </w:r>
      <w:r w:rsidRPr="00585C79">
        <w:rPr>
          <w:rFonts w:eastAsia="TimesNewRoman"/>
          <w:sz w:val="22"/>
          <w:szCs w:val="22"/>
          <w:lang w:val="hr-HR"/>
        </w:rPr>
        <w:t xml:space="preserve">prema </w:t>
      </w:r>
      <w:r w:rsidR="006F5D54" w:rsidRPr="00585C79">
        <w:rPr>
          <w:rFonts w:eastAsia="TimesNewRoman"/>
          <w:sz w:val="22"/>
          <w:szCs w:val="22"/>
          <w:lang w:val="hr-HR"/>
        </w:rPr>
        <w:t xml:space="preserve">procjeni ispitivača na osnovu verzije </w:t>
      </w:r>
      <w:r w:rsidRPr="00585C79">
        <w:rPr>
          <w:rFonts w:eastAsia="TimesNewRoman"/>
          <w:sz w:val="22"/>
          <w:szCs w:val="22"/>
          <w:lang w:val="hr-HR"/>
        </w:rPr>
        <w:t xml:space="preserve">RECIST 1.1 (kriterijum za procjenu odgovora kod solidnih tumora). Ključne sekundarne </w:t>
      </w:r>
      <w:r w:rsidR="006F5D54" w:rsidRPr="00585C79">
        <w:rPr>
          <w:rFonts w:eastAsia="TimesNewRoman"/>
          <w:sz w:val="22"/>
          <w:szCs w:val="22"/>
          <w:lang w:val="hr-HR"/>
        </w:rPr>
        <w:t>mjere ishoda za</w:t>
      </w:r>
      <w:r w:rsidRPr="00585C79">
        <w:rPr>
          <w:rFonts w:eastAsia="TimesNewRoman"/>
          <w:sz w:val="22"/>
          <w:szCs w:val="22"/>
          <w:lang w:val="hr-HR"/>
        </w:rPr>
        <w:t xml:space="preserve"> efikasnost uključivale su ukupno preživljavanje (OS) i stopu objektivnog odgovora (ORR).</w:t>
      </w:r>
    </w:p>
    <w:p w14:paraId="0FBEA314" w14:textId="77777777" w:rsidR="00C661E8" w:rsidRPr="00585C79" w:rsidRDefault="00C661E8" w:rsidP="00C661E8">
      <w:pPr>
        <w:tabs>
          <w:tab w:val="left" w:pos="540"/>
          <w:tab w:val="left" w:pos="569"/>
        </w:tabs>
        <w:spacing w:line="259" w:lineRule="auto"/>
        <w:jc w:val="both"/>
        <w:rPr>
          <w:rFonts w:eastAsia="TimesNewRoman"/>
          <w:sz w:val="22"/>
          <w:szCs w:val="22"/>
          <w:lang w:val="hr-HR"/>
        </w:rPr>
      </w:pPr>
      <w:r w:rsidRPr="00585C79">
        <w:rPr>
          <w:rFonts w:eastAsia="TimesNewRoman"/>
          <w:sz w:val="22"/>
          <w:szCs w:val="22"/>
          <w:lang w:val="hr-HR"/>
        </w:rPr>
        <w:t>Pacijentkinje koje su učesvovale u studiji su imali u prosjeku 63 godine (opseg 36-90). Većina pacijentkinja (87,0%) je imala metastatsku bolest na početku. Pedeset pet procenata (55,0%) pacijentkinja je imalo visceralnu metastazu na početku. Ukupno 17,1% pacijentkinja je primalo prethodno režim hemioterapije za uznapredovalu bolest; 84,2%  pacijentkinja je imalo mjerljivu bolest.</w:t>
      </w:r>
    </w:p>
    <w:p w14:paraId="1F82EA1E" w14:textId="77777777" w:rsidR="00C661E8" w:rsidRPr="00585C79" w:rsidRDefault="00C661E8" w:rsidP="00C661E8">
      <w:pPr>
        <w:tabs>
          <w:tab w:val="left" w:pos="540"/>
          <w:tab w:val="left" w:pos="569"/>
        </w:tabs>
        <w:spacing w:line="259" w:lineRule="auto"/>
        <w:jc w:val="both"/>
        <w:rPr>
          <w:rFonts w:eastAsia="TimesNewRoman"/>
          <w:sz w:val="22"/>
          <w:szCs w:val="22"/>
          <w:lang w:val="hr-HR"/>
        </w:rPr>
      </w:pPr>
    </w:p>
    <w:p w14:paraId="5A6FCD79" w14:textId="54751374" w:rsidR="005660F7" w:rsidRDefault="00C661E8" w:rsidP="00AE5D50">
      <w:pPr>
        <w:tabs>
          <w:tab w:val="left" w:pos="540"/>
          <w:tab w:val="left" w:pos="569"/>
        </w:tabs>
        <w:spacing w:line="259" w:lineRule="auto"/>
        <w:jc w:val="both"/>
        <w:rPr>
          <w:rFonts w:eastAsia="TimesNewRoman,Bold"/>
          <w:b/>
          <w:bCs/>
          <w:sz w:val="22"/>
          <w:szCs w:val="22"/>
          <w:lang w:val="hr-HR"/>
        </w:rPr>
      </w:pPr>
      <w:r w:rsidRPr="00585C79">
        <w:rPr>
          <w:rFonts w:eastAsia="TimesNewRoman"/>
          <w:sz w:val="22"/>
          <w:szCs w:val="22"/>
          <w:lang w:val="hr-HR"/>
        </w:rPr>
        <w:t xml:space="preserve">Zapaženi su konzistentni rezultati kod većine unaprijed određenih podgrupa pacijentkinja. Za podgrupu pacijentkinja sa bolešću ograničenom na nevisceralnu metastazu (n=208), HR je bio 0,592 (95% CI: </w:t>
      </w:r>
      <w:r w:rsidRPr="00585C79">
        <w:rPr>
          <w:rFonts w:eastAsia="TimesNewRoman"/>
          <w:sz w:val="22"/>
          <w:szCs w:val="22"/>
          <w:lang w:val="hr-HR"/>
        </w:rPr>
        <w:lastRenderedPageBreak/>
        <w:t>0,419, 0,837) za grupu koja je primala fulvestrant u poređenju sa grupom koja je primala anastrozol. Za podgrupu pacijentkinja sa visceralnom metastazom (n=254), HR je bio 0,993 (95% CI: 0,740, 1,331) za grupu koja je primala fulvestrant u poređenju sa grupom koja je primala anastrozol. Rezultati efikasnosti FALCON studije su prikazani u Tabeli 4 i na Slici 1.</w:t>
      </w:r>
    </w:p>
    <w:p w14:paraId="0E2A897B" w14:textId="77777777" w:rsidR="005660F7" w:rsidRPr="008A2C89" w:rsidRDefault="005660F7" w:rsidP="006F76B8">
      <w:pPr>
        <w:autoSpaceDE w:val="0"/>
        <w:autoSpaceDN w:val="0"/>
        <w:adjustRightInd w:val="0"/>
        <w:spacing w:line="259" w:lineRule="auto"/>
        <w:ind w:left="1247" w:hanging="1247"/>
        <w:jc w:val="both"/>
        <w:rPr>
          <w:rFonts w:eastAsia="TimesNewRoman,Bold"/>
          <w:b/>
          <w:bCs/>
          <w:sz w:val="22"/>
          <w:szCs w:val="22"/>
          <w:lang w:val="hr-HR"/>
        </w:rPr>
      </w:pPr>
    </w:p>
    <w:p w14:paraId="518306DE" w14:textId="7D73DC0F" w:rsidR="00C661E8" w:rsidRPr="00585C79" w:rsidRDefault="00C661E8" w:rsidP="00AE5D50">
      <w:pPr>
        <w:tabs>
          <w:tab w:val="left" w:pos="540"/>
          <w:tab w:val="left" w:pos="569"/>
        </w:tabs>
        <w:spacing w:line="259" w:lineRule="auto"/>
        <w:jc w:val="both"/>
        <w:rPr>
          <w:rFonts w:eastAsia="TimesNewRoman"/>
          <w:b/>
          <w:bCs/>
          <w:sz w:val="22"/>
          <w:szCs w:val="22"/>
          <w:lang w:val="hr-HR"/>
        </w:rPr>
      </w:pPr>
      <w:r w:rsidRPr="00585C79">
        <w:rPr>
          <w:rFonts w:eastAsia="TimesNewRoman"/>
          <w:b/>
          <w:bCs/>
          <w:sz w:val="22"/>
          <w:szCs w:val="22"/>
          <w:lang w:val="hr-HR"/>
        </w:rPr>
        <w:t xml:space="preserve">Tabela 4 Rezime rezultata </w:t>
      </w:r>
      <w:r w:rsidR="00A260EC" w:rsidRPr="00585C79">
        <w:rPr>
          <w:rFonts w:eastAsia="TimesNewRoman"/>
          <w:b/>
          <w:bCs/>
          <w:sz w:val="22"/>
          <w:szCs w:val="22"/>
          <w:lang w:val="hr-HR"/>
        </w:rPr>
        <w:t>za primarnu mjeru ishoda za</w:t>
      </w:r>
      <w:r w:rsidRPr="00585C79">
        <w:rPr>
          <w:rFonts w:eastAsia="TimesNewRoman"/>
          <w:b/>
          <w:bCs/>
          <w:sz w:val="22"/>
          <w:szCs w:val="22"/>
          <w:lang w:val="hr-HR"/>
        </w:rPr>
        <w:t xml:space="preserve"> efikasnost (PFS) i klju</w:t>
      </w:r>
      <w:r w:rsidR="00A260EC" w:rsidRPr="00585C79">
        <w:rPr>
          <w:rFonts w:eastAsia="TimesNewRoman"/>
          <w:b/>
          <w:bCs/>
          <w:sz w:val="22"/>
          <w:szCs w:val="22"/>
          <w:lang w:val="hr-HR"/>
        </w:rPr>
        <w:t>čne</w:t>
      </w:r>
      <w:r w:rsidRPr="00585C79">
        <w:rPr>
          <w:rFonts w:eastAsia="TimesNewRoman"/>
          <w:b/>
          <w:bCs/>
          <w:sz w:val="22"/>
          <w:szCs w:val="22"/>
          <w:lang w:val="hr-HR"/>
        </w:rPr>
        <w:t xml:space="preserve"> sekundarne </w:t>
      </w:r>
      <w:r w:rsidR="00A260EC" w:rsidRPr="00585C79">
        <w:rPr>
          <w:rFonts w:eastAsia="TimesNewRoman"/>
          <w:b/>
          <w:bCs/>
          <w:sz w:val="22"/>
          <w:szCs w:val="22"/>
          <w:lang w:val="hr-HR"/>
        </w:rPr>
        <w:t xml:space="preserve">mjere ishoda za efikasnost </w:t>
      </w:r>
      <w:r w:rsidRPr="00585C79">
        <w:rPr>
          <w:rFonts w:eastAsia="TimesNewRoman"/>
          <w:b/>
          <w:bCs/>
          <w:sz w:val="22"/>
          <w:szCs w:val="22"/>
          <w:lang w:val="hr-HR"/>
        </w:rPr>
        <w:t>(istraživačka procjena, populacija predviđena za liječenje) ─ FALCON studija</w:t>
      </w:r>
    </w:p>
    <w:tbl>
      <w:tblPr>
        <w:tblW w:w="9064"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421"/>
        <w:gridCol w:w="2808"/>
        <w:gridCol w:w="2835"/>
      </w:tblGrid>
      <w:tr w:rsidR="00C661E8" w:rsidRPr="008A2C89" w14:paraId="6966CC34" w14:textId="77777777" w:rsidTr="00C661E8">
        <w:tc>
          <w:tcPr>
            <w:tcW w:w="1887" w:type="pct"/>
            <w:tcBorders>
              <w:top w:val="outset" w:sz="6" w:space="0" w:color="7B7B7B"/>
              <w:left w:val="outset" w:sz="6" w:space="0" w:color="7B7B7B"/>
              <w:bottom w:val="outset" w:sz="6" w:space="0" w:color="7B7B7B"/>
              <w:right w:val="outset" w:sz="6" w:space="0" w:color="7B7B7B"/>
            </w:tcBorders>
            <w:shd w:val="clear" w:color="auto" w:fill="auto"/>
          </w:tcPr>
          <w:p w14:paraId="2AAB5B8D" w14:textId="77777777" w:rsidR="00C661E8" w:rsidRPr="00585C79" w:rsidRDefault="00C661E8" w:rsidP="00C661E8">
            <w:pPr>
              <w:tabs>
                <w:tab w:val="left" w:pos="540"/>
                <w:tab w:val="left" w:pos="569"/>
              </w:tabs>
              <w:spacing w:line="259" w:lineRule="auto"/>
              <w:rPr>
                <w:rFonts w:eastAsia="TimesNewRoman"/>
                <w:sz w:val="22"/>
                <w:szCs w:val="22"/>
                <w:lang w:val="hr-HR"/>
              </w:rPr>
            </w:pPr>
          </w:p>
        </w:tc>
        <w:tc>
          <w:tcPr>
            <w:tcW w:w="1549" w:type="pct"/>
            <w:tcBorders>
              <w:top w:val="outset" w:sz="6" w:space="0" w:color="7B7B7B"/>
              <w:left w:val="outset" w:sz="6" w:space="0" w:color="7B7B7B"/>
              <w:bottom w:val="outset" w:sz="6" w:space="0" w:color="7B7B7B"/>
              <w:right w:val="outset" w:sz="6" w:space="0" w:color="7B7B7B"/>
            </w:tcBorders>
            <w:shd w:val="clear" w:color="auto" w:fill="auto"/>
          </w:tcPr>
          <w:p w14:paraId="0AE3EF17"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b/>
                <w:bCs/>
                <w:sz w:val="22"/>
                <w:szCs w:val="22"/>
                <w:lang w:val="en-GB"/>
              </w:rPr>
              <w:t>Fulvestrant</w:t>
            </w:r>
          </w:p>
          <w:p w14:paraId="6558080A"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b/>
                <w:bCs/>
                <w:sz w:val="22"/>
                <w:szCs w:val="22"/>
                <w:lang w:val="en-GB"/>
              </w:rPr>
              <w:t>500 mg</w:t>
            </w:r>
          </w:p>
          <w:p w14:paraId="7D395ACB"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b/>
                <w:bCs/>
                <w:sz w:val="22"/>
                <w:szCs w:val="22"/>
                <w:lang w:val="en-GB"/>
              </w:rPr>
              <w:t>(N=230)</w:t>
            </w:r>
          </w:p>
        </w:tc>
        <w:tc>
          <w:tcPr>
            <w:tcW w:w="1564" w:type="pct"/>
            <w:tcBorders>
              <w:top w:val="outset" w:sz="6" w:space="0" w:color="7B7B7B"/>
              <w:left w:val="outset" w:sz="6" w:space="0" w:color="7B7B7B"/>
              <w:bottom w:val="outset" w:sz="6" w:space="0" w:color="7B7B7B"/>
              <w:right w:val="outset" w:sz="6" w:space="0" w:color="7B7B7B"/>
            </w:tcBorders>
            <w:shd w:val="clear" w:color="auto" w:fill="auto"/>
          </w:tcPr>
          <w:p w14:paraId="1C5D24EB"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b/>
                <w:bCs/>
                <w:sz w:val="22"/>
                <w:szCs w:val="22"/>
                <w:lang w:val="en-GB"/>
              </w:rPr>
              <w:t>Anastrozol</w:t>
            </w:r>
          </w:p>
          <w:p w14:paraId="3C5E18EC"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b/>
                <w:bCs/>
                <w:sz w:val="22"/>
                <w:szCs w:val="22"/>
                <w:lang w:val="en-GB"/>
              </w:rPr>
              <w:t>1 mg</w:t>
            </w:r>
          </w:p>
          <w:p w14:paraId="00EEEF81" w14:textId="77777777" w:rsidR="00C661E8" w:rsidRPr="008A2C89" w:rsidRDefault="00C661E8" w:rsidP="00C661E8">
            <w:pPr>
              <w:spacing w:line="259" w:lineRule="auto"/>
              <w:jc w:val="center"/>
              <w:rPr>
                <w:rFonts w:eastAsia="TimesNewRoman"/>
                <w:sz w:val="22"/>
                <w:szCs w:val="22"/>
                <w:lang w:val="en-GB"/>
              </w:rPr>
            </w:pPr>
            <w:r w:rsidRPr="008A2C89">
              <w:rPr>
                <w:rFonts w:eastAsia="TimesNewRoman"/>
                <w:b/>
                <w:bCs/>
                <w:sz w:val="22"/>
                <w:szCs w:val="22"/>
                <w:lang w:val="en-GB"/>
              </w:rPr>
              <w:t>(N=232)</w:t>
            </w:r>
          </w:p>
        </w:tc>
      </w:tr>
      <w:tr w:rsidR="00C661E8" w:rsidRPr="008A2C89" w14:paraId="5CDF7CBB" w14:textId="77777777" w:rsidTr="00C661E8">
        <w:tc>
          <w:tcPr>
            <w:tcW w:w="5000"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27B4C467" w14:textId="77777777" w:rsidR="00C661E8" w:rsidRPr="008A2C89" w:rsidRDefault="00C661E8" w:rsidP="00C661E8">
            <w:pPr>
              <w:tabs>
                <w:tab w:val="left" w:pos="540"/>
                <w:tab w:val="left" w:pos="569"/>
              </w:tabs>
              <w:spacing w:line="259" w:lineRule="auto"/>
              <w:rPr>
                <w:rFonts w:eastAsia="TimesNewRoman"/>
                <w:sz w:val="22"/>
                <w:szCs w:val="22"/>
                <w:lang w:val="en-GB"/>
              </w:rPr>
            </w:pPr>
            <w:r w:rsidRPr="008A2C89">
              <w:rPr>
                <w:rFonts w:eastAsia="TimesNewRoman"/>
                <w:b/>
                <w:bCs/>
                <w:sz w:val="22"/>
                <w:szCs w:val="22"/>
                <w:lang w:val="en-GB"/>
              </w:rPr>
              <w:t>Preživljavanje bez progresije bolesti</w:t>
            </w:r>
          </w:p>
        </w:tc>
      </w:tr>
      <w:tr w:rsidR="00C661E8" w:rsidRPr="008A2C89" w14:paraId="29093C13" w14:textId="77777777" w:rsidTr="00C661E8">
        <w:tc>
          <w:tcPr>
            <w:tcW w:w="1887" w:type="pct"/>
            <w:tcBorders>
              <w:top w:val="outset" w:sz="6" w:space="0" w:color="7B7B7B"/>
              <w:left w:val="outset" w:sz="6" w:space="0" w:color="7B7B7B"/>
              <w:bottom w:val="outset" w:sz="6" w:space="0" w:color="7B7B7B"/>
              <w:right w:val="outset" w:sz="6" w:space="0" w:color="7B7B7B"/>
            </w:tcBorders>
            <w:shd w:val="clear" w:color="auto" w:fill="auto"/>
            <w:hideMark/>
          </w:tcPr>
          <w:p w14:paraId="04C0FF8F" w14:textId="77777777" w:rsidR="00C661E8" w:rsidRPr="008A2C89" w:rsidRDefault="00C661E8" w:rsidP="00C661E8">
            <w:pPr>
              <w:tabs>
                <w:tab w:val="left" w:pos="540"/>
                <w:tab w:val="left" w:pos="569"/>
              </w:tabs>
              <w:spacing w:line="259" w:lineRule="auto"/>
              <w:rPr>
                <w:rFonts w:eastAsia="TimesNewRoman"/>
                <w:sz w:val="22"/>
                <w:szCs w:val="22"/>
                <w:lang w:val="en-GB"/>
              </w:rPr>
            </w:pPr>
            <w:r w:rsidRPr="008A2C89">
              <w:rPr>
                <w:rFonts w:eastAsia="TimesNewRoman"/>
                <w:sz w:val="22"/>
                <w:szCs w:val="22"/>
                <w:lang w:val="en-GB"/>
              </w:rPr>
              <w:t>Broj PFS događaja (%)</w:t>
            </w:r>
          </w:p>
        </w:tc>
        <w:tc>
          <w:tcPr>
            <w:tcW w:w="1549" w:type="pct"/>
            <w:tcBorders>
              <w:top w:val="outset" w:sz="6" w:space="0" w:color="7B7B7B"/>
              <w:left w:val="outset" w:sz="6" w:space="0" w:color="7B7B7B"/>
              <w:bottom w:val="outset" w:sz="6" w:space="0" w:color="7B7B7B"/>
              <w:right w:val="outset" w:sz="6" w:space="0" w:color="7B7B7B"/>
            </w:tcBorders>
            <w:shd w:val="clear" w:color="auto" w:fill="auto"/>
            <w:hideMark/>
          </w:tcPr>
          <w:p w14:paraId="7B18BA75"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143 (62</w:t>
            </w:r>
            <w:proofErr w:type="gramStart"/>
            <w:r w:rsidRPr="008A2C89">
              <w:rPr>
                <w:rFonts w:eastAsia="TimesNewRoman"/>
                <w:sz w:val="22"/>
                <w:szCs w:val="22"/>
                <w:lang w:val="en-GB"/>
              </w:rPr>
              <w:t>,2</w:t>
            </w:r>
            <w:proofErr w:type="gramEnd"/>
            <w:r w:rsidRPr="008A2C89">
              <w:rPr>
                <w:rFonts w:eastAsia="TimesNewRoman"/>
                <w:sz w:val="22"/>
                <w:szCs w:val="22"/>
                <w:lang w:val="en-GB"/>
              </w:rPr>
              <w:t>%)</w:t>
            </w:r>
          </w:p>
        </w:tc>
        <w:tc>
          <w:tcPr>
            <w:tcW w:w="1564" w:type="pct"/>
            <w:tcBorders>
              <w:top w:val="outset" w:sz="6" w:space="0" w:color="7B7B7B"/>
              <w:left w:val="outset" w:sz="6" w:space="0" w:color="7B7B7B"/>
              <w:bottom w:val="outset" w:sz="6" w:space="0" w:color="7B7B7B"/>
              <w:right w:val="outset" w:sz="6" w:space="0" w:color="7B7B7B"/>
            </w:tcBorders>
            <w:shd w:val="clear" w:color="auto" w:fill="auto"/>
            <w:hideMark/>
          </w:tcPr>
          <w:p w14:paraId="7EB60C77"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166 (71</w:t>
            </w:r>
            <w:proofErr w:type="gramStart"/>
            <w:r w:rsidRPr="008A2C89">
              <w:rPr>
                <w:rFonts w:eastAsia="TimesNewRoman"/>
                <w:sz w:val="22"/>
                <w:szCs w:val="22"/>
                <w:lang w:val="en-GB"/>
              </w:rPr>
              <w:t>,6</w:t>
            </w:r>
            <w:proofErr w:type="gramEnd"/>
            <w:r w:rsidRPr="008A2C89">
              <w:rPr>
                <w:rFonts w:eastAsia="TimesNewRoman"/>
                <w:sz w:val="22"/>
                <w:szCs w:val="22"/>
                <w:lang w:val="en-GB"/>
              </w:rPr>
              <w:t>%)</w:t>
            </w:r>
          </w:p>
        </w:tc>
      </w:tr>
      <w:tr w:rsidR="00C661E8" w:rsidRPr="008A2C89" w14:paraId="519D19EB" w14:textId="77777777" w:rsidTr="00C661E8">
        <w:tc>
          <w:tcPr>
            <w:tcW w:w="1887" w:type="pct"/>
            <w:tcBorders>
              <w:top w:val="outset" w:sz="6" w:space="0" w:color="7B7B7B"/>
              <w:left w:val="outset" w:sz="6" w:space="0" w:color="7B7B7B"/>
              <w:bottom w:val="outset" w:sz="6" w:space="0" w:color="7B7B7B"/>
              <w:right w:val="outset" w:sz="6" w:space="0" w:color="7B7B7B"/>
            </w:tcBorders>
            <w:shd w:val="clear" w:color="auto" w:fill="auto"/>
            <w:hideMark/>
          </w:tcPr>
          <w:p w14:paraId="62526EB4" w14:textId="77777777" w:rsidR="00C661E8" w:rsidRPr="008A2C89" w:rsidRDefault="00C661E8" w:rsidP="00C661E8">
            <w:pPr>
              <w:tabs>
                <w:tab w:val="left" w:pos="540"/>
                <w:tab w:val="left" w:pos="569"/>
              </w:tabs>
              <w:spacing w:line="259" w:lineRule="auto"/>
              <w:rPr>
                <w:rFonts w:eastAsia="TimesNewRoman"/>
                <w:sz w:val="22"/>
                <w:szCs w:val="22"/>
                <w:lang w:val="en-GB"/>
              </w:rPr>
            </w:pPr>
            <w:r w:rsidRPr="008A2C89">
              <w:rPr>
                <w:rFonts w:eastAsia="TimesNewRoman"/>
                <w:sz w:val="22"/>
                <w:szCs w:val="22"/>
                <w:lang w:val="en-GB"/>
              </w:rPr>
              <w:t>PFS Odnos rizika (95% CI) i p-vrijednost</w:t>
            </w:r>
          </w:p>
        </w:tc>
        <w:tc>
          <w:tcPr>
            <w:tcW w:w="3113"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0F6DEC60"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HR 0,797 (0,637 - 0,999)</w:t>
            </w:r>
          </w:p>
          <w:p w14:paraId="0711D175"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p = 0,0486</w:t>
            </w:r>
          </w:p>
        </w:tc>
      </w:tr>
      <w:tr w:rsidR="00C661E8" w:rsidRPr="008A2C89" w14:paraId="6DB6A772" w14:textId="77777777" w:rsidTr="00C661E8">
        <w:tc>
          <w:tcPr>
            <w:tcW w:w="1887" w:type="pct"/>
            <w:tcBorders>
              <w:top w:val="outset" w:sz="6" w:space="0" w:color="7B7B7B"/>
              <w:left w:val="outset" w:sz="6" w:space="0" w:color="7B7B7B"/>
              <w:bottom w:val="outset" w:sz="6" w:space="0" w:color="7B7B7B"/>
              <w:right w:val="outset" w:sz="6" w:space="0" w:color="7B7B7B"/>
            </w:tcBorders>
            <w:shd w:val="clear" w:color="auto" w:fill="auto"/>
            <w:hideMark/>
          </w:tcPr>
          <w:p w14:paraId="12F830DA" w14:textId="77777777" w:rsidR="00C661E8" w:rsidRPr="008A2C89" w:rsidRDefault="00C661E8" w:rsidP="00C661E8">
            <w:pPr>
              <w:tabs>
                <w:tab w:val="left" w:pos="540"/>
                <w:tab w:val="left" w:pos="569"/>
              </w:tabs>
              <w:spacing w:line="259" w:lineRule="auto"/>
              <w:rPr>
                <w:rFonts w:eastAsia="TimesNewRoman"/>
                <w:sz w:val="22"/>
                <w:szCs w:val="22"/>
                <w:lang w:val="en-GB"/>
              </w:rPr>
            </w:pPr>
            <w:r w:rsidRPr="008A2C89">
              <w:rPr>
                <w:rFonts w:eastAsia="TimesNewRoman"/>
                <w:b/>
                <w:bCs/>
                <w:sz w:val="22"/>
                <w:szCs w:val="22"/>
                <w:lang w:val="en-GB"/>
              </w:rPr>
              <w:t>PFS medijana [mjeseci (95% CI)]</w:t>
            </w:r>
          </w:p>
        </w:tc>
        <w:tc>
          <w:tcPr>
            <w:tcW w:w="1549" w:type="pct"/>
            <w:tcBorders>
              <w:top w:val="outset" w:sz="6" w:space="0" w:color="7B7B7B"/>
              <w:left w:val="outset" w:sz="6" w:space="0" w:color="7B7B7B"/>
              <w:bottom w:val="outset" w:sz="6" w:space="0" w:color="7B7B7B"/>
              <w:right w:val="outset" w:sz="6" w:space="0" w:color="7B7B7B"/>
            </w:tcBorders>
            <w:shd w:val="clear" w:color="auto" w:fill="auto"/>
            <w:hideMark/>
          </w:tcPr>
          <w:p w14:paraId="5676E4EC"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16,6 (13,8, 21,0)</w:t>
            </w:r>
          </w:p>
        </w:tc>
        <w:tc>
          <w:tcPr>
            <w:tcW w:w="1564" w:type="pct"/>
            <w:tcBorders>
              <w:top w:val="outset" w:sz="6" w:space="0" w:color="7B7B7B"/>
              <w:left w:val="outset" w:sz="6" w:space="0" w:color="7B7B7B"/>
              <w:bottom w:val="outset" w:sz="6" w:space="0" w:color="7B7B7B"/>
              <w:right w:val="outset" w:sz="6" w:space="0" w:color="7B7B7B"/>
            </w:tcBorders>
            <w:shd w:val="clear" w:color="auto" w:fill="auto"/>
            <w:hideMark/>
          </w:tcPr>
          <w:p w14:paraId="2A3927C0"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13,8 (12,0, 16,6)</w:t>
            </w:r>
          </w:p>
        </w:tc>
      </w:tr>
      <w:tr w:rsidR="00C661E8" w:rsidRPr="008A2C89" w14:paraId="4E0E4ECF" w14:textId="77777777" w:rsidTr="00C661E8">
        <w:tc>
          <w:tcPr>
            <w:tcW w:w="1887" w:type="pct"/>
            <w:tcBorders>
              <w:top w:val="outset" w:sz="6" w:space="0" w:color="7B7B7B"/>
              <w:left w:val="outset" w:sz="6" w:space="0" w:color="7B7B7B"/>
              <w:bottom w:val="outset" w:sz="6" w:space="0" w:color="7B7B7B"/>
              <w:right w:val="outset" w:sz="6" w:space="0" w:color="7B7B7B"/>
            </w:tcBorders>
            <w:shd w:val="clear" w:color="auto" w:fill="auto"/>
            <w:hideMark/>
          </w:tcPr>
          <w:p w14:paraId="1342B12F" w14:textId="77777777" w:rsidR="00C661E8" w:rsidRPr="008A2C89" w:rsidRDefault="00C661E8" w:rsidP="00C661E8">
            <w:pPr>
              <w:tabs>
                <w:tab w:val="left" w:pos="540"/>
                <w:tab w:val="left" w:pos="569"/>
              </w:tabs>
              <w:spacing w:line="259" w:lineRule="auto"/>
              <w:rPr>
                <w:rFonts w:eastAsia="TimesNewRoman"/>
                <w:sz w:val="22"/>
                <w:szCs w:val="22"/>
                <w:lang w:val="en-GB"/>
              </w:rPr>
            </w:pPr>
            <w:r w:rsidRPr="008A2C89">
              <w:rPr>
                <w:rFonts w:eastAsia="TimesNewRoman"/>
                <w:b/>
                <w:bCs/>
                <w:sz w:val="22"/>
                <w:szCs w:val="22"/>
                <w:lang w:val="en-GB"/>
              </w:rPr>
              <w:t>Broj OS događaja*</w:t>
            </w:r>
          </w:p>
        </w:tc>
        <w:tc>
          <w:tcPr>
            <w:tcW w:w="1549" w:type="pct"/>
            <w:tcBorders>
              <w:top w:val="outset" w:sz="6" w:space="0" w:color="7B7B7B"/>
              <w:left w:val="outset" w:sz="6" w:space="0" w:color="7B7B7B"/>
              <w:bottom w:val="outset" w:sz="6" w:space="0" w:color="7B7B7B"/>
              <w:right w:val="outset" w:sz="6" w:space="0" w:color="7B7B7B"/>
            </w:tcBorders>
            <w:shd w:val="clear" w:color="auto" w:fill="auto"/>
            <w:hideMark/>
          </w:tcPr>
          <w:p w14:paraId="009419CA"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67 (29</w:t>
            </w:r>
            <w:proofErr w:type="gramStart"/>
            <w:r w:rsidRPr="008A2C89">
              <w:rPr>
                <w:rFonts w:eastAsia="TimesNewRoman"/>
                <w:sz w:val="22"/>
                <w:szCs w:val="22"/>
                <w:lang w:val="en-GB"/>
              </w:rPr>
              <w:t>,1</w:t>
            </w:r>
            <w:proofErr w:type="gramEnd"/>
            <w:r w:rsidRPr="008A2C89">
              <w:rPr>
                <w:rFonts w:eastAsia="TimesNewRoman"/>
                <w:sz w:val="22"/>
                <w:szCs w:val="22"/>
                <w:lang w:val="en-GB"/>
              </w:rPr>
              <w:t>%)</w:t>
            </w:r>
          </w:p>
        </w:tc>
        <w:tc>
          <w:tcPr>
            <w:tcW w:w="1564" w:type="pct"/>
            <w:tcBorders>
              <w:top w:val="outset" w:sz="6" w:space="0" w:color="7B7B7B"/>
              <w:left w:val="outset" w:sz="6" w:space="0" w:color="7B7B7B"/>
              <w:bottom w:val="outset" w:sz="6" w:space="0" w:color="7B7B7B"/>
              <w:right w:val="outset" w:sz="6" w:space="0" w:color="7B7B7B"/>
            </w:tcBorders>
            <w:shd w:val="clear" w:color="auto" w:fill="auto"/>
            <w:hideMark/>
          </w:tcPr>
          <w:p w14:paraId="4CAE1952"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75 (32</w:t>
            </w:r>
            <w:proofErr w:type="gramStart"/>
            <w:r w:rsidRPr="008A2C89">
              <w:rPr>
                <w:rFonts w:eastAsia="TimesNewRoman"/>
                <w:sz w:val="22"/>
                <w:szCs w:val="22"/>
                <w:lang w:val="en-GB"/>
              </w:rPr>
              <w:t>,3</w:t>
            </w:r>
            <w:proofErr w:type="gramEnd"/>
            <w:r w:rsidRPr="008A2C89">
              <w:rPr>
                <w:rFonts w:eastAsia="TimesNewRoman"/>
                <w:sz w:val="22"/>
                <w:szCs w:val="22"/>
                <w:lang w:val="en-GB"/>
              </w:rPr>
              <w:t>%)</w:t>
            </w:r>
          </w:p>
        </w:tc>
      </w:tr>
      <w:tr w:rsidR="00C661E8" w:rsidRPr="008A2C89" w14:paraId="31EE4563" w14:textId="77777777" w:rsidTr="00C661E8">
        <w:tc>
          <w:tcPr>
            <w:tcW w:w="1887" w:type="pct"/>
            <w:tcBorders>
              <w:top w:val="outset" w:sz="6" w:space="0" w:color="7B7B7B"/>
              <w:left w:val="outset" w:sz="6" w:space="0" w:color="7B7B7B"/>
              <w:bottom w:val="outset" w:sz="6" w:space="0" w:color="7B7B7B"/>
              <w:right w:val="outset" w:sz="6" w:space="0" w:color="7B7B7B"/>
            </w:tcBorders>
            <w:shd w:val="clear" w:color="auto" w:fill="auto"/>
            <w:hideMark/>
          </w:tcPr>
          <w:p w14:paraId="15F22F59" w14:textId="77777777" w:rsidR="00C661E8" w:rsidRPr="008A2C89" w:rsidRDefault="00C661E8" w:rsidP="00C661E8">
            <w:pPr>
              <w:tabs>
                <w:tab w:val="left" w:pos="540"/>
                <w:tab w:val="left" w:pos="569"/>
              </w:tabs>
              <w:spacing w:line="259" w:lineRule="auto"/>
              <w:rPr>
                <w:rFonts w:eastAsia="TimesNewRoman"/>
                <w:sz w:val="22"/>
                <w:szCs w:val="22"/>
                <w:lang w:val="en-GB"/>
              </w:rPr>
            </w:pPr>
            <w:r w:rsidRPr="008A2C89">
              <w:rPr>
                <w:rFonts w:eastAsia="TimesNewRoman"/>
                <w:b/>
                <w:bCs/>
                <w:sz w:val="22"/>
                <w:szCs w:val="22"/>
                <w:lang w:val="en-GB"/>
              </w:rPr>
              <w:t>OS Odnos rizika (95% CI) i p-vrijednost</w:t>
            </w:r>
          </w:p>
        </w:tc>
        <w:tc>
          <w:tcPr>
            <w:tcW w:w="3113"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070F1C23"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HR 0,875 (0,629 – 1,217)</w:t>
            </w:r>
          </w:p>
          <w:p w14:paraId="69B72408"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p = 0,4277</w:t>
            </w:r>
          </w:p>
        </w:tc>
      </w:tr>
      <w:tr w:rsidR="00C661E8" w:rsidRPr="008A2C89" w14:paraId="3B854712" w14:textId="77777777" w:rsidTr="00C661E8">
        <w:tc>
          <w:tcPr>
            <w:tcW w:w="1887" w:type="pct"/>
            <w:tcBorders>
              <w:top w:val="outset" w:sz="6" w:space="0" w:color="7B7B7B"/>
              <w:left w:val="outset" w:sz="6" w:space="0" w:color="7B7B7B"/>
              <w:bottom w:val="outset" w:sz="6" w:space="0" w:color="7B7B7B"/>
              <w:right w:val="outset" w:sz="6" w:space="0" w:color="7B7B7B"/>
            </w:tcBorders>
            <w:shd w:val="clear" w:color="auto" w:fill="auto"/>
            <w:hideMark/>
          </w:tcPr>
          <w:p w14:paraId="1CE8B1D2" w14:textId="77777777" w:rsidR="00C661E8" w:rsidRPr="008A2C89" w:rsidRDefault="00C661E8" w:rsidP="00C661E8">
            <w:pPr>
              <w:tabs>
                <w:tab w:val="left" w:pos="540"/>
                <w:tab w:val="left" w:pos="569"/>
              </w:tabs>
              <w:spacing w:line="259" w:lineRule="auto"/>
              <w:rPr>
                <w:rFonts w:eastAsia="TimesNewRoman"/>
                <w:sz w:val="22"/>
                <w:szCs w:val="22"/>
                <w:lang w:val="en-GB"/>
              </w:rPr>
            </w:pPr>
            <w:r w:rsidRPr="008A2C89">
              <w:rPr>
                <w:rFonts w:eastAsia="TimesNewRoman"/>
                <w:b/>
                <w:bCs/>
                <w:sz w:val="22"/>
                <w:szCs w:val="22"/>
                <w:lang w:val="en-GB"/>
              </w:rPr>
              <w:t>ORR**</w:t>
            </w:r>
          </w:p>
        </w:tc>
        <w:tc>
          <w:tcPr>
            <w:tcW w:w="1549" w:type="pct"/>
            <w:tcBorders>
              <w:top w:val="outset" w:sz="6" w:space="0" w:color="7B7B7B"/>
              <w:left w:val="outset" w:sz="6" w:space="0" w:color="7B7B7B"/>
              <w:bottom w:val="outset" w:sz="6" w:space="0" w:color="7B7B7B"/>
              <w:right w:val="outset" w:sz="6" w:space="0" w:color="7B7B7B"/>
            </w:tcBorders>
            <w:shd w:val="clear" w:color="auto" w:fill="auto"/>
            <w:hideMark/>
          </w:tcPr>
          <w:p w14:paraId="25FA8A60"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89 (46</w:t>
            </w:r>
            <w:proofErr w:type="gramStart"/>
            <w:r w:rsidRPr="008A2C89">
              <w:rPr>
                <w:rFonts w:eastAsia="TimesNewRoman"/>
                <w:sz w:val="22"/>
                <w:szCs w:val="22"/>
                <w:lang w:val="en-GB"/>
              </w:rPr>
              <w:t>,1</w:t>
            </w:r>
            <w:proofErr w:type="gramEnd"/>
            <w:r w:rsidRPr="008A2C89">
              <w:rPr>
                <w:rFonts w:eastAsia="TimesNewRoman"/>
                <w:sz w:val="22"/>
                <w:szCs w:val="22"/>
                <w:lang w:val="en-GB"/>
              </w:rPr>
              <w:t>%)</w:t>
            </w:r>
          </w:p>
        </w:tc>
        <w:tc>
          <w:tcPr>
            <w:tcW w:w="1564" w:type="pct"/>
            <w:tcBorders>
              <w:top w:val="outset" w:sz="6" w:space="0" w:color="7B7B7B"/>
              <w:left w:val="outset" w:sz="6" w:space="0" w:color="7B7B7B"/>
              <w:bottom w:val="outset" w:sz="6" w:space="0" w:color="7B7B7B"/>
              <w:right w:val="outset" w:sz="6" w:space="0" w:color="7B7B7B"/>
            </w:tcBorders>
            <w:shd w:val="clear" w:color="auto" w:fill="auto"/>
            <w:hideMark/>
          </w:tcPr>
          <w:p w14:paraId="179B4A7C"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88 (44</w:t>
            </w:r>
            <w:proofErr w:type="gramStart"/>
            <w:r w:rsidRPr="008A2C89">
              <w:rPr>
                <w:rFonts w:eastAsia="TimesNewRoman"/>
                <w:sz w:val="22"/>
                <w:szCs w:val="22"/>
                <w:lang w:val="en-GB"/>
              </w:rPr>
              <w:t>,9</w:t>
            </w:r>
            <w:proofErr w:type="gramEnd"/>
            <w:r w:rsidRPr="008A2C89">
              <w:rPr>
                <w:rFonts w:eastAsia="TimesNewRoman"/>
                <w:sz w:val="22"/>
                <w:szCs w:val="22"/>
                <w:lang w:val="en-GB"/>
              </w:rPr>
              <w:t>%)</w:t>
            </w:r>
          </w:p>
        </w:tc>
      </w:tr>
      <w:tr w:rsidR="00C661E8" w:rsidRPr="008A2C89" w14:paraId="4D488EB0" w14:textId="77777777" w:rsidTr="00C661E8">
        <w:tc>
          <w:tcPr>
            <w:tcW w:w="1887"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3045715" w14:textId="77777777" w:rsidR="00C661E8" w:rsidRPr="008A2C89" w:rsidRDefault="00C661E8" w:rsidP="00C661E8">
            <w:pPr>
              <w:tabs>
                <w:tab w:val="left" w:pos="540"/>
                <w:tab w:val="left" w:pos="569"/>
              </w:tabs>
              <w:spacing w:line="259" w:lineRule="auto"/>
              <w:rPr>
                <w:rFonts w:eastAsia="TimesNewRoman"/>
                <w:sz w:val="22"/>
                <w:szCs w:val="22"/>
                <w:lang w:val="en-GB"/>
              </w:rPr>
            </w:pPr>
            <w:r w:rsidRPr="008A2C89">
              <w:rPr>
                <w:rFonts w:eastAsia="TimesNewRoman"/>
                <w:b/>
                <w:bCs/>
                <w:sz w:val="22"/>
                <w:szCs w:val="22"/>
                <w:lang w:val="en-GB"/>
              </w:rPr>
              <w:t>ORR Odnos izgleda (95% CI) i p-vrijednost</w:t>
            </w:r>
          </w:p>
        </w:tc>
        <w:tc>
          <w:tcPr>
            <w:tcW w:w="3113"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588D766D"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OR 1,074 (0,716 – 1,614)</w:t>
            </w:r>
          </w:p>
          <w:p w14:paraId="46051D79"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p = 0,7290</w:t>
            </w:r>
          </w:p>
        </w:tc>
      </w:tr>
      <w:tr w:rsidR="00C661E8" w:rsidRPr="008A2C89" w14:paraId="7068B9E5" w14:textId="77777777" w:rsidTr="00C661E8">
        <w:tc>
          <w:tcPr>
            <w:tcW w:w="1887" w:type="pct"/>
            <w:tcBorders>
              <w:top w:val="outset" w:sz="6" w:space="0" w:color="7B7B7B"/>
              <w:left w:val="outset" w:sz="6" w:space="0" w:color="7B7B7B"/>
              <w:bottom w:val="outset" w:sz="6" w:space="0" w:color="7B7B7B"/>
              <w:right w:val="outset" w:sz="6" w:space="0" w:color="7B7B7B"/>
            </w:tcBorders>
            <w:shd w:val="clear" w:color="auto" w:fill="auto"/>
            <w:hideMark/>
          </w:tcPr>
          <w:p w14:paraId="7396C6B5" w14:textId="77777777" w:rsidR="00C661E8" w:rsidRPr="008A2C89" w:rsidRDefault="00C661E8" w:rsidP="00C661E8">
            <w:pPr>
              <w:tabs>
                <w:tab w:val="left" w:pos="540"/>
                <w:tab w:val="left" w:pos="569"/>
              </w:tabs>
              <w:spacing w:line="259" w:lineRule="auto"/>
              <w:rPr>
                <w:rFonts w:eastAsia="TimesNewRoman"/>
                <w:sz w:val="22"/>
                <w:szCs w:val="22"/>
                <w:lang w:val="en-GB"/>
              </w:rPr>
            </w:pPr>
            <w:r w:rsidRPr="008A2C89">
              <w:rPr>
                <w:rFonts w:eastAsia="TimesNewRoman"/>
                <w:b/>
                <w:bCs/>
                <w:sz w:val="22"/>
                <w:szCs w:val="22"/>
                <w:lang w:val="en-GB"/>
              </w:rPr>
              <w:t>Medijana DoR (mjeseci)</w:t>
            </w:r>
          </w:p>
        </w:tc>
        <w:tc>
          <w:tcPr>
            <w:tcW w:w="1549" w:type="pct"/>
            <w:tcBorders>
              <w:top w:val="outset" w:sz="6" w:space="0" w:color="7B7B7B"/>
              <w:left w:val="outset" w:sz="6" w:space="0" w:color="7B7B7B"/>
              <w:bottom w:val="outset" w:sz="6" w:space="0" w:color="7B7B7B"/>
              <w:right w:val="outset" w:sz="6" w:space="0" w:color="7B7B7B"/>
            </w:tcBorders>
            <w:shd w:val="clear" w:color="auto" w:fill="auto"/>
            <w:hideMark/>
          </w:tcPr>
          <w:p w14:paraId="7A52069C"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20,0</w:t>
            </w:r>
          </w:p>
        </w:tc>
        <w:tc>
          <w:tcPr>
            <w:tcW w:w="1564" w:type="pct"/>
            <w:tcBorders>
              <w:top w:val="outset" w:sz="6" w:space="0" w:color="7B7B7B"/>
              <w:left w:val="outset" w:sz="6" w:space="0" w:color="7B7B7B"/>
              <w:bottom w:val="outset" w:sz="6" w:space="0" w:color="7B7B7B"/>
              <w:right w:val="outset" w:sz="6" w:space="0" w:color="7B7B7B"/>
            </w:tcBorders>
            <w:shd w:val="clear" w:color="auto" w:fill="auto"/>
            <w:hideMark/>
          </w:tcPr>
          <w:p w14:paraId="37D48E6D"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13,2</w:t>
            </w:r>
          </w:p>
        </w:tc>
      </w:tr>
      <w:tr w:rsidR="00C661E8" w:rsidRPr="008A2C89" w14:paraId="768EE02D" w14:textId="77777777" w:rsidTr="00C661E8">
        <w:tc>
          <w:tcPr>
            <w:tcW w:w="1887" w:type="pct"/>
            <w:tcBorders>
              <w:top w:val="outset" w:sz="6" w:space="0" w:color="7B7B7B"/>
              <w:left w:val="outset" w:sz="6" w:space="0" w:color="7B7B7B"/>
              <w:bottom w:val="outset" w:sz="6" w:space="0" w:color="7B7B7B"/>
              <w:right w:val="outset" w:sz="6" w:space="0" w:color="7B7B7B"/>
            </w:tcBorders>
            <w:shd w:val="clear" w:color="auto" w:fill="auto"/>
            <w:hideMark/>
          </w:tcPr>
          <w:p w14:paraId="7CB07F46" w14:textId="77777777" w:rsidR="00C661E8" w:rsidRPr="008A2C89" w:rsidRDefault="00C661E8" w:rsidP="00C661E8">
            <w:pPr>
              <w:tabs>
                <w:tab w:val="left" w:pos="540"/>
                <w:tab w:val="left" w:pos="569"/>
              </w:tabs>
              <w:spacing w:line="259" w:lineRule="auto"/>
              <w:rPr>
                <w:rFonts w:eastAsia="TimesNewRoman"/>
                <w:sz w:val="22"/>
                <w:szCs w:val="22"/>
                <w:lang w:val="en-GB"/>
              </w:rPr>
            </w:pPr>
            <w:r w:rsidRPr="008A2C89">
              <w:rPr>
                <w:rFonts w:eastAsia="TimesNewRoman"/>
                <w:b/>
                <w:bCs/>
                <w:sz w:val="22"/>
                <w:szCs w:val="22"/>
                <w:lang w:val="en-GB"/>
              </w:rPr>
              <w:t>CBR</w:t>
            </w:r>
          </w:p>
        </w:tc>
        <w:tc>
          <w:tcPr>
            <w:tcW w:w="1549" w:type="pct"/>
            <w:tcBorders>
              <w:top w:val="outset" w:sz="6" w:space="0" w:color="7B7B7B"/>
              <w:left w:val="outset" w:sz="6" w:space="0" w:color="7B7B7B"/>
              <w:bottom w:val="outset" w:sz="6" w:space="0" w:color="7B7B7B"/>
              <w:right w:val="outset" w:sz="6" w:space="0" w:color="7B7B7B"/>
            </w:tcBorders>
            <w:shd w:val="clear" w:color="auto" w:fill="auto"/>
            <w:hideMark/>
          </w:tcPr>
          <w:p w14:paraId="1A0F8EA7"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180 (78</w:t>
            </w:r>
            <w:proofErr w:type="gramStart"/>
            <w:r w:rsidRPr="008A2C89">
              <w:rPr>
                <w:rFonts w:eastAsia="TimesNewRoman"/>
                <w:sz w:val="22"/>
                <w:szCs w:val="22"/>
                <w:lang w:val="en-GB"/>
              </w:rPr>
              <w:t>,3</w:t>
            </w:r>
            <w:proofErr w:type="gramEnd"/>
            <w:r w:rsidRPr="008A2C89">
              <w:rPr>
                <w:rFonts w:eastAsia="TimesNewRoman"/>
                <w:sz w:val="22"/>
                <w:szCs w:val="22"/>
                <w:lang w:val="en-GB"/>
              </w:rPr>
              <w:t>%)</w:t>
            </w:r>
          </w:p>
        </w:tc>
        <w:tc>
          <w:tcPr>
            <w:tcW w:w="1564" w:type="pct"/>
            <w:tcBorders>
              <w:top w:val="outset" w:sz="6" w:space="0" w:color="7B7B7B"/>
              <w:left w:val="outset" w:sz="6" w:space="0" w:color="7B7B7B"/>
              <w:bottom w:val="outset" w:sz="6" w:space="0" w:color="7B7B7B"/>
              <w:right w:val="outset" w:sz="6" w:space="0" w:color="7B7B7B"/>
            </w:tcBorders>
            <w:shd w:val="clear" w:color="auto" w:fill="auto"/>
            <w:hideMark/>
          </w:tcPr>
          <w:p w14:paraId="61E057A3"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172 (74</w:t>
            </w:r>
            <w:proofErr w:type="gramStart"/>
            <w:r w:rsidRPr="008A2C89">
              <w:rPr>
                <w:rFonts w:eastAsia="TimesNewRoman"/>
                <w:sz w:val="22"/>
                <w:szCs w:val="22"/>
                <w:lang w:val="en-GB"/>
              </w:rPr>
              <w:t>,1</w:t>
            </w:r>
            <w:proofErr w:type="gramEnd"/>
            <w:r w:rsidRPr="008A2C89">
              <w:rPr>
                <w:rFonts w:eastAsia="TimesNewRoman"/>
                <w:sz w:val="22"/>
                <w:szCs w:val="22"/>
                <w:lang w:val="en-GB"/>
              </w:rPr>
              <w:t>%)</w:t>
            </w:r>
          </w:p>
        </w:tc>
      </w:tr>
      <w:tr w:rsidR="00C661E8" w:rsidRPr="008A2C89" w14:paraId="493FDFCB" w14:textId="77777777" w:rsidTr="00C661E8">
        <w:tc>
          <w:tcPr>
            <w:tcW w:w="1887" w:type="pct"/>
            <w:tcBorders>
              <w:top w:val="outset" w:sz="6" w:space="0" w:color="7B7B7B"/>
              <w:left w:val="outset" w:sz="6" w:space="0" w:color="7B7B7B"/>
              <w:bottom w:val="outset" w:sz="6" w:space="0" w:color="7B7B7B"/>
              <w:right w:val="outset" w:sz="6" w:space="0" w:color="7B7B7B"/>
            </w:tcBorders>
            <w:shd w:val="clear" w:color="auto" w:fill="auto"/>
            <w:hideMark/>
          </w:tcPr>
          <w:p w14:paraId="623B27FD" w14:textId="77777777" w:rsidR="00C661E8" w:rsidRPr="008A2C89" w:rsidRDefault="00C661E8" w:rsidP="00C661E8">
            <w:pPr>
              <w:tabs>
                <w:tab w:val="left" w:pos="540"/>
                <w:tab w:val="left" w:pos="569"/>
              </w:tabs>
              <w:spacing w:line="259" w:lineRule="auto"/>
              <w:rPr>
                <w:rFonts w:eastAsia="TimesNewRoman"/>
                <w:sz w:val="22"/>
                <w:szCs w:val="22"/>
                <w:lang w:val="en-GB"/>
              </w:rPr>
            </w:pPr>
            <w:r w:rsidRPr="008A2C89">
              <w:rPr>
                <w:rFonts w:eastAsia="TimesNewRoman"/>
                <w:b/>
                <w:bCs/>
                <w:sz w:val="22"/>
                <w:szCs w:val="22"/>
                <w:lang w:val="en-GB"/>
              </w:rPr>
              <w:t>CBR Odnos izgleda (95% CI) i p-vrijednost</w:t>
            </w:r>
          </w:p>
        </w:tc>
        <w:tc>
          <w:tcPr>
            <w:tcW w:w="3113"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127A08AD"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OR 1,253 (0,815 – 1,932)</w:t>
            </w:r>
          </w:p>
          <w:p w14:paraId="6EABA0AC" w14:textId="77777777" w:rsidR="00C661E8" w:rsidRPr="008A2C89" w:rsidRDefault="00C661E8" w:rsidP="00C661E8">
            <w:pPr>
              <w:tabs>
                <w:tab w:val="left" w:pos="540"/>
                <w:tab w:val="left" w:pos="569"/>
              </w:tabs>
              <w:spacing w:line="259" w:lineRule="auto"/>
              <w:jc w:val="center"/>
              <w:rPr>
                <w:rFonts w:eastAsia="TimesNewRoman"/>
                <w:sz w:val="22"/>
                <w:szCs w:val="22"/>
                <w:lang w:val="en-GB"/>
              </w:rPr>
            </w:pPr>
            <w:r w:rsidRPr="008A2C89">
              <w:rPr>
                <w:rFonts w:eastAsia="TimesNewRoman"/>
                <w:sz w:val="22"/>
                <w:szCs w:val="22"/>
                <w:lang w:val="en-GB"/>
              </w:rPr>
              <w:t>p = 0,3045</w:t>
            </w:r>
          </w:p>
        </w:tc>
      </w:tr>
    </w:tbl>
    <w:p w14:paraId="32794B95" w14:textId="77777777" w:rsidR="00C661E8" w:rsidRPr="00AE5D50" w:rsidRDefault="00C661E8" w:rsidP="00C661E8">
      <w:pPr>
        <w:tabs>
          <w:tab w:val="left" w:pos="540"/>
          <w:tab w:val="left" w:pos="569"/>
        </w:tabs>
        <w:spacing w:line="259" w:lineRule="auto"/>
        <w:jc w:val="both"/>
        <w:rPr>
          <w:rFonts w:eastAsia="TimesNewRoman"/>
          <w:sz w:val="20"/>
          <w:szCs w:val="22"/>
          <w:lang w:val="en-GB"/>
        </w:rPr>
      </w:pPr>
      <w:r w:rsidRPr="00AE5D50">
        <w:rPr>
          <w:rFonts w:eastAsia="TimesNewRoman"/>
          <w:sz w:val="20"/>
          <w:szCs w:val="22"/>
          <w:lang w:val="en-GB"/>
        </w:rPr>
        <w:t>*(31% zrelost)-nije završna OS analiza</w:t>
      </w:r>
    </w:p>
    <w:p w14:paraId="72556EFD" w14:textId="77777777" w:rsidR="00C661E8" w:rsidRPr="00AE5D50" w:rsidRDefault="00C661E8" w:rsidP="00C661E8">
      <w:pPr>
        <w:tabs>
          <w:tab w:val="left" w:pos="540"/>
          <w:tab w:val="left" w:pos="569"/>
        </w:tabs>
        <w:spacing w:line="259" w:lineRule="auto"/>
        <w:jc w:val="both"/>
        <w:rPr>
          <w:rFonts w:eastAsia="TimesNewRoman"/>
          <w:sz w:val="20"/>
          <w:szCs w:val="22"/>
          <w:lang w:val="en-GB"/>
        </w:rPr>
      </w:pPr>
      <w:r w:rsidRPr="00AE5D50">
        <w:rPr>
          <w:rFonts w:eastAsia="TimesNewRoman"/>
          <w:sz w:val="20"/>
          <w:szCs w:val="22"/>
          <w:lang w:val="en-GB"/>
        </w:rPr>
        <w:t xml:space="preserve">**za pacijentkinje </w:t>
      </w:r>
      <w:proofErr w:type="gramStart"/>
      <w:r w:rsidRPr="00AE5D50">
        <w:rPr>
          <w:rFonts w:eastAsia="TimesNewRoman"/>
          <w:sz w:val="20"/>
          <w:szCs w:val="22"/>
          <w:lang w:val="en-GB"/>
        </w:rPr>
        <w:t>sa</w:t>
      </w:r>
      <w:proofErr w:type="gramEnd"/>
      <w:r w:rsidRPr="00AE5D50">
        <w:rPr>
          <w:rFonts w:eastAsia="TimesNewRoman"/>
          <w:sz w:val="20"/>
          <w:szCs w:val="22"/>
          <w:lang w:val="en-GB"/>
        </w:rPr>
        <w:t xml:space="preserve"> mjerljivom bolešću </w:t>
      </w:r>
    </w:p>
    <w:p w14:paraId="528FD446" w14:textId="77777777" w:rsidR="00C661E8" w:rsidRPr="008A2C89" w:rsidRDefault="00C661E8" w:rsidP="00C661E8">
      <w:pPr>
        <w:tabs>
          <w:tab w:val="left" w:pos="540"/>
          <w:tab w:val="left" w:pos="569"/>
        </w:tabs>
        <w:spacing w:line="259" w:lineRule="auto"/>
        <w:jc w:val="both"/>
        <w:rPr>
          <w:rFonts w:eastAsia="TimesNewRoman"/>
          <w:sz w:val="22"/>
          <w:szCs w:val="22"/>
          <w:lang w:val="en-GB"/>
        </w:rPr>
      </w:pPr>
    </w:p>
    <w:p w14:paraId="72CF5EB6" w14:textId="60CE1B77" w:rsidR="00C661E8" w:rsidRPr="008A2C89" w:rsidRDefault="00C661E8" w:rsidP="00C661E8">
      <w:pPr>
        <w:tabs>
          <w:tab w:val="left" w:pos="540"/>
          <w:tab w:val="left" w:pos="569"/>
        </w:tabs>
        <w:spacing w:line="259" w:lineRule="auto"/>
        <w:jc w:val="both"/>
        <w:rPr>
          <w:rFonts w:eastAsia="TimesNewRoman"/>
          <w:b/>
          <w:bCs/>
          <w:sz w:val="22"/>
          <w:szCs w:val="22"/>
          <w:lang w:val="en-GB"/>
        </w:rPr>
      </w:pPr>
      <w:r w:rsidRPr="008A2C89">
        <w:rPr>
          <w:rFonts w:eastAsia="TimesNewRoman"/>
          <w:b/>
          <w:bCs/>
          <w:sz w:val="22"/>
          <w:szCs w:val="22"/>
          <w:lang w:val="en-GB"/>
        </w:rPr>
        <w:t>Slika 1 Kaplan-Meier kriva preživljavanja bez progresije bolesti (</w:t>
      </w:r>
      <w:r w:rsidR="00A260EC">
        <w:rPr>
          <w:rFonts w:eastAsia="TimesNewRoman"/>
          <w:b/>
          <w:bCs/>
          <w:sz w:val="22"/>
          <w:szCs w:val="22"/>
          <w:lang w:val="en-GB"/>
        </w:rPr>
        <w:t>procjena ispitivača</w:t>
      </w:r>
      <w:r w:rsidRPr="008A2C89">
        <w:rPr>
          <w:rFonts w:eastAsia="TimesNewRoman"/>
          <w:b/>
          <w:bCs/>
          <w:sz w:val="22"/>
          <w:szCs w:val="22"/>
          <w:lang w:val="en-GB"/>
        </w:rPr>
        <w:t>, populacija predviđena za liječenje) ─ FALCON studija</w:t>
      </w:r>
    </w:p>
    <w:p w14:paraId="187171CB" w14:textId="77777777" w:rsidR="002E37A5" w:rsidRPr="008A2C89" w:rsidRDefault="00C661E8" w:rsidP="00C661E8">
      <w:pPr>
        <w:tabs>
          <w:tab w:val="left" w:pos="540"/>
          <w:tab w:val="left" w:pos="569"/>
        </w:tabs>
        <w:jc w:val="center"/>
        <w:rPr>
          <w:b/>
          <w:bCs/>
          <w:sz w:val="22"/>
          <w:szCs w:val="22"/>
        </w:rPr>
      </w:pPr>
      <w:r w:rsidRPr="008A2C89">
        <w:rPr>
          <w:noProof/>
        </w:rPr>
        <w:drawing>
          <wp:inline distT="0" distB="0" distL="0" distR="0" wp14:anchorId="22F09BBE" wp14:editId="0393919B">
            <wp:extent cx="5677232" cy="30638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9686" cy="3065199"/>
                    </a:xfrm>
                    <a:prstGeom prst="rect">
                      <a:avLst/>
                    </a:prstGeom>
                    <a:noFill/>
                    <a:ln>
                      <a:noFill/>
                    </a:ln>
                  </pic:spPr>
                </pic:pic>
              </a:graphicData>
            </a:graphic>
          </wp:inline>
        </w:drawing>
      </w:r>
    </w:p>
    <w:p w14:paraId="53272E05" w14:textId="77777777" w:rsidR="00C661E8" w:rsidRPr="008A2C89" w:rsidRDefault="00C661E8" w:rsidP="00C661E8">
      <w:pPr>
        <w:tabs>
          <w:tab w:val="left" w:pos="540"/>
          <w:tab w:val="left" w:pos="569"/>
        </w:tabs>
        <w:jc w:val="center"/>
        <w:rPr>
          <w:b/>
          <w:bCs/>
          <w:sz w:val="22"/>
          <w:szCs w:val="22"/>
        </w:rPr>
      </w:pPr>
    </w:p>
    <w:p w14:paraId="211D5547" w14:textId="77777777" w:rsidR="00C661E8" w:rsidRPr="008A2C89" w:rsidRDefault="00C661E8" w:rsidP="00C661E8">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lastRenderedPageBreak/>
        <w:t>Završene su dvije kliničke studije faze III sa ukupno 851 postmenopauzalnom ženom sa uznapredovalim rakom dojke kod kojih se bolest ponovo javila tokom ili nakon adjuvantne endokrine terapije, ili je došlo do progresije nakon endokrine terapije uznapredovale bolesti. Sedamdeset sedam (77%) populacije u ispitivanju imalo je rak dojke sa pozitivnim estrogenskim receptorima. U tim ispitivanjima su poređene bezbjednost i efikasnost mjesečne primjene fulvestranta u dozi od 250 mg sa dnevnom primjenom 1 mg anastrozola (inhibitora aromataze). U cjelini je fulvestrant u mjesečnoj dozi od 250 mg bio barem jednako efikasan kao anastrozol u smislu preživljavanja bez progresije bolesti, objektivnog odgovora i vremena do smrti. Nije bilo statistički značajne razlike između dvije terapijske grupe u pogledu bilo kojih od mjera ishoda. Primarna mjera ishoda bila je preživljavanje bez progresije bolesti. Kombinovana analiza oba ispitivanja pokazala je da je bolest napredovala kod 83% pacijentkinja koje su primale fulvestrant, u odnosu na 85% pacijentkinja koje su primale anastrozol. Kombinovana analiza oba ispitivanja pokazala je da je odnos rizika fulvestranta 250 mg u odnosu na anastrozol za preživljavanje bez progresije bolesti bio 0,95 (95% CI 0,82 do 1,10). Stopa objektivnog odgovora za fulvestrant 250 mg iznosila je 19,2%, u poređenju sa 16,5% za anastrozol. Medijana vremena do smrti iznosila je 27,4 mjeseca za pacijentkinje liječene fulvestrantom, a 27,6 mjeseci za pacijentkinje liječene anastrozolom. Odnos rizika fulvestranta 250 mg u odnosu na anastrozol za vrijeme do smrti bio je 1,01 (95% CI 0,86 do 1,19).</w:t>
      </w:r>
    </w:p>
    <w:p w14:paraId="7D5D4800" w14:textId="77777777" w:rsidR="00C661E8" w:rsidRPr="008A2C89" w:rsidRDefault="00C661E8" w:rsidP="00C661E8">
      <w:pPr>
        <w:autoSpaceDE w:val="0"/>
        <w:autoSpaceDN w:val="0"/>
        <w:adjustRightInd w:val="0"/>
        <w:spacing w:line="259" w:lineRule="auto"/>
        <w:jc w:val="both"/>
        <w:rPr>
          <w:rFonts w:eastAsia="TimesNewRoman"/>
          <w:sz w:val="22"/>
          <w:szCs w:val="22"/>
          <w:lang w:val="hr-HR"/>
        </w:rPr>
      </w:pPr>
    </w:p>
    <w:p w14:paraId="7EA02594" w14:textId="77777777" w:rsidR="00C661E8" w:rsidRPr="00585C79" w:rsidRDefault="00C661E8" w:rsidP="00C661E8">
      <w:pPr>
        <w:autoSpaceDE w:val="0"/>
        <w:autoSpaceDN w:val="0"/>
        <w:adjustRightInd w:val="0"/>
        <w:spacing w:line="259" w:lineRule="auto"/>
        <w:jc w:val="both"/>
        <w:rPr>
          <w:rFonts w:eastAsia="TimesNewRoman"/>
          <w:i/>
          <w:iCs/>
          <w:sz w:val="22"/>
          <w:szCs w:val="22"/>
          <w:lang w:val="hr-HR"/>
        </w:rPr>
      </w:pPr>
      <w:r w:rsidRPr="00585C79">
        <w:rPr>
          <w:rFonts w:eastAsia="TimesNewRoman"/>
          <w:i/>
          <w:iCs/>
          <w:sz w:val="22"/>
          <w:szCs w:val="22"/>
          <w:lang w:val="hr-HR"/>
        </w:rPr>
        <w:t xml:space="preserve">Kombinovana terapija sa palbociklibom </w:t>
      </w:r>
    </w:p>
    <w:p w14:paraId="60CE8916" w14:textId="77777777" w:rsidR="00C661E8" w:rsidRPr="00585C79" w:rsidRDefault="00C661E8" w:rsidP="00C661E8">
      <w:pPr>
        <w:autoSpaceDE w:val="0"/>
        <w:autoSpaceDN w:val="0"/>
        <w:adjustRightInd w:val="0"/>
        <w:spacing w:line="259" w:lineRule="auto"/>
        <w:jc w:val="both"/>
        <w:rPr>
          <w:rFonts w:eastAsia="TimesNewRoman"/>
          <w:sz w:val="22"/>
          <w:szCs w:val="22"/>
          <w:lang w:val="hr-HR"/>
        </w:rPr>
      </w:pPr>
      <w:r w:rsidRPr="00585C79">
        <w:rPr>
          <w:rFonts w:eastAsia="TimesNewRoman"/>
          <w:sz w:val="22"/>
          <w:szCs w:val="22"/>
          <w:lang w:val="hr-HR"/>
        </w:rPr>
        <w:t>Međunarodna, randomizovana, duplo slijepa, sa paralelnim grupama, multicentrična studija faze III sa  fulvestrantom 500 mg plus palbociklib 125 mg naspram fulvestranta 500 mg plus placebo je sprovedena kod žena sa HR-pozitivnim, HER2-negativnim lokalno uznapredovalim karcinomom dojke koji nije pogodan za resekciju ili radio terapiju, sa namjerom izlječenja ili metastatskim karcinomom dojke, bez obzira na njihov menopauzalni status, čija bolest je napredovala nakon prethodne endokrine terapije u (neo)adjuvantnoj ili metastatskoj fazi.</w:t>
      </w:r>
    </w:p>
    <w:p w14:paraId="6E6E079A" w14:textId="77777777" w:rsidR="00354A3F" w:rsidRPr="00585C79" w:rsidRDefault="00354A3F" w:rsidP="00C661E8">
      <w:pPr>
        <w:autoSpaceDE w:val="0"/>
        <w:autoSpaceDN w:val="0"/>
        <w:adjustRightInd w:val="0"/>
        <w:spacing w:line="259" w:lineRule="auto"/>
        <w:jc w:val="both"/>
        <w:rPr>
          <w:rFonts w:eastAsia="TimesNewRoman"/>
          <w:sz w:val="22"/>
          <w:szCs w:val="22"/>
          <w:lang w:val="hr-HR"/>
        </w:rPr>
      </w:pPr>
    </w:p>
    <w:p w14:paraId="0E268D65" w14:textId="77777777" w:rsidR="00354A3F" w:rsidRPr="00585C79" w:rsidRDefault="00354A3F" w:rsidP="00354A3F">
      <w:pPr>
        <w:autoSpaceDE w:val="0"/>
        <w:autoSpaceDN w:val="0"/>
        <w:adjustRightInd w:val="0"/>
        <w:spacing w:line="259" w:lineRule="auto"/>
        <w:jc w:val="both"/>
        <w:rPr>
          <w:rFonts w:eastAsia="TimesNewRoman"/>
          <w:sz w:val="22"/>
          <w:szCs w:val="22"/>
          <w:lang w:val="hr-HR"/>
        </w:rPr>
      </w:pPr>
      <w:r w:rsidRPr="00585C79">
        <w:rPr>
          <w:rFonts w:eastAsia="TimesNewRoman"/>
          <w:sz w:val="22"/>
          <w:szCs w:val="22"/>
          <w:lang w:val="hr-HR"/>
        </w:rPr>
        <w:t>Ukupno 521 pre/peri- i postmenopauzalna žena, čija je bolest napredovala tokom ili unutar 12 mjeseci od završetka adjuvantne endokrine terapije za uznapredovalu bolest  tokom ili unutar 1 mjeseca od prethodne endokrine terapije za uznapredovalu bolest, su bile randomizovane u odnosu 2:1 za fulvestrant plus palbociklib, ili fulvestrant plus placebo, i stratifikovane dokumentovanom osjetljivošću prethodne hormonske terapije, menopauzalnim statusom na uključivanju u studiju (pre/peri- naspram postmenopauzalnog), i prisustvom visceralnih metastaza. Pre/perimenopauzalne žene su primale LHRH agonist goserelin. Pacijentkinje sa uznapredovalim/metastatskim, simptomatskim, visceralnim širenjem, koje su bile u riziku od životno ugrožavajućih komplikacija u kratkom roku ) uključujući pacijentkinje sa masivnim nekontrolisanim izlivima [pleuralni, perikardijalni, peritonealni], plućni limfangitis, i preko 50% uključivanja jetre), nijesu bile pogodne za uključivanje u studiju.</w:t>
      </w:r>
    </w:p>
    <w:p w14:paraId="780B0546" w14:textId="77777777" w:rsidR="00354A3F" w:rsidRPr="00585C79" w:rsidRDefault="00354A3F" w:rsidP="00354A3F">
      <w:pPr>
        <w:autoSpaceDE w:val="0"/>
        <w:autoSpaceDN w:val="0"/>
        <w:adjustRightInd w:val="0"/>
        <w:spacing w:line="259" w:lineRule="auto"/>
        <w:jc w:val="both"/>
        <w:rPr>
          <w:rFonts w:eastAsia="TimesNewRoman"/>
          <w:sz w:val="22"/>
          <w:szCs w:val="22"/>
          <w:lang w:val="hr-HR"/>
        </w:rPr>
      </w:pPr>
      <w:r w:rsidRPr="00585C79">
        <w:rPr>
          <w:rFonts w:eastAsia="TimesNewRoman"/>
          <w:sz w:val="22"/>
          <w:szCs w:val="22"/>
          <w:lang w:val="hr-HR"/>
        </w:rPr>
        <w:t>Pacijentkinje su nastavile da primaju dodijeljenu terapiju do objektivne progresije bolesti, simptomatskog pogoršanja, neprihvatljive toksičnosti, smrti, ili povlačenja pristanka, bilo šta od toga da se desilo prvo. Prelazak među grupama pacijentkinja na terapiji nije bio dozvoljen.</w:t>
      </w:r>
    </w:p>
    <w:p w14:paraId="59D6475D" w14:textId="77777777" w:rsidR="00354A3F" w:rsidRPr="00585C79" w:rsidRDefault="00354A3F" w:rsidP="00354A3F">
      <w:pPr>
        <w:autoSpaceDE w:val="0"/>
        <w:autoSpaceDN w:val="0"/>
        <w:adjustRightInd w:val="0"/>
        <w:spacing w:line="259" w:lineRule="auto"/>
        <w:jc w:val="both"/>
        <w:rPr>
          <w:rFonts w:eastAsia="TimesNewRoman"/>
          <w:sz w:val="22"/>
          <w:szCs w:val="22"/>
          <w:lang w:val="hr-HR"/>
        </w:rPr>
      </w:pPr>
    </w:p>
    <w:p w14:paraId="0C7C9B39" w14:textId="77777777" w:rsidR="00354A3F" w:rsidRPr="00585C79" w:rsidRDefault="00354A3F" w:rsidP="00354A3F">
      <w:pPr>
        <w:autoSpaceDE w:val="0"/>
        <w:autoSpaceDN w:val="0"/>
        <w:adjustRightInd w:val="0"/>
        <w:spacing w:line="259" w:lineRule="auto"/>
        <w:jc w:val="both"/>
        <w:rPr>
          <w:rFonts w:eastAsia="TimesNewRoman"/>
          <w:sz w:val="22"/>
          <w:szCs w:val="22"/>
          <w:lang w:val="hr-HR"/>
        </w:rPr>
      </w:pPr>
      <w:r w:rsidRPr="00585C79">
        <w:rPr>
          <w:rFonts w:eastAsia="TimesNewRoman"/>
          <w:sz w:val="22"/>
          <w:szCs w:val="22"/>
          <w:lang w:val="hr-HR"/>
        </w:rPr>
        <w:t>Pacijentkinje su imale dobro usklađene demografske karakteristike i karakteristike prognoze između grupe koja je primala fulvestrant plus palbociklib, i grupe koja je primala fulvestrant plus placebo. Prosječna starost pacijentkinja uključenih u ovu studiju je bila 57 godina (ospeg 29 - 88). U svakoj grupi na terapiji većina pacijentkinja su bile bijele rase, dokumentovana je osjetljivost na prethodnu hormonsku terapiju, i bile su žene u postmenopauzi. Oko 20% pacijentkinja su bile pre/perimenopauzalne žene. Sve pacijentkinje su prethodno primile sistemsku terapiju i većina pacijentkinja u svakoj terapijskoj grupi je primila prethodni režim hemioterapije za njihovu primarnu dijagnozu. Više od polovine (62%) je imalo ECOG PS od 0, 60% je imalo visceralnu metastazu dok je 60%  primilo više od 1 prethodnog hormonskog režima za njihovu primarnu dijagnozu.</w:t>
      </w:r>
    </w:p>
    <w:p w14:paraId="235B846B" w14:textId="40D64BF5" w:rsidR="00354A3F" w:rsidRPr="008A2C89" w:rsidRDefault="00354A3F" w:rsidP="00354A3F">
      <w:pPr>
        <w:autoSpaceDE w:val="0"/>
        <w:autoSpaceDN w:val="0"/>
        <w:adjustRightInd w:val="0"/>
        <w:spacing w:line="259" w:lineRule="auto"/>
        <w:jc w:val="both"/>
        <w:rPr>
          <w:rFonts w:eastAsia="TimesNewRoman"/>
          <w:sz w:val="22"/>
          <w:szCs w:val="22"/>
          <w:lang w:val="en-GB"/>
        </w:rPr>
      </w:pPr>
      <w:r w:rsidRPr="008A2C89">
        <w:rPr>
          <w:rFonts w:eastAsia="TimesNewRoman"/>
          <w:sz w:val="22"/>
          <w:szCs w:val="22"/>
          <w:lang w:val="en-GB"/>
        </w:rPr>
        <w:t xml:space="preserve">Primarna </w:t>
      </w:r>
      <w:r w:rsidR="006A31E5">
        <w:rPr>
          <w:rFonts w:eastAsia="TimesNewRoman"/>
          <w:sz w:val="22"/>
          <w:szCs w:val="22"/>
          <w:lang w:val="en-GB"/>
        </w:rPr>
        <w:t>mjera ishoda u ispitv</w:t>
      </w:r>
      <w:r w:rsidRPr="008A2C89">
        <w:rPr>
          <w:rFonts w:eastAsia="TimesNewRoman"/>
          <w:sz w:val="22"/>
          <w:szCs w:val="22"/>
          <w:lang w:val="en-GB"/>
        </w:rPr>
        <w:t xml:space="preserve"> PFS je bila procijenjena </w:t>
      </w:r>
      <w:proofErr w:type="gramStart"/>
      <w:r w:rsidRPr="008A2C89">
        <w:rPr>
          <w:rFonts w:eastAsia="TimesNewRoman"/>
          <w:sz w:val="22"/>
          <w:szCs w:val="22"/>
          <w:lang w:val="en-GB"/>
        </w:rPr>
        <w:t>od</w:t>
      </w:r>
      <w:proofErr w:type="gramEnd"/>
      <w:r w:rsidRPr="008A2C89">
        <w:rPr>
          <w:rFonts w:eastAsia="TimesNewRoman"/>
          <w:sz w:val="22"/>
          <w:szCs w:val="22"/>
          <w:lang w:val="en-GB"/>
        </w:rPr>
        <w:t xml:space="preserve"> strane istraživača prema RECIST-u 1.1. Suportivne PFS analize su se zasnivale </w:t>
      </w:r>
      <w:proofErr w:type="gramStart"/>
      <w:r w:rsidRPr="008A2C89">
        <w:rPr>
          <w:rFonts w:eastAsia="TimesNewRoman"/>
          <w:sz w:val="22"/>
          <w:szCs w:val="22"/>
          <w:lang w:val="en-GB"/>
        </w:rPr>
        <w:t>na</w:t>
      </w:r>
      <w:proofErr w:type="gramEnd"/>
      <w:r w:rsidRPr="008A2C89">
        <w:rPr>
          <w:rFonts w:eastAsia="TimesNewRoman"/>
          <w:sz w:val="22"/>
          <w:szCs w:val="22"/>
          <w:lang w:val="en-GB"/>
        </w:rPr>
        <w:t xml:space="preserve"> </w:t>
      </w:r>
      <w:r w:rsidRPr="008A2C89">
        <w:rPr>
          <w:rFonts w:eastAsia="TimesNewRoman"/>
          <w:i/>
          <w:sz w:val="22"/>
          <w:szCs w:val="22"/>
          <w:lang w:val="en-GB"/>
        </w:rPr>
        <w:t>Independent Central Radiology Review</w:t>
      </w:r>
      <w:r w:rsidRPr="008A2C89">
        <w:rPr>
          <w:rFonts w:eastAsia="TimesNewRoman"/>
          <w:sz w:val="22"/>
          <w:szCs w:val="22"/>
          <w:lang w:val="en-GB"/>
        </w:rPr>
        <w:t xml:space="preserve">. Sekundarne </w:t>
      </w:r>
      <w:r w:rsidR="006A31E5">
        <w:rPr>
          <w:rFonts w:eastAsia="TimesNewRoman"/>
          <w:sz w:val="22"/>
          <w:szCs w:val="22"/>
          <w:lang w:val="en-GB"/>
        </w:rPr>
        <w:t>mjere ishoda</w:t>
      </w:r>
      <w:r w:rsidR="006A31E5" w:rsidRPr="008A2C89">
        <w:rPr>
          <w:rFonts w:eastAsia="TimesNewRoman"/>
          <w:sz w:val="22"/>
          <w:szCs w:val="22"/>
          <w:lang w:val="en-GB"/>
        </w:rPr>
        <w:t xml:space="preserve"> </w:t>
      </w:r>
      <w:r w:rsidRPr="008A2C89">
        <w:rPr>
          <w:rFonts w:eastAsia="TimesNewRoman"/>
          <w:sz w:val="22"/>
          <w:szCs w:val="22"/>
          <w:lang w:val="en-GB"/>
        </w:rPr>
        <w:t>su uključivale OR, CBR, OS, bezbjednost, i vrijeme do pogoršanja (TTD) bola.</w:t>
      </w:r>
    </w:p>
    <w:p w14:paraId="08F3C4E2" w14:textId="77777777" w:rsidR="00354A3F" w:rsidRPr="008A2C89" w:rsidRDefault="00354A3F" w:rsidP="00354A3F">
      <w:pPr>
        <w:autoSpaceDE w:val="0"/>
        <w:autoSpaceDN w:val="0"/>
        <w:adjustRightInd w:val="0"/>
        <w:spacing w:line="259" w:lineRule="auto"/>
        <w:jc w:val="both"/>
        <w:rPr>
          <w:rFonts w:eastAsia="TimesNewRoman"/>
          <w:sz w:val="22"/>
          <w:szCs w:val="22"/>
          <w:lang w:val="en-GB"/>
        </w:rPr>
      </w:pPr>
    </w:p>
    <w:p w14:paraId="0AD4B492" w14:textId="782CBB89" w:rsidR="00354A3F" w:rsidRPr="008A2C89" w:rsidRDefault="00354A3F" w:rsidP="00354A3F">
      <w:pPr>
        <w:autoSpaceDE w:val="0"/>
        <w:autoSpaceDN w:val="0"/>
        <w:adjustRightInd w:val="0"/>
        <w:spacing w:line="259" w:lineRule="auto"/>
        <w:jc w:val="both"/>
        <w:rPr>
          <w:rFonts w:eastAsia="TimesNewRoman"/>
          <w:sz w:val="22"/>
          <w:szCs w:val="22"/>
          <w:lang w:val="en-GB"/>
        </w:rPr>
      </w:pPr>
      <w:r w:rsidRPr="008A2C89">
        <w:rPr>
          <w:rFonts w:eastAsia="TimesNewRoman"/>
          <w:sz w:val="22"/>
          <w:szCs w:val="22"/>
          <w:lang w:val="en-GB"/>
        </w:rPr>
        <w:lastRenderedPageBreak/>
        <w:t xml:space="preserve">Studija je ispunila svoju primarnu </w:t>
      </w:r>
      <w:r w:rsidR="006A31E5">
        <w:rPr>
          <w:rFonts w:eastAsia="TimesNewRoman"/>
          <w:sz w:val="22"/>
          <w:szCs w:val="22"/>
          <w:lang w:val="en-GB"/>
        </w:rPr>
        <w:t>mjeru ishoda</w:t>
      </w:r>
      <w:r w:rsidRPr="008A2C89">
        <w:rPr>
          <w:rFonts w:eastAsia="TimesNewRoman"/>
          <w:sz w:val="22"/>
          <w:szCs w:val="22"/>
          <w:lang w:val="en-GB"/>
        </w:rPr>
        <w:t xml:space="preserve"> produženja PFS istraživački procijenjenog na privremenoj analizi sprovedenoj na 82% planiranih PFS događaja; rezultati su prekoračili unaprijed određenu granicu </w:t>
      </w:r>
      <w:r w:rsidRPr="008A2C89">
        <w:rPr>
          <w:rFonts w:eastAsia="TimesNewRoman"/>
          <w:i/>
          <w:sz w:val="22"/>
          <w:szCs w:val="22"/>
          <w:lang w:val="en-GB"/>
        </w:rPr>
        <w:t>Haybittle-Peto</w:t>
      </w:r>
      <w:r w:rsidRPr="008A2C89">
        <w:rPr>
          <w:rFonts w:eastAsia="TimesNewRoman"/>
          <w:sz w:val="22"/>
          <w:szCs w:val="22"/>
          <w:lang w:val="en-GB"/>
        </w:rPr>
        <w:t xml:space="preserve"> efikasnosti (α=0</w:t>
      </w:r>
      <w:proofErr w:type="gramStart"/>
      <w:r w:rsidRPr="008A2C89">
        <w:rPr>
          <w:rFonts w:eastAsia="TimesNewRoman"/>
          <w:sz w:val="22"/>
          <w:szCs w:val="22"/>
          <w:lang w:val="en-GB"/>
        </w:rPr>
        <w:t>,00135</w:t>
      </w:r>
      <w:proofErr w:type="gramEnd"/>
      <w:r w:rsidRPr="008A2C89">
        <w:rPr>
          <w:rFonts w:eastAsia="TimesNewRoman"/>
          <w:sz w:val="22"/>
          <w:szCs w:val="22"/>
          <w:lang w:val="en-GB"/>
        </w:rPr>
        <w:t>), demonstrirajući statistički značajno produženje u PFS i klinički značajni efekat tretmana. Zreliji podaci o efikasnosti su opisani u Tabeli 5.</w:t>
      </w:r>
    </w:p>
    <w:p w14:paraId="1D200DCC" w14:textId="77777777" w:rsidR="00354A3F" w:rsidRPr="008A2C89" w:rsidRDefault="00354A3F" w:rsidP="00354A3F">
      <w:pPr>
        <w:autoSpaceDE w:val="0"/>
        <w:autoSpaceDN w:val="0"/>
        <w:adjustRightInd w:val="0"/>
        <w:spacing w:line="259" w:lineRule="auto"/>
        <w:jc w:val="both"/>
        <w:rPr>
          <w:rFonts w:eastAsia="TimesNewRoman"/>
          <w:sz w:val="22"/>
          <w:szCs w:val="22"/>
          <w:lang w:val="hr-HR"/>
        </w:rPr>
      </w:pPr>
    </w:p>
    <w:p w14:paraId="71BE0CE5" w14:textId="37079D95" w:rsidR="00354A3F" w:rsidRPr="008A2C89" w:rsidRDefault="00354A3F" w:rsidP="00354A3F">
      <w:pPr>
        <w:tabs>
          <w:tab w:val="left" w:pos="540"/>
          <w:tab w:val="left" w:pos="569"/>
        </w:tabs>
        <w:jc w:val="both"/>
        <w:rPr>
          <w:bCs/>
          <w:sz w:val="22"/>
          <w:szCs w:val="22"/>
        </w:rPr>
      </w:pPr>
      <w:r w:rsidRPr="00585C79">
        <w:rPr>
          <w:bCs/>
          <w:sz w:val="22"/>
          <w:szCs w:val="22"/>
          <w:lang w:val="hr-HR"/>
        </w:rPr>
        <w:t xml:space="preserve">Nakon medijane praćenja od 45 mjeseci sprovedena je završna analiza ukupnog preživljavanja na osnovu 310 događaja (60% randomizovanih pacijentkinja). </w:t>
      </w:r>
      <w:r w:rsidRPr="008A2C89">
        <w:rPr>
          <w:bCs/>
          <w:sz w:val="22"/>
          <w:szCs w:val="22"/>
        </w:rPr>
        <w:t>Zabilježena je razlika od 6</w:t>
      </w:r>
      <w:proofErr w:type="gramStart"/>
      <w:r w:rsidRPr="008A2C89">
        <w:rPr>
          <w:bCs/>
          <w:sz w:val="22"/>
          <w:szCs w:val="22"/>
        </w:rPr>
        <w:t>,9</w:t>
      </w:r>
      <w:proofErr w:type="gramEnd"/>
      <w:r w:rsidRPr="008A2C89">
        <w:rPr>
          <w:bCs/>
          <w:sz w:val="22"/>
          <w:szCs w:val="22"/>
        </w:rPr>
        <w:t xml:space="preserve"> mjeseci u medijani ukupnog preživljavanja između grupe liječene palbociklibom i fulvestrantom i grupe liječene placebom i fulvestrantom. Ovaj rezultat nije bio statistički značajan pri prethodno određenom nivou statističke značajnosti od 0</w:t>
      </w:r>
      <w:proofErr w:type="gramStart"/>
      <w:r w:rsidRPr="008A2C89">
        <w:rPr>
          <w:bCs/>
          <w:sz w:val="22"/>
          <w:szCs w:val="22"/>
        </w:rPr>
        <w:t>,0235</w:t>
      </w:r>
      <w:proofErr w:type="gramEnd"/>
      <w:r w:rsidRPr="008A2C89">
        <w:rPr>
          <w:bCs/>
          <w:sz w:val="22"/>
          <w:szCs w:val="22"/>
        </w:rPr>
        <w:t xml:space="preserve"> (jednostrano). U grupi liječenoj placebom i fulvestrantom, 15</w:t>
      </w:r>
      <w:proofErr w:type="gramStart"/>
      <w:r w:rsidRPr="008A2C89">
        <w:rPr>
          <w:bCs/>
          <w:sz w:val="22"/>
          <w:szCs w:val="22"/>
        </w:rPr>
        <w:t>,5</w:t>
      </w:r>
      <w:proofErr w:type="gramEnd"/>
      <w:r w:rsidRPr="008A2C89">
        <w:rPr>
          <w:bCs/>
          <w:sz w:val="22"/>
          <w:szCs w:val="22"/>
        </w:rPr>
        <w:t>% randomizovanih pacijentkinja primilo je palbociklib i druge inhibitore CDK-a kao naknadnu terapiju nakon progresije.</w:t>
      </w:r>
    </w:p>
    <w:p w14:paraId="23019977" w14:textId="77777777" w:rsidR="00C661E8" w:rsidRPr="008A2C89" w:rsidRDefault="00354A3F" w:rsidP="00354A3F">
      <w:pPr>
        <w:tabs>
          <w:tab w:val="left" w:pos="540"/>
          <w:tab w:val="left" w:pos="569"/>
        </w:tabs>
        <w:jc w:val="both"/>
        <w:rPr>
          <w:bCs/>
          <w:sz w:val="22"/>
          <w:szCs w:val="22"/>
        </w:rPr>
      </w:pPr>
      <w:r w:rsidRPr="008A2C89">
        <w:rPr>
          <w:bCs/>
          <w:sz w:val="22"/>
          <w:szCs w:val="22"/>
        </w:rPr>
        <w:t xml:space="preserve">Rezultati PFS-a prema ocjeni ispitivača i konačni podaci OS-a dobijeni iz </w:t>
      </w:r>
      <w:r w:rsidR="001B2949" w:rsidRPr="008A2C89">
        <w:rPr>
          <w:bCs/>
          <w:sz w:val="22"/>
          <w:szCs w:val="22"/>
        </w:rPr>
        <w:t>studije</w:t>
      </w:r>
      <w:r w:rsidRPr="008A2C89">
        <w:rPr>
          <w:bCs/>
          <w:sz w:val="22"/>
          <w:szCs w:val="22"/>
        </w:rPr>
        <w:t xml:space="preserve"> PALOMA3 prikazani su u Tabeli 5. Relevantne Kaplan-Meierove krive prikazane su </w:t>
      </w:r>
      <w:proofErr w:type="gramStart"/>
      <w:r w:rsidRPr="008A2C89">
        <w:rPr>
          <w:bCs/>
          <w:sz w:val="22"/>
          <w:szCs w:val="22"/>
        </w:rPr>
        <w:t>na</w:t>
      </w:r>
      <w:proofErr w:type="gramEnd"/>
      <w:r w:rsidRPr="008A2C89">
        <w:rPr>
          <w:bCs/>
          <w:sz w:val="22"/>
          <w:szCs w:val="22"/>
        </w:rPr>
        <w:t xml:space="preserve"> Slici 2, odnosno Slici 3.</w:t>
      </w:r>
    </w:p>
    <w:p w14:paraId="0F692FD8" w14:textId="77777777" w:rsidR="00354A3F" w:rsidRPr="008A2C89" w:rsidRDefault="00354A3F" w:rsidP="00354A3F">
      <w:pPr>
        <w:tabs>
          <w:tab w:val="left" w:pos="540"/>
          <w:tab w:val="left" w:pos="569"/>
        </w:tabs>
        <w:jc w:val="both"/>
        <w:rPr>
          <w:bCs/>
          <w:sz w:val="22"/>
          <w:szCs w:val="22"/>
        </w:rPr>
      </w:pPr>
    </w:p>
    <w:p w14:paraId="515D1B21" w14:textId="67236630" w:rsidR="00354A3F" w:rsidRPr="008A2C89" w:rsidRDefault="00354A3F" w:rsidP="00354A3F">
      <w:pPr>
        <w:autoSpaceDE w:val="0"/>
        <w:autoSpaceDN w:val="0"/>
        <w:adjustRightInd w:val="0"/>
        <w:spacing w:line="259" w:lineRule="auto"/>
        <w:jc w:val="both"/>
        <w:rPr>
          <w:rFonts w:eastAsia="TimesNewRoman"/>
          <w:b/>
          <w:bCs/>
          <w:sz w:val="22"/>
          <w:szCs w:val="22"/>
        </w:rPr>
      </w:pPr>
      <w:r w:rsidRPr="008A2C89">
        <w:rPr>
          <w:rFonts w:eastAsia="TimesNewRoman"/>
          <w:b/>
          <w:bCs/>
          <w:sz w:val="22"/>
          <w:szCs w:val="22"/>
        </w:rPr>
        <w:t xml:space="preserve">Tabela </w:t>
      </w:r>
      <w:proofErr w:type="gramStart"/>
      <w:r w:rsidRPr="008A2C89">
        <w:rPr>
          <w:rFonts w:eastAsia="TimesNewRoman"/>
          <w:b/>
          <w:bCs/>
          <w:sz w:val="22"/>
          <w:szCs w:val="22"/>
        </w:rPr>
        <w:t xml:space="preserve">5 </w:t>
      </w:r>
      <w:r w:rsidR="001B2949" w:rsidRPr="008A2C89">
        <w:rPr>
          <w:rFonts w:eastAsia="TimesNewRoman"/>
          <w:b/>
          <w:bCs/>
          <w:sz w:val="22"/>
          <w:szCs w:val="22"/>
        </w:rPr>
        <w:t xml:space="preserve"> </w:t>
      </w:r>
      <w:r w:rsidRPr="008A2C89">
        <w:rPr>
          <w:rFonts w:eastAsia="TimesNewRoman"/>
          <w:b/>
          <w:bCs/>
          <w:sz w:val="22"/>
          <w:szCs w:val="22"/>
        </w:rPr>
        <w:t>Rezultati</w:t>
      </w:r>
      <w:proofErr w:type="gramEnd"/>
      <w:r w:rsidRPr="008A2C89">
        <w:rPr>
          <w:rFonts w:eastAsia="TimesNewRoman"/>
          <w:b/>
          <w:bCs/>
          <w:sz w:val="22"/>
          <w:szCs w:val="22"/>
        </w:rPr>
        <w:t xml:space="preserve"> efikasnosti – PALOMA3 studija (</w:t>
      </w:r>
      <w:r w:rsidR="00BC6A59">
        <w:rPr>
          <w:rFonts w:eastAsia="TimesNewRoman"/>
          <w:b/>
          <w:bCs/>
          <w:sz w:val="22"/>
          <w:szCs w:val="22"/>
        </w:rPr>
        <w:t>procjena ispitivača</w:t>
      </w:r>
      <w:r w:rsidRPr="008A2C89">
        <w:rPr>
          <w:rFonts w:eastAsia="TimesNewRoman"/>
          <w:b/>
          <w:bCs/>
          <w:sz w:val="22"/>
          <w:szCs w:val="22"/>
        </w:rPr>
        <w:t>, populacija predviđena za liječenje)</w:t>
      </w:r>
    </w:p>
    <w:tbl>
      <w:tblPr>
        <w:tblW w:w="0" w:type="auto"/>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463"/>
        <w:gridCol w:w="2701"/>
        <w:gridCol w:w="2371"/>
      </w:tblGrid>
      <w:tr w:rsidR="001B2949" w:rsidRPr="008A2C89" w14:paraId="6A3460AB" w14:textId="77777777" w:rsidTr="00AE5D50">
        <w:tc>
          <w:tcPr>
            <w:tcW w:w="0" w:type="auto"/>
            <w:vMerge w:val="restart"/>
            <w:tcBorders>
              <w:top w:val="outset" w:sz="6" w:space="0" w:color="7B7B7B"/>
              <w:left w:val="outset" w:sz="6" w:space="0" w:color="7B7B7B"/>
              <w:right w:val="outset" w:sz="6" w:space="0" w:color="7B7B7B"/>
            </w:tcBorders>
            <w:shd w:val="clear" w:color="auto" w:fill="auto"/>
          </w:tcPr>
          <w:p w14:paraId="7BE69A86" w14:textId="77777777" w:rsidR="001B2949" w:rsidRPr="008A2C89" w:rsidRDefault="001B2949" w:rsidP="001B2949">
            <w:pPr>
              <w:autoSpaceDE w:val="0"/>
              <w:autoSpaceDN w:val="0"/>
              <w:adjustRightInd w:val="0"/>
              <w:spacing w:line="259" w:lineRule="auto"/>
              <w:rPr>
                <w:rFonts w:eastAsia="TimesNewRoman"/>
                <w:sz w:val="22"/>
                <w:szCs w:val="22"/>
                <w:lang w:val="en-GB"/>
              </w:rPr>
            </w:pPr>
          </w:p>
        </w:tc>
        <w:tc>
          <w:tcPr>
            <w:tcW w:w="0" w:type="auto"/>
            <w:gridSpan w:val="2"/>
            <w:tcBorders>
              <w:top w:val="outset" w:sz="6" w:space="0" w:color="7B7B7B"/>
              <w:left w:val="outset" w:sz="6" w:space="0" w:color="7B7B7B"/>
              <w:bottom w:val="outset" w:sz="6" w:space="0" w:color="7B7B7B"/>
              <w:right w:val="outset" w:sz="6" w:space="0" w:color="7B7B7B"/>
            </w:tcBorders>
            <w:shd w:val="clear" w:color="auto" w:fill="auto"/>
          </w:tcPr>
          <w:p w14:paraId="58C30934" w14:textId="77777777" w:rsidR="001B2949" w:rsidRPr="008A2C89" w:rsidRDefault="001B2949" w:rsidP="001B2949">
            <w:pPr>
              <w:autoSpaceDE w:val="0"/>
              <w:autoSpaceDN w:val="0"/>
              <w:adjustRightInd w:val="0"/>
              <w:spacing w:line="259" w:lineRule="auto"/>
              <w:jc w:val="center"/>
              <w:rPr>
                <w:rFonts w:eastAsia="TimesNewRoman"/>
                <w:b/>
                <w:bCs/>
                <w:sz w:val="22"/>
                <w:szCs w:val="22"/>
                <w:lang w:val="en-GB"/>
              </w:rPr>
            </w:pPr>
            <w:r w:rsidRPr="008A2C89">
              <w:rPr>
                <w:rFonts w:eastAsia="TimesNewRoman"/>
                <w:b/>
                <w:bCs/>
                <w:sz w:val="22"/>
                <w:szCs w:val="22"/>
                <w:lang w:val="en-GB"/>
              </w:rPr>
              <w:t>Ažurirana analiza</w:t>
            </w:r>
          </w:p>
          <w:p w14:paraId="4D44F9EA" w14:textId="77777777" w:rsidR="001B2949" w:rsidRPr="008A2C89" w:rsidRDefault="001B2949" w:rsidP="001B2949">
            <w:pPr>
              <w:autoSpaceDE w:val="0"/>
              <w:autoSpaceDN w:val="0"/>
              <w:adjustRightInd w:val="0"/>
              <w:spacing w:line="259" w:lineRule="auto"/>
              <w:jc w:val="center"/>
              <w:rPr>
                <w:rFonts w:eastAsia="TimesNewRoman"/>
                <w:b/>
                <w:bCs/>
                <w:sz w:val="22"/>
                <w:szCs w:val="22"/>
                <w:lang w:val="en-GB"/>
              </w:rPr>
            </w:pPr>
            <w:r w:rsidRPr="008A2C89">
              <w:rPr>
                <w:rFonts w:eastAsia="TimesNewRoman"/>
                <w:b/>
                <w:bCs/>
                <w:sz w:val="22"/>
                <w:szCs w:val="22"/>
                <w:lang w:val="en-GB"/>
              </w:rPr>
              <w:t>(</w:t>
            </w:r>
            <w:proofErr w:type="gramStart"/>
            <w:r w:rsidRPr="008A2C89">
              <w:rPr>
                <w:rFonts w:eastAsia="TimesNewRoman"/>
                <w:b/>
                <w:bCs/>
                <w:sz w:val="22"/>
                <w:szCs w:val="22"/>
                <w:lang w:val="en-GB"/>
              </w:rPr>
              <w:t>zaključno</w:t>
            </w:r>
            <w:proofErr w:type="gramEnd"/>
            <w:r w:rsidRPr="008A2C89">
              <w:rPr>
                <w:rFonts w:eastAsia="TimesNewRoman"/>
                <w:b/>
                <w:bCs/>
                <w:sz w:val="22"/>
                <w:szCs w:val="22"/>
                <w:lang w:val="en-GB"/>
              </w:rPr>
              <w:t xml:space="preserve"> sa 23. oktobrom 2015.)</w:t>
            </w:r>
          </w:p>
        </w:tc>
      </w:tr>
      <w:tr w:rsidR="001B2949" w:rsidRPr="008A2C89" w14:paraId="1A71F637" w14:textId="77777777" w:rsidTr="00AE5D50">
        <w:tc>
          <w:tcPr>
            <w:tcW w:w="0" w:type="auto"/>
            <w:vMerge/>
            <w:tcBorders>
              <w:left w:val="outset" w:sz="6" w:space="0" w:color="7B7B7B"/>
              <w:bottom w:val="outset" w:sz="6" w:space="0" w:color="7B7B7B"/>
              <w:right w:val="outset" w:sz="6" w:space="0" w:color="7B7B7B"/>
            </w:tcBorders>
            <w:shd w:val="clear" w:color="auto" w:fill="auto"/>
            <w:hideMark/>
          </w:tcPr>
          <w:p w14:paraId="766D7814" w14:textId="77777777" w:rsidR="001B2949" w:rsidRPr="008A2C89" w:rsidRDefault="001B2949" w:rsidP="001B2949">
            <w:pPr>
              <w:autoSpaceDE w:val="0"/>
              <w:autoSpaceDN w:val="0"/>
              <w:adjustRightInd w:val="0"/>
              <w:spacing w:line="259" w:lineRule="auto"/>
              <w:rPr>
                <w:rFonts w:eastAsia="TimesNewRoman"/>
                <w:sz w:val="22"/>
                <w:szCs w:val="22"/>
                <w:lang w:val="en-GB"/>
              </w:rPr>
            </w:pPr>
          </w:p>
        </w:tc>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60A4900C" w14:textId="77777777" w:rsidR="001B2949" w:rsidRPr="008A2C89" w:rsidRDefault="001B2949" w:rsidP="001B2949">
            <w:pPr>
              <w:autoSpaceDE w:val="0"/>
              <w:autoSpaceDN w:val="0"/>
              <w:adjustRightInd w:val="0"/>
              <w:spacing w:line="259" w:lineRule="auto"/>
              <w:jc w:val="center"/>
              <w:rPr>
                <w:rFonts w:eastAsia="TimesNewRoman"/>
                <w:sz w:val="22"/>
                <w:szCs w:val="22"/>
                <w:lang w:val="en-GB"/>
              </w:rPr>
            </w:pPr>
            <w:r w:rsidRPr="008A2C89">
              <w:rPr>
                <w:rFonts w:eastAsia="TimesNewRoman"/>
                <w:b/>
                <w:bCs/>
                <w:sz w:val="22"/>
                <w:szCs w:val="22"/>
                <w:lang w:val="en-GB"/>
              </w:rPr>
              <w:t>Fulvestrant plus palbociklib</w:t>
            </w:r>
          </w:p>
          <w:p w14:paraId="24371512" w14:textId="77777777" w:rsidR="001B2949" w:rsidRPr="008A2C89" w:rsidRDefault="001B2949" w:rsidP="001B2949">
            <w:pPr>
              <w:autoSpaceDE w:val="0"/>
              <w:autoSpaceDN w:val="0"/>
              <w:adjustRightInd w:val="0"/>
              <w:spacing w:line="259" w:lineRule="auto"/>
              <w:jc w:val="center"/>
              <w:rPr>
                <w:rFonts w:eastAsia="TimesNewRoman"/>
                <w:sz w:val="22"/>
                <w:szCs w:val="22"/>
                <w:lang w:val="en-GB"/>
              </w:rPr>
            </w:pPr>
            <w:r w:rsidRPr="008A2C89">
              <w:rPr>
                <w:rFonts w:eastAsia="TimesNewRoman"/>
                <w:b/>
                <w:bCs/>
                <w:sz w:val="22"/>
                <w:szCs w:val="22"/>
                <w:lang w:val="en-GB"/>
              </w:rPr>
              <w:t>(N=347)</w:t>
            </w:r>
          </w:p>
        </w:tc>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70301EEA" w14:textId="77777777" w:rsidR="001B2949" w:rsidRPr="008A2C89" w:rsidRDefault="001B2949" w:rsidP="001B2949">
            <w:pPr>
              <w:autoSpaceDE w:val="0"/>
              <w:autoSpaceDN w:val="0"/>
              <w:adjustRightInd w:val="0"/>
              <w:spacing w:line="259" w:lineRule="auto"/>
              <w:jc w:val="center"/>
              <w:rPr>
                <w:rFonts w:eastAsia="TimesNewRoman"/>
                <w:sz w:val="22"/>
                <w:szCs w:val="22"/>
                <w:lang w:val="en-GB"/>
              </w:rPr>
            </w:pPr>
            <w:r w:rsidRPr="008A2C89">
              <w:rPr>
                <w:rFonts w:eastAsia="TimesNewRoman"/>
                <w:b/>
                <w:bCs/>
                <w:sz w:val="22"/>
                <w:szCs w:val="22"/>
                <w:lang w:val="en-GB"/>
              </w:rPr>
              <w:t>Fulvestrant plus placebo</w:t>
            </w:r>
          </w:p>
          <w:p w14:paraId="011EECE0" w14:textId="77777777" w:rsidR="001B2949" w:rsidRPr="008A2C89" w:rsidRDefault="001B2949" w:rsidP="001B2949">
            <w:pPr>
              <w:autoSpaceDE w:val="0"/>
              <w:autoSpaceDN w:val="0"/>
              <w:adjustRightInd w:val="0"/>
              <w:spacing w:line="259" w:lineRule="auto"/>
              <w:jc w:val="center"/>
              <w:rPr>
                <w:rFonts w:eastAsia="TimesNewRoman"/>
                <w:sz w:val="22"/>
                <w:szCs w:val="22"/>
                <w:lang w:val="en-GB"/>
              </w:rPr>
            </w:pPr>
            <w:r w:rsidRPr="008A2C89">
              <w:rPr>
                <w:rFonts w:eastAsia="TimesNewRoman"/>
                <w:b/>
                <w:bCs/>
                <w:sz w:val="22"/>
                <w:szCs w:val="22"/>
                <w:lang w:val="en-GB"/>
              </w:rPr>
              <w:t>(N=174)</w:t>
            </w:r>
          </w:p>
        </w:tc>
      </w:tr>
      <w:tr w:rsidR="001B2949" w:rsidRPr="008A2C89" w14:paraId="04244F38" w14:textId="77777777" w:rsidTr="00AE5D50">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20FF4F3C" w14:textId="77777777" w:rsidR="001B2949" w:rsidRPr="008A2C89" w:rsidRDefault="001B2949" w:rsidP="001B2949">
            <w:pPr>
              <w:autoSpaceDE w:val="0"/>
              <w:autoSpaceDN w:val="0"/>
              <w:adjustRightInd w:val="0"/>
              <w:spacing w:line="259" w:lineRule="auto"/>
              <w:rPr>
                <w:rFonts w:eastAsia="TimesNewRoman"/>
                <w:b/>
                <w:sz w:val="22"/>
                <w:szCs w:val="22"/>
                <w:lang w:val="en-GB"/>
              </w:rPr>
            </w:pPr>
            <w:r w:rsidRPr="008A2C89">
              <w:rPr>
                <w:rFonts w:eastAsia="TimesNewRoman"/>
                <w:b/>
                <w:sz w:val="22"/>
                <w:szCs w:val="22"/>
                <w:lang w:val="en-GB"/>
              </w:rPr>
              <w:t>Preživljavanje bez progresije bolesti</w:t>
            </w:r>
          </w:p>
        </w:tc>
        <w:tc>
          <w:tcPr>
            <w:tcW w:w="0" w:type="auto"/>
            <w:gridSpan w:val="2"/>
            <w:tcBorders>
              <w:top w:val="outset" w:sz="6" w:space="0" w:color="7B7B7B"/>
              <w:left w:val="outset" w:sz="6" w:space="0" w:color="7B7B7B"/>
              <w:bottom w:val="outset" w:sz="6" w:space="0" w:color="7B7B7B"/>
              <w:right w:val="outset" w:sz="6" w:space="0" w:color="7B7B7B"/>
            </w:tcBorders>
            <w:shd w:val="clear" w:color="auto" w:fill="auto"/>
            <w:hideMark/>
          </w:tcPr>
          <w:p w14:paraId="7D8F7910" w14:textId="77777777" w:rsidR="001B2949" w:rsidRPr="008A2C89" w:rsidRDefault="001B2949" w:rsidP="001B2949">
            <w:pPr>
              <w:autoSpaceDE w:val="0"/>
              <w:autoSpaceDN w:val="0"/>
              <w:adjustRightInd w:val="0"/>
              <w:spacing w:line="259" w:lineRule="auto"/>
              <w:jc w:val="center"/>
              <w:rPr>
                <w:rFonts w:eastAsia="TimesNewRoman"/>
                <w:sz w:val="22"/>
                <w:szCs w:val="22"/>
                <w:lang w:val="en-GB"/>
              </w:rPr>
            </w:pPr>
          </w:p>
        </w:tc>
      </w:tr>
      <w:tr w:rsidR="001B2949" w:rsidRPr="008A2C89" w14:paraId="12D8A031" w14:textId="77777777" w:rsidTr="00AE5D50">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7FFFBE87" w14:textId="77777777" w:rsidR="001B2949" w:rsidRPr="008A2C89" w:rsidRDefault="001B2949" w:rsidP="001B2949">
            <w:pPr>
              <w:autoSpaceDE w:val="0"/>
              <w:autoSpaceDN w:val="0"/>
              <w:adjustRightInd w:val="0"/>
              <w:spacing w:line="259" w:lineRule="auto"/>
              <w:rPr>
                <w:rFonts w:eastAsia="TimesNewRoman"/>
                <w:sz w:val="22"/>
                <w:szCs w:val="22"/>
                <w:lang w:val="en-GB"/>
              </w:rPr>
            </w:pPr>
            <w:r w:rsidRPr="008A2C89">
              <w:rPr>
                <w:rFonts w:eastAsia="TimesNewRoman"/>
                <w:sz w:val="22"/>
                <w:szCs w:val="22"/>
                <w:lang w:val="en-GB"/>
              </w:rPr>
              <w:t>Medijana [mjeseci (95% CI)]</w:t>
            </w:r>
          </w:p>
        </w:tc>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113D412C" w14:textId="77777777" w:rsidR="001B2949" w:rsidRPr="008A2C89" w:rsidRDefault="001B2949" w:rsidP="001B2949">
            <w:pPr>
              <w:autoSpaceDE w:val="0"/>
              <w:autoSpaceDN w:val="0"/>
              <w:adjustRightInd w:val="0"/>
              <w:spacing w:line="259" w:lineRule="auto"/>
              <w:jc w:val="center"/>
              <w:rPr>
                <w:rFonts w:eastAsia="TimesNewRoman"/>
                <w:sz w:val="22"/>
                <w:szCs w:val="22"/>
                <w:lang w:val="en-GB"/>
              </w:rPr>
            </w:pPr>
            <w:r w:rsidRPr="008A2C89">
              <w:rPr>
                <w:rFonts w:eastAsia="TimesNewRoman"/>
                <w:sz w:val="22"/>
                <w:szCs w:val="22"/>
                <w:lang w:val="en-GB"/>
              </w:rPr>
              <w:t>11,2 (9,5, 12,9)</w:t>
            </w:r>
          </w:p>
        </w:tc>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75F9FFD6" w14:textId="77777777" w:rsidR="001B2949" w:rsidRPr="008A2C89" w:rsidRDefault="001B2949" w:rsidP="001B2949">
            <w:pPr>
              <w:autoSpaceDE w:val="0"/>
              <w:autoSpaceDN w:val="0"/>
              <w:adjustRightInd w:val="0"/>
              <w:spacing w:line="259" w:lineRule="auto"/>
              <w:jc w:val="center"/>
              <w:rPr>
                <w:rFonts w:eastAsia="TimesNewRoman"/>
                <w:sz w:val="22"/>
                <w:szCs w:val="22"/>
                <w:lang w:val="en-GB"/>
              </w:rPr>
            </w:pPr>
            <w:r w:rsidRPr="008A2C89">
              <w:rPr>
                <w:rFonts w:eastAsia="TimesNewRoman"/>
                <w:sz w:val="22"/>
                <w:szCs w:val="22"/>
                <w:lang w:val="en-GB"/>
              </w:rPr>
              <w:t>4,6 (3,5, 5,6)</w:t>
            </w:r>
          </w:p>
        </w:tc>
      </w:tr>
      <w:tr w:rsidR="001B2949" w:rsidRPr="008A2C89" w14:paraId="4835DFF1" w14:textId="77777777" w:rsidTr="00AE5D50">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1B863D90" w14:textId="77777777" w:rsidR="001B2949" w:rsidRPr="008A2C89" w:rsidRDefault="001B2949" w:rsidP="001B2949">
            <w:pPr>
              <w:autoSpaceDE w:val="0"/>
              <w:autoSpaceDN w:val="0"/>
              <w:adjustRightInd w:val="0"/>
              <w:spacing w:line="259" w:lineRule="auto"/>
              <w:rPr>
                <w:rFonts w:eastAsia="TimesNewRoman"/>
                <w:sz w:val="22"/>
                <w:szCs w:val="22"/>
                <w:lang w:val="en-GB"/>
              </w:rPr>
            </w:pPr>
            <w:r w:rsidRPr="008A2C89">
              <w:rPr>
                <w:rFonts w:eastAsia="TimesNewRoman"/>
                <w:sz w:val="22"/>
                <w:szCs w:val="22"/>
                <w:lang w:val="en-GB"/>
              </w:rPr>
              <w:t>Odnos rizika (95% CI) i p-vrijednost</w:t>
            </w:r>
          </w:p>
        </w:tc>
        <w:tc>
          <w:tcPr>
            <w:tcW w:w="0" w:type="auto"/>
            <w:gridSpan w:val="2"/>
            <w:tcBorders>
              <w:top w:val="outset" w:sz="6" w:space="0" w:color="7B7B7B"/>
              <w:left w:val="outset" w:sz="6" w:space="0" w:color="7B7B7B"/>
              <w:bottom w:val="outset" w:sz="6" w:space="0" w:color="7B7B7B"/>
              <w:right w:val="outset" w:sz="6" w:space="0" w:color="7B7B7B"/>
            </w:tcBorders>
            <w:shd w:val="clear" w:color="auto" w:fill="auto"/>
            <w:hideMark/>
          </w:tcPr>
          <w:p w14:paraId="07F474EA" w14:textId="77777777" w:rsidR="001B2949" w:rsidRPr="008A2C89" w:rsidRDefault="001B2949" w:rsidP="001B2949">
            <w:pPr>
              <w:autoSpaceDE w:val="0"/>
              <w:autoSpaceDN w:val="0"/>
              <w:adjustRightInd w:val="0"/>
              <w:spacing w:line="259" w:lineRule="auto"/>
              <w:jc w:val="center"/>
              <w:rPr>
                <w:rFonts w:eastAsia="TimesNewRoman"/>
                <w:sz w:val="22"/>
                <w:szCs w:val="22"/>
                <w:lang w:val="en-GB"/>
              </w:rPr>
            </w:pPr>
            <w:r w:rsidRPr="008A2C89">
              <w:rPr>
                <w:rFonts w:eastAsia="TimesNewRoman"/>
                <w:sz w:val="22"/>
                <w:szCs w:val="22"/>
                <w:lang w:val="en-GB"/>
              </w:rPr>
              <w:t>0,497 (0,398, 0,620), p &lt;0,000001</w:t>
            </w:r>
          </w:p>
        </w:tc>
      </w:tr>
      <w:tr w:rsidR="001B2949" w:rsidRPr="008A2C89" w14:paraId="19F47AB3" w14:textId="77777777" w:rsidTr="00AE5D50">
        <w:tc>
          <w:tcPr>
            <w:tcW w:w="0" w:type="auto"/>
            <w:gridSpan w:val="3"/>
            <w:tcBorders>
              <w:top w:val="outset" w:sz="6" w:space="0" w:color="7B7B7B"/>
              <w:left w:val="outset" w:sz="6" w:space="0" w:color="7B7B7B"/>
              <w:bottom w:val="outset" w:sz="6" w:space="0" w:color="7B7B7B"/>
              <w:right w:val="outset" w:sz="6" w:space="0" w:color="7B7B7B"/>
            </w:tcBorders>
            <w:shd w:val="clear" w:color="auto" w:fill="auto"/>
            <w:hideMark/>
          </w:tcPr>
          <w:p w14:paraId="55DCFD76" w14:textId="54141D2C" w:rsidR="001B2949" w:rsidRPr="008A2C89" w:rsidRDefault="001B2949" w:rsidP="009338F8">
            <w:pPr>
              <w:autoSpaceDE w:val="0"/>
              <w:autoSpaceDN w:val="0"/>
              <w:adjustRightInd w:val="0"/>
              <w:spacing w:line="259" w:lineRule="auto"/>
              <w:rPr>
                <w:rFonts w:eastAsia="TimesNewRoman"/>
                <w:sz w:val="22"/>
                <w:szCs w:val="22"/>
                <w:lang w:val="en-GB"/>
              </w:rPr>
            </w:pPr>
            <w:r w:rsidRPr="008A2C89">
              <w:rPr>
                <w:rFonts w:eastAsia="TimesNewRoman"/>
                <w:b/>
                <w:bCs/>
                <w:sz w:val="22"/>
                <w:szCs w:val="22"/>
                <w:lang w:val="en-GB"/>
              </w:rPr>
              <w:t xml:space="preserve">Sekundarne </w:t>
            </w:r>
            <w:r w:rsidR="00862888">
              <w:rPr>
                <w:rFonts w:eastAsia="TimesNewRoman"/>
                <w:b/>
                <w:bCs/>
                <w:sz w:val="22"/>
                <w:szCs w:val="22"/>
                <w:lang w:val="en-GB"/>
              </w:rPr>
              <w:t xml:space="preserve">mjere </w:t>
            </w:r>
            <w:r w:rsidRPr="008A2C89">
              <w:rPr>
                <w:rFonts w:eastAsia="TimesNewRoman"/>
                <w:b/>
                <w:bCs/>
                <w:sz w:val="22"/>
                <w:szCs w:val="22"/>
                <w:lang w:val="en-GB"/>
              </w:rPr>
              <w:t>ishoda*</w:t>
            </w:r>
          </w:p>
        </w:tc>
      </w:tr>
      <w:tr w:rsidR="001B2949" w:rsidRPr="008A2C89" w14:paraId="4F29EABF" w14:textId="77777777" w:rsidTr="00AE5D50">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5313EEE8" w14:textId="77777777" w:rsidR="001B2949" w:rsidRPr="008A2C89" w:rsidRDefault="001B2949" w:rsidP="001B2949">
            <w:pPr>
              <w:autoSpaceDE w:val="0"/>
              <w:autoSpaceDN w:val="0"/>
              <w:adjustRightInd w:val="0"/>
              <w:spacing w:line="259" w:lineRule="auto"/>
              <w:rPr>
                <w:rFonts w:eastAsia="TimesNewRoman"/>
                <w:sz w:val="22"/>
                <w:szCs w:val="22"/>
                <w:lang w:val="en-GB"/>
              </w:rPr>
            </w:pPr>
            <w:r w:rsidRPr="008A2C89">
              <w:rPr>
                <w:rFonts w:eastAsia="TimesNewRoman"/>
                <w:sz w:val="22"/>
                <w:szCs w:val="22"/>
                <w:lang w:val="en-GB"/>
              </w:rPr>
              <w:t>OR [% (95% CI)]</w:t>
            </w:r>
          </w:p>
        </w:tc>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3EC117DE" w14:textId="77777777" w:rsidR="001B2949" w:rsidRPr="008A2C89" w:rsidRDefault="001B2949" w:rsidP="001B2949">
            <w:pPr>
              <w:autoSpaceDE w:val="0"/>
              <w:autoSpaceDN w:val="0"/>
              <w:adjustRightInd w:val="0"/>
              <w:spacing w:line="259" w:lineRule="auto"/>
              <w:jc w:val="center"/>
              <w:rPr>
                <w:rFonts w:eastAsia="TimesNewRoman"/>
                <w:sz w:val="22"/>
                <w:szCs w:val="22"/>
                <w:lang w:val="en-GB"/>
              </w:rPr>
            </w:pPr>
            <w:r w:rsidRPr="008A2C89">
              <w:rPr>
                <w:rFonts w:eastAsia="TimesNewRoman"/>
                <w:sz w:val="22"/>
                <w:szCs w:val="22"/>
                <w:lang w:val="en-GB"/>
              </w:rPr>
              <w:t>26,2 (21,7, 31,2)</w:t>
            </w:r>
          </w:p>
        </w:tc>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10BD7478" w14:textId="77777777" w:rsidR="001B2949" w:rsidRPr="008A2C89" w:rsidRDefault="001B2949" w:rsidP="001B2949">
            <w:pPr>
              <w:autoSpaceDE w:val="0"/>
              <w:autoSpaceDN w:val="0"/>
              <w:adjustRightInd w:val="0"/>
              <w:spacing w:line="259" w:lineRule="auto"/>
              <w:jc w:val="center"/>
              <w:rPr>
                <w:rFonts w:eastAsia="TimesNewRoman"/>
                <w:sz w:val="22"/>
                <w:szCs w:val="22"/>
                <w:lang w:val="en-GB"/>
              </w:rPr>
            </w:pPr>
            <w:r w:rsidRPr="008A2C89">
              <w:rPr>
                <w:rFonts w:eastAsia="TimesNewRoman"/>
                <w:sz w:val="22"/>
                <w:szCs w:val="22"/>
                <w:lang w:val="en-GB"/>
              </w:rPr>
              <w:t>13,8 (9,0, 19,8)</w:t>
            </w:r>
          </w:p>
        </w:tc>
      </w:tr>
      <w:tr w:rsidR="001B2949" w:rsidRPr="008A2C89" w14:paraId="5F2FB6FF" w14:textId="77777777" w:rsidTr="00AE5D50">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161F8259" w14:textId="77777777" w:rsidR="001B2949" w:rsidRPr="008A2C89" w:rsidRDefault="001B2949" w:rsidP="001B2949">
            <w:pPr>
              <w:autoSpaceDE w:val="0"/>
              <w:autoSpaceDN w:val="0"/>
              <w:adjustRightInd w:val="0"/>
              <w:spacing w:line="259" w:lineRule="auto"/>
              <w:rPr>
                <w:rFonts w:eastAsia="TimesNewRoman"/>
                <w:sz w:val="22"/>
                <w:szCs w:val="22"/>
                <w:lang w:val="en-GB"/>
              </w:rPr>
            </w:pPr>
            <w:r w:rsidRPr="008A2C89">
              <w:rPr>
                <w:rFonts w:eastAsia="TimesNewRoman"/>
                <w:sz w:val="22"/>
                <w:szCs w:val="22"/>
                <w:lang w:val="en-GB"/>
              </w:rPr>
              <w:t>OR (mjerljiva bolest) [% (95% CI)]</w:t>
            </w:r>
          </w:p>
        </w:tc>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51D84575" w14:textId="77777777" w:rsidR="001B2949" w:rsidRPr="008A2C89" w:rsidRDefault="001B2949" w:rsidP="001B2949">
            <w:pPr>
              <w:autoSpaceDE w:val="0"/>
              <w:autoSpaceDN w:val="0"/>
              <w:adjustRightInd w:val="0"/>
              <w:spacing w:line="259" w:lineRule="auto"/>
              <w:jc w:val="center"/>
              <w:rPr>
                <w:rFonts w:eastAsia="TimesNewRoman"/>
                <w:sz w:val="22"/>
                <w:szCs w:val="22"/>
                <w:lang w:val="en-GB"/>
              </w:rPr>
            </w:pPr>
            <w:r w:rsidRPr="008A2C89">
              <w:rPr>
                <w:rFonts w:eastAsia="TimesNewRoman"/>
                <w:sz w:val="22"/>
                <w:szCs w:val="22"/>
                <w:lang w:val="en-GB"/>
              </w:rPr>
              <w:t>33,7 (28,1, 39,7)</w:t>
            </w:r>
          </w:p>
        </w:tc>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70ED6B06" w14:textId="77777777" w:rsidR="001B2949" w:rsidRPr="008A2C89" w:rsidRDefault="001B2949" w:rsidP="001B2949">
            <w:pPr>
              <w:autoSpaceDE w:val="0"/>
              <w:autoSpaceDN w:val="0"/>
              <w:adjustRightInd w:val="0"/>
              <w:spacing w:line="259" w:lineRule="auto"/>
              <w:jc w:val="center"/>
              <w:rPr>
                <w:rFonts w:eastAsia="TimesNewRoman"/>
                <w:sz w:val="22"/>
                <w:szCs w:val="22"/>
                <w:lang w:val="en-GB"/>
              </w:rPr>
            </w:pPr>
            <w:r w:rsidRPr="008A2C89">
              <w:rPr>
                <w:rFonts w:eastAsia="TimesNewRoman"/>
                <w:sz w:val="22"/>
                <w:szCs w:val="22"/>
                <w:lang w:val="en-GB"/>
              </w:rPr>
              <w:t>17,4 (11,5, 24,8)</w:t>
            </w:r>
          </w:p>
        </w:tc>
      </w:tr>
      <w:tr w:rsidR="001B2949" w:rsidRPr="008A2C89" w14:paraId="26A9AB10" w14:textId="77777777" w:rsidTr="00AE5D50">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448C2B2E" w14:textId="77777777" w:rsidR="001B2949" w:rsidRPr="008A2C89" w:rsidRDefault="001B2949" w:rsidP="001B2949">
            <w:pPr>
              <w:autoSpaceDE w:val="0"/>
              <w:autoSpaceDN w:val="0"/>
              <w:adjustRightInd w:val="0"/>
              <w:spacing w:line="259" w:lineRule="auto"/>
              <w:rPr>
                <w:rFonts w:eastAsia="TimesNewRoman"/>
                <w:sz w:val="22"/>
                <w:szCs w:val="22"/>
                <w:lang w:val="en-GB"/>
              </w:rPr>
            </w:pPr>
            <w:r w:rsidRPr="008A2C89">
              <w:rPr>
                <w:rFonts w:eastAsia="TimesNewRoman"/>
                <w:sz w:val="22"/>
                <w:szCs w:val="22"/>
                <w:lang w:val="en-GB"/>
              </w:rPr>
              <w:t>CBR [% (95% CI)]</w:t>
            </w:r>
          </w:p>
        </w:tc>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506155AF" w14:textId="77777777" w:rsidR="001B2949" w:rsidRPr="008A2C89" w:rsidRDefault="001B2949" w:rsidP="001B2949">
            <w:pPr>
              <w:autoSpaceDE w:val="0"/>
              <w:autoSpaceDN w:val="0"/>
              <w:adjustRightInd w:val="0"/>
              <w:spacing w:line="259" w:lineRule="auto"/>
              <w:jc w:val="center"/>
              <w:rPr>
                <w:rFonts w:eastAsia="TimesNewRoman"/>
                <w:sz w:val="22"/>
                <w:szCs w:val="22"/>
                <w:lang w:val="en-GB"/>
              </w:rPr>
            </w:pPr>
            <w:r w:rsidRPr="008A2C89">
              <w:rPr>
                <w:rFonts w:eastAsia="TimesNewRoman"/>
                <w:sz w:val="22"/>
                <w:szCs w:val="22"/>
                <w:lang w:val="en-GB"/>
              </w:rPr>
              <w:t>68,0 (62,8, 72,9)</w:t>
            </w:r>
          </w:p>
        </w:tc>
        <w:tc>
          <w:tcPr>
            <w:tcW w:w="0" w:type="auto"/>
            <w:tcBorders>
              <w:top w:val="outset" w:sz="6" w:space="0" w:color="7B7B7B"/>
              <w:left w:val="outset" w:sz="6" w:space="0" w:color="7B7B7B"/>
              <w:bottom w:val="outset" w:sz="6" w:space="0" w:color="7B7B7B"/>
              <w:right w:val="outset" w:sz="6" w:space="0" w:color="7B7B7B"/>
            </w:tcBorders>
            <w:shd w:val="clear" w:color="auto" w:fill="auto"/>
            <w:hideMark/>
          </w:tcPr>
          <w:p w14:paraId="4120E979" w14:textId="77777777" w:rsidR="001B2949" w:rsidRPr="008A2C89" w:rsidRDefault="001B2949" w:rsidP="001B2949">
            <w:pPr>
              <w:autoSpaceDE w:val="0"/>
              <w:autoSpaceDN w:val="0"/>
              <w:adjustRightInd w:val="0"/>
              <w:spacing w:line="259" w:lineRule="auto"/>
              <w:jc w:val="center"/>
              <w:rPr>
                <w:rFonts w:eastAsia="TimesNewRoman"/>
                <w:sz w:val="22"/>
                <w:szCs w:val="22"/>
                <w:lang w:val="en-GB"/>
              </w:rPr>
            </w:pPr>
            <w:r w:rsidRPr="008A2C89">
              <w:rPr>
                <w:rFonts w:eastAsia="TimesNewRoman"/>
                <w:sz w:val="22"/>
                <w:szCs w:val="22"/>
                <w:lang w:val="en-GB"/>
              </w:rPr>
              <w:t>39,7 (32,3, 47,3)</w:t>
            </w:r>
          </w:p>
        </w:tc>
      </w:tr>
      <w:tr w:rsidR="001B2949" w:rsidRPr="008A2C89" w14:paraId="7917AB5C" w14:textId="77777777" w:rsidTr="00AE5D50">
        <w:tc>
          <w:tcPr>
            <w:tcW w:w="0" w:type="auto"/>
            <w:gridSpan w:val="3"/>
            <w:tcBorders>
              <w:top w:val="outset" w:sz="6" w:space="0" w:color="7B7B7B"/>
              <w:left w:val="outset" w:sz="6" w:space="0" w:color="7B7B7B"/>
              <w:bottom w:val="outset" w:sz="6" w:space="0" w:color="7B7B7B"/>
              <w:right w:val="outset" w:sz="6" w:space="0" w:color="7B7B7B"/>
            </w:tcBorders>
            <w:shd w:val="clear" w:color="auto" w:fill="auto"/>
          </w:tcPr>
          <w:p w14:paraId="56145210" w14:textId="77777777" w:rsidR="001B2949" w:rsidRPr="008A2C89" w:rsidRDefault="001B2949" w:rsidP="001B2949">
            <w:pPr>
              <w:tabs>
                <w:tab w:val="left" w:pos="952"/>
              </w:tabs>
              <w:autoSpaceDE w:val="0"/>
              <w:autoSpaceDN w:val="0"/>
              <w:adjustRightInd w:val="0"/>
              <w:spacing w:line="259" w:lineRule="auto"/>
              <w:rPr>
                <w:rFonts w:eastAsia="TimesNewRoman"/>
                <w:b/>
                <w:sz w:val="22"/>
                <w:szCs w:val="22"/>
                <w:lang w:val="en-GB"/>
              </w:rPr>
            </w:pPr>
            <w:r w:rsidRPr="008A2C89">
              <w:rPr>
                <w:rFonts w:eastAsia="TimesNewRoman"/>
                <w:b/>
                <w:sz w:val="22"/>
                <w:szCs w:val="22"/>
                <w:lang w:val="en-GB"/>
              </w:rPr>
              <w:t>Konačni rezultati za ukupno preživljavanje (OS)</w:t>
            </w:r>
          </w:p>
          <w:p w14:paraId="649D1411" w14:textId="77777777" w:rsidR="001B2949" w:rsidRPr="008A2C89" w:rsidRDefault="001B2949" w:rsidP="001B2949">
            <w:pPr>
              <w:tabs>
                <w:tab w:val="left" w:pos="952"/>
              </w:tabs>
              <w:autoSpaceDE w:val="0"/>
              <w:autoSpaceDN w:val="0"/>
              <w:adjustRightInd w:val="0"/>
              <w:spacing w:line="259" w:lineRule="auto"/>
              <w:rPr>
                <w:rFonts w:eastAsia="TimesNewRoman"/>
                <w:b/>
                <w:sz w:val="22"/>
                <w:szCs w:val="22"/>
                <w:lang w:val="en-GB"/>
              </w:rPr>
            </w:pPr>
            <w:r w:rsidRPr="008A2C89">
              <w:rPr>
                <w:rFonts w:eastAsia="TimesNewRoman"/>
                <w:b/>
                <w:sz w:val="22"/>
                <w:szCs w:val="22"/>
                <w:lang w:val="en-GB"/>
              </w:rPr>
              <w:t>(</w:t>
            </w:r>
            <w:proofErr w:type="gramStart"/>
            <w:r w:rsidRPr="008A2C89">
              <w:rPr>
                <w:rFonts w:eastAsia="TimesNewRoman"/>
                <w:b/>
                <w:sz w:val="22"/>
                <w:szCs w:val="22"/>
                <w:lang w:val="en-GB"/>
              </w:rPr>
              <w:t>zaključno</w:t>
            </w:r>
            <w:proofErr w:type="gramEnd"/>
            <w:r w:rsidRPr="008A2C89">
              <w:rPr>
                <w:rFonts w:eastAsia="TimesNewRoman"/>
                <w:b/>
                <w:sz w:val="22"/>
                <w:szCs w:val="22"/>
                <w:lang w:val="en-GB"/>
              </w:rPr>
              <w:t xml:space="preserve"> sa 13. aprilom 2018.)</w:t>
            </w:r>
          </w:p>
        </w:tc>
      </w:tr>
      <w:tr w:rsidR="001B2949" w:rsidRPr="008A2C89" w14:paraId="1BDCDC9C" w14:textId="77777777" w:rsidTr="00AE5D50">
        <w:tc>
          <w:tcPr>
            <w:tcW w:w="0" w:type="auto"/>
            <w:tcBorders>
              <w:top w:val="outset" w:sz="6" w:space="0" w:color="7B7B7B"/>
              <w:left w:val="outset" w:sz="6" w:space="0" w:color="7B7B7B"/>
              <w:bottom w:val="outset" w:sz="6" w:space="0" w:color="7B7B7B"/>
              <w:right w:val="outset" w:sz="6" w:space="0" w:color="7B7B7B"/>
            </w:tcBorders>
            <w:shd w:val="clear" w:color="auto" w:fill="auto"/>
          </w:tcPr>
          <w:p w14:paraId="1C15EACD" w14:textId="77777777" w:rsidR="001B2949" w:rsidRPr="008A2C89" w:rsidRDefault="001B2949" w:rsidP="001B2949">
            <w:pPr>
              <w:autoSpaceDE w:val="0"/>
              <w:autoSpaceDN w:val="0"/>
              <w:adjustRightInd w:val="0"/>
              <w:spacing w:line="259" w:lineRule="auto"/>
              <w:rPr>
                <w:rFonts w:eastAsia="TimesNewRoman"/>
                <w:sz w:val="22"/>
                <w:szCs w:val="22"/>
                <w:lang w:val="en-GB"/>
              </w:rPr>
            </w:pPr>
            <w:r w:rsidRPr="008A2C89">
              <w:rPr>
                <w:rFonts w:eastAsia="TimesNewRoman"/>
                <w:sz w:val="22"/>
                <w:szCs w:val="22"/>
                <w:lang w:val="en-GB"/>
              </w:rPr>
              <w:t>Broj događaja (%)</w:t>
            </w:r>
          </w:p>
        </w:tc>
        <w:tc>
          <w:tcPr>
            <w:tcW w:w="0" w:type="auto"/>
            <w:tcBorders>
              <w:top w:val="outset" w:sz="6" w:space="0" w:color="7B7B7B"/>
              <w:left w:val="outset" w:sz="6" w:space="0" w:color="7B7B7B"/>
              <w:bottom w:val="single" w:sz="4" w:space="0" w:color="auto"/>
              <w:right w:val="outset" w:sz="6" w:space="0" w:color="7B7B7B"/>
            </w:tcBorders>
            <w:shd w:val="clear" w:color="auto" w:fill="auto"/>
          </w:tcPr>
          <w:p w14:paraId="0FDD700D" w14:textId="77777777" w:rsidR="001B2949" w:rsidRPr="008A2C89" w:rsidRDefault="001B2949" w:rsidP="001B2949">
            <w:pPr>
              <w:pStyle w:val="Default"/>
              <w:jc w:val="center"/>
              <w:rPr>
                <w:sz w:val="22"/>
                <w:szCs w:val="22"/>
              </w:rPr>
            </w:pPr>
            <w:r w:rsidRPr="008A2C89">
              <w:rPr>
                <w:sz w:val="22"/>
                <w:szCs w:val="22"/>
              </w:rPr>
              <w:t>201 (57,9)</w:t>
            </w:r>
          </w:p>
        </w:tc>
        <w:tc>
          <w:tcPr>
            <w:tcW w:w="0" w:type="auto"/>
            <w:tcBorders>
              <w:top w:val="outset" w:sz="6" w:space="0" w:color="7B7B7B"/>
              <w:left w:val="outset" w:sz="6" w:space="0" w:color="7B7B7B"/>
              <w:bottom w:val="single" w:sz="4" w:space="0" w:color="auto"/>
              <w:right w:val="outset" w:sz="6" w:space="0" w:color="7B7B7B"/>
            </w:tcBorders>
            <w:shd w:val="clear" w:color="auto" w:fill="auto"/>
          </w:tcPr>
          <w:p w14:paraId="3D205154" w14:textId="77777777" w:rsidR="001B2949" w:rsidRPr="008A2C89" w:rsidRDefault="001B2949" w:rsidP="001B2949">
            <w:pPr>
              <w:pStyle w:val="Default"/>
              <w:jc w:val="center"/>
              <w:rPr>
                <w:sz w:val="22"/>
                <w:szCs w:val="22"/>
              </w:rPr>
            </w:pPr>
            <w:r w:rsidRPr="008A2C89">
              <w:rPr>
                <w:sz w:val="22"/>
                <w:szCs w:val="22"/>
              </w:rPr>
              <w:t>109 (62,6)</w:t>
            </w:r>
          </w:p>
        </w:tc>
      </w:tr>
      <w:tr w:rsidR="001B2949" w:rsidRPr="008A2C89" w14:paraId="5B4C504D" w14:textId="77777777" w:rsidTr="00AE5D50">
        <w:tc>
          <w:tcPr>
            <w:tcW w:w="0" w:type="auto"/>
            <w:tcBorders>
              <w:top w:val="outset" w:sz="6" w:space="0" w:color="7B7B7B"/>
              <w:left w:val="outset" w:sz="6" w:space="0" w:color="7B7B7B"/>
              <w:bottom w:val="outset" w:sz="6" w:space="0" w:color="7B7B7B"/>
              <w:right w:val="single" w:sz="4" w:space="0" w:color="auto"/>
            </w:tcBorders>
            <w:shd w:val="clear" w:color="auto" w:fill="auto"/>
          </w:tcPr>
          <w:p w14:paraId="0307FF07" w14:textId="77777777" w:rsidR="001B2949" w:rsidRPr="008A2C89" w:rsidRDefault="001B2949" w:rsidP="001B2949">
            <w:pPr>
              <w:autoSpaceDE w:val="0"/>
              <w:autoSpaceDN w:val="0"/>
              <w:adjustRightInd w:val="0"/>
              <w:spacing w:line="259" w:lineRule="auto"/>
              <w:rPr>
                <w:rFonts w:eastAsia="TimesNewRoman"/>
                <w:sz w:val="22"/>
                <w:szCs w:val="22"/>
                <w:lang w:val="en-GB"/>
              </w:rPr>
            </w:pPr>
            <w:r w:rsidRPr="008A2C89">
              <w:rPr>
                <w:rFonts w:eastAsia="TimesNewRoman"/>
                <w:sz w:val="22"/>
                <w:szCs w:val="22"/>
                <w:lang w:val="en-GB"/>
              </w:rPr>
              <w:t>Medijana [mjeseci (95% CI)]</w:t>
            </w:r>
          </w:p>
        </w:tc>
        <w:tc>
          <w:tcPr>
            <w:tcW w:w="0" w:type="auto"/>
            <w:tcBorders>
              <w:top w:val="single" w:sz="4" w:space="0" w:color="auto"/>
              <w:left w:val="single" w:sz="4" w:space="0" w:color="auto"/>
              <w:bottom w:val="single" w:sz="4" w:space="0" w:color="auto"/>
              <w:right w:val="single" w:sz="4" w:space="0" w:color="auto"/>
            </w:tcBorders>
          </w:tcPr>
          <w:p w14:paraId="64CF656A" w14:textId="77777777" w:rsidR="001B2949" w:rsidRPr="008A2C89" w:rsidRDefault="001B2949" w:rsidP="001B2949">
            <w:pPr>
              <w:pStyle w:val="Default"/>
              <w:jc w:val="center"/>
              <w:rPr>
                <w:sz w:val="22"/>
                <w:szCs w:val="22"/>
              </w:rPr>
            </w:pPr>
            <w:r w:rsidRPr="008A2C89">
              <w:rPr>
                <w:sz w:val="22"/>
                <w:szCs w:val="22"/>
              </w:rPr>
              <w:t>34,9 (28,8; 40,0)</w:t>
            </w:r>
          </w:p>
        </w:tc>
        <w:tc>
          <w:tcPr>
            <w:tcW w:w="0" w:type="auto"/>
            <w:tcBorders>
              <w:top w:val="single" w:sz="4" w:space="0" w:color="auto"/>
              <w:left w:val="single" w:sz="4" w:space="0" w:color="auto"/>
              <w:bottom w:val="single" w:sz="4" w:space="0" w:color="auto"/>
              <w:right w:val="single" w:sz="4" w:space="0" w:color="auto"/>
            </w:tcBorders>
          </w:tcPr>
          <w:p w14:paraId="0372845B" w14:textId="77777777" w:rsidR="001B2949" w:rsidRPr="008A2C89" w:rsidRDefault="001B2949" w:rsidP="001B2949">
            <w:pPr>
              <w:pStyle w:val="Default"/>
              <w:jc w:val="center"/>
              <w:rPr>
                <w:sz w:val="22"/>
                <w:szCs w:val="22"/>
              </w:rPr>
            </w:pPr>
            <w:r w:rsidRPr="008A2C89">
              <w:rPr>
                <w:sz w:val="22"/>
                <w:szCs w:val="22"/>
              </w:rPr>
              <w:t>28,0 (23,6; 34,6)</w:t>
            </w:r>
          </w:p>
        </w:tc>
      </w:tr>
      <w:tr w:rsidR="001B2949" w:rsidRPr="008A2C89" w14:paraId="479B0EF5" w14:textId="77777777" w:rsidTr="00AE5D50">
        <w:tc>
          <w:tcPr>
            <w:tcW w:w="0" w:type="auto"/>
            <w:tcBorders>
              <w:top w:val="outset" w:sz="6" w:space="0" w:color="7B7B7B"/>
              <w:left w:val="outset" w:sz="6" w:space="0" w:color="7B7B7B"/>
              <w:bottom w:val="outset" w:sz="6" w:space="0" w:color="7B7B7B"/>
              <w:right w:val="single" w:sz="4" w:space="0" w:color="auto"/>
            </w:tcBorders>
            <w:shd w:val="clear" w:color="auto" w:fill="auto"/>
          </w:tcPr>
          <w:p w14:paraId="19B1917C" w14:textId="77777777" w:rsidR="001B2949" w:rsidRPr="008A2C89" w:rsidRDefault="001B2949" w:rsidP="001B2949">
            <w:pPr>
              <w:autoSpaceDE w:val="0"/>
              <w:autoSpaceDN w:val="0"/>
              <w:adjustRightInd w:val="0"/>
              <w:spacing w:line="259" w:lineRule="auto"/>
              <w:rPr>
                <w:rFonts w:eastAsia="TimesNewRoman"/>
                <w:sz w:val="22"/>
                <w:szCs w:val="22"/>
                <w:lang w:val="en-GB"/>
              </w:rPr>
            </w:pPr>
            <w:r w:rsidRPr="008A2C89">
              <w:rPr>
                <w:rFonts w:eastAsia="TimesNewRoman"/>
                <w:sz w:val="22"/>
                <w:szCs w:val="22"/>
                <w:lang w:val="en-GB"/>
              </w:rPr>
              <w:t>Odnos rizika (95% CI) i p-vrijednost</w:t>
            </w:r>
          </w:p>
        </w:tc>
        <w:tc>
          <w:tcPr>
            <w:tcW w:w="0" w:type="auto"/>
            <w:gridSpan w:val="2"/>
            <w:tcBorders>
              <w:top w:val="single" w:sz="4" w:space="0" w:color="auto"/>
              <w:left w:val="single" w:sz="4" w:space="0" w:color="auto"/>
              <w:bottom w:val="single" w:sz="4" w:space="0" w:color="auto"/>
              <w:right w:val="single" w:sz="4" w:space="0" w:color="auto"/>
            </w:tcBorders>
          </w:tcPr>
          <w:p w14:paraId="4C271105" w14:textId="77777777" w:rsidR="001B2949" w:rsidRPr="008A2C89" w:rsidRDefault="001B2949" w:rsidP="001B2949">
            <w:pPr>
              <w:pStyle w:val="Default"/>
              <w:jc w:val="center"/>
              <w:rPr>
                <w:sz w:val="22"/>
                <w:szCs w:val="22"/>
              </w:rPr>
            </w:pPr>
            <w:r w:rsidRPr="008A2C89">
              <w:rPr>
                <w:sz w:val="22"/>
                <w:szCs w:val="22"/>
              </w:rPr>
              <w:t>0,814 (0,644; 1,029)</w:t>
            </w:r>
          </w:p>
          <w:p w14:paraId="11C4D7E4" w14:textId="77777777" w:rsidR="001B2949" w:rsidRPr="008A2C89" w:rsidRDefault="001B2949" w:rsidP="001B2949">
            <w:pPr>
              <w:pStyle w:val="Default"/>
              <w:jc w:val="center"/>
              <w:rPr>
                <w:sz w:val="22"/>
                <w:szCs w:val="22"/>
              </w:rPr>
            </w:pPr>
            <w:r w:rsidRPr="008A2C89">
              <w:rPr>
                <w:sz w:val="22"/>
                <w:szCs w:val="22"/>
              </w:rPr>
              <w:t>p=0,0429†*</w:t>
            </w:r>
          </w:p>
        </w:tc>
      </w:tr>
    </w:tbl>
    <w:p w14:paraId="2299B1A2" w14:textId="77777777" w:rsidR="001B2949" w:rsidRPr="00AE5D50" w:rsidRDefault="001B2949" w:rsidP="001B2949">
      <w:pPr>
        <w:autoSpaceDE w:val="0"/>
        <w:autoSpaceDN w:val="0"/>
        <w:adjustRightInd w:val="0"/>
        <w:spacing w:line="259" w:lineRule="auto"/>
        <w:jc w:val="both"/>
        <w:rPr>
          <w:rFonts w:eastAsia="TimesNewRoman"/>
          <w:sz w:val="20"/>
          <w:szCs w:val="22"/>
          <w:lang w:val="en-GB"/>
        </w:rPr>
      </w:pPr>
      <w:r w:rsidRPr="00AE5D50">
        <w:rPr>
          <w:rFonts w:eastAsia="TimesNewRoman"/>
          <w:sz w:val="20"/>
          <w:szCs w:val="22"/>
          <w:lang w:val="en-GB"/>
        </w:rPr>
        <w:t>CBR= odgovor kliničke koristi</w:t>
      </w:r>
      <w:proofErr w:type="gramStart"/>
      <w:r w:rsidRPr="00AE5D50">
        <w:rPr>
          <w:rFonts w:eastAsia="TimesNewRoman"/>
          <w:sz w:val="20"/>
          <w:szCs w:val="22"/>
          <w:lang w:val="en-GB"/>
        </w:rPr>
        <w:t>;  N</w:t>
      </w:r>
      <w:proofErr w:type="gramEnd"/>
      <w:r w:rsidRPr="00AE5D50">
        <w:rPr>
          <w:rFonts w:eastAsia="TimesNewRoman"/>
          <w:sz w:val="20"/>
          <w:szCs w:val="22"/>
          <w:lang w:val="en-GB"/>
        </w:rPr>
        <w:t xml:space="preserve">=broj pacijentkinja; CI=interval povjerenja; OR=objektivan odgovor; </w:t>
      </w:r>
    </w:p>
    <w:p w14:paraId="7D406B84" w14:textId="77777777" w:rsidR="00354A3F" w:rsidRPr="00AE5D50" w:rsidRDefault="001B2949" w:rsidP="001B2949">
      <w:pPr>
        <w:autoSpaceDE w:val="0"/>
        <w:autoSpaceDN w:val="0"/>
        <w:adjustRightInd w:val="0"/>
        <w:spacing w:line="259" w:lineRule="auto"/>
        <w:jc w:val="both"/>
        <w:rPr>
          <w:rFonts w:eastAsia="TimesNewRoman"/>
          <w:bCs/>
          <w:sz w:val="20"/>
          <w:szCs w:val="22"/>
          <w:lang w:val="en-GB"/>
        </w:rPr>
      </w:pPr>
      <w:r w:rsidRPr="00AE5D50">
        <w:rPr>
          <w:rFonts w:eastAsia="TimesNewRoman"/>
          <w:bCs/>
          <w:sz w:val="20"/>
          <w:szCs w:val="22"/>
          <w:lang w:val="en-GB"/>
        </w:rPr>
        <w:t xml:space="preserve">Rezultati sekundarnih mjera ishoda temelje se </w:t>
      </w:r>
      <w:proofErr w:type="gramStart"/>
      <w:r w:rsidRPr="00AE5D50">
        <w:rPr>
          <w:rFonts w:eastAsia="TimesNewRoman"/>
          <w:bCs/>
          <w:sz w:val="20"/>
          <w:szCs w:val="22"/>
          <w:lang w:val="en-GB"/>
        </w:rPr>
        <w:t>na</w:t>
      </w:r>
      <w:proofErr w:type="gramEnd"/>
      <w:r w:rsidRPr="00AE5D50">
        <w:rPr>
          <w:rFonts w:eastAsia="TimesNewRoman"/>
          <w:bCs/>
          <w:sz w:val="20"/>
          <w:szCs w:val="22"/>
          <w:lang w:val="en-GB"/>
        </w:rPr>
        <w:t xml:space="preserve"> potvrđenim i nepotvrđenim odgovorima u skladu sa verzijom 1.1 RECIST kriterijuma.</w:t>
      </w:r>
    </w:p>
    <w:p w14:paraId="2B6994BA" w14:textId="77777777" w:rsidR="001B2949" w:rsidRPr="00AE5D50" w:rsidRDefault="001B2949" w:rsidP="001B2949">
      <w:pPr>
        <w:autoSpaceDE w:val="0"/>
        <w:autoSpaceDN w:val="0"/>
        <w:adjustRightInd w:val="0"/>
        <w:spacing w:line="259" w:lineRule="auto"/>
        <w:jc w:val="both"/>
        <w:rPr>
          <w:rFonts w:eastAsia="TimesNewRoman"/>
          <w:bCs/>
          <w:sz w:val="20"/>
          <w:szCs w:val="22"/>
          <w:lang w:val="en-GB"/>
        </w:rPr>
      </w:pPr>
      <w:r w:rsidRPr="00AE5D50">
        <w:rPr>
          <w:rFonts w:eastAsia="TimesNewRoman"/>
          <w:bCs/>
          <w:sz w:val="20"/>
          <w:szCs w:val="22"/>
          <w:lang w:val="en-GB"/>
        </w:rPr>
        <w:t xml:space="preserve">* Nije statistički značajno. </w:t>
      </w:r>
    </w:p>
    <w:p w14:paraId="0C7B5B18" w14:textId="77777777" w:rsidR="001B2949" w:rsidRPr="00AE5D50" w:rsidRDefault="001B2949" w:rsidP="001B2949">
      <w:pPr>
        <w:autoSpaceDE w:val="0"/>
        <w:autoSpaceDN w:val="0"/>
        <w:adjustRightInd w:val="0"/>
        <w:spacing w:line="259" w:lineRule="auto"/>
        <w:jc w:val="both"/>
        <w:rPr>
          <w:rFonts w:eastAsia="TimesNewRoman"/>
          <w:bCs/>
          <w:sz w:val="20"/>
          <w:szCs w:val="22"/>
          <w:lang w:val="en-GB"/>
        </w:rPr>
      </w:pPr>
      <w:r w:rsidRPr="00AE5D50">
        <w:rPr>
          <w:rFonts w:eastAsia="TimesNewRoman"/>
          <w:bCs/>
          <w:sz w:val="20"/>
          <w:szCs w:val="22"/>
          <w:lang w:val="en-GB"/>
        </w:rPr>
        <w:t xml:space="preserve">† </w:t>
      </w:r>
      <w:proofErr w:type="gramStart"/>
      <w:r w:rsidRPr="00AE5D50">
        <w:rPr>
          <w:rFonts w:eastAsia="TimesNewRoman"/>
          <w:bCs/>
          <w:sz w:val="20"/>
          <w:szCs w:val="22"/>
          <w:lang w:val="en-GB"/>
        </w:rPr>
        <w:t>p-vrijednost</w:t>
      </w:r>
      <w:proofErr w:type="gramEnd"/>
      <w:r w:rsidRPr="00AE5D50">
        <w:rPr>
          <w:rFonts w:eastAsia="TimesNewRoman"/>
          <w:bCs/>
          <w:sz w:val="20"/>
          <w:szCs w:val="22"/>
          <w:lang w:val="en-GB"/>
        </w:rPr>
        <w:t xml:space="preserve"> na osnovu jednostranog log-rang testa stratifikovanog prema prisutnosti visceralnih metastaza i osjetljivosti na prethodnu endokrinu terapiju po randomizaciji.</w:t>
      </w:r>
    </w:p>
    <w:p w14:paraId="7362720B" w14:textId="77777777" w:rsidR="000D3ADD" w:rsidRDefault="000D3ADD" w:rsidP="001B2949">
      <w:pPr>
        <w:autoSpaceDE w:val="0"/>
        <w:autoSpaceDN w:val="0"/>
        <w:adjustRightInd w:val="0"/>
        <w:spacing w:line="259" w:lineRule="auto"/>
        <w:jc w:val="both"/>
        <w:rPr>
          <w:rFonts w:eastAsia="TimesNewRoman"/>
          <w:bCs/>
          <w:sz w:val="22"/>
          <w:szCs w:val="22"/>
        </w:rPr>
      </w:pPr>
    </w:p>
    <w:p w14:paraId="72AB5BD3" w14:textId="77777777" w:rsidR="00BC6A59" w:rsidRDefault="00BC6A59" w:rsidP="001B2949">
      <w:pPr>
        <w:autoSpaceDE w:val="0"/>
        <w:autoSpaceDN w:val="0"/>
        <w:adjustRightInd w:val="0"/>
        <w:spacing w:line="259" w:lineRule="auto"/>
        <w:jc w:val="both"/>
        <w:rPr>
          <w:rFonts w:eastAsia="TimesNewRoman"/>
          <w:bCs/>
          <w:sz w:val="22"/>
          <w:szCs w:val="22"/>
        </w:rPr>
      </w:pPr>
    </w:p>
    <w:p w14:paraId="32EEB054" w14:textId="77777777" w:rsidR="000D24E4" w:rsidRDefault="000D24E4" w:rsidP="001B2949">
      <w:pPr>
        <w:autoSpaceDE w:val="0"/>
        <w:autoSpaceDN w:val="0"/>
        <w:adjustRightInd w:val="0"/>
        <w:spacing w:line="259" w:lineRule="auto"/>
        <w:jc w:val="both"/>
        <w:rPr>
          <w:rFonts w:eastAsia="TimesNewRoman"/>
          <w:bCs/>
          <w:sz w:val="22"/>
          <w:szCs w:val="22"/>
        </w:rPr>
      </w:pPr>
    </w:p>
    <w:p w14:paraId="09EF57F7" w14:textId="77777777" w:rsidR="00BC6A59" w:rsidRDefault="00BC6A59" w:rsidP="001B2949">
      <w:pPr>
        <w:autoSpaceDE w:val="0"/>
        <w:autoSpaceDN w:val="0"/>
        <w:adjustRightInd w:val="0"/>
        <w:spacing w:line="259" w:lineRule="auto"/>
        <w:jc w:val="both"/>
        <w:rPr>
          <w:rFonts w:eastAsia="TimesNewRoman"/>
          <w:bCs/>
          <w:sz w:val="22"/>
          <w:szCs w:val="22"/>
        </w:rPr>
      </w:pPr>
    </w:p>
    <w:p w14:paraId="3E0E6337" w14:textId="77777777" w:rsidR="00BC6A59" w:rsidRDefault="00BC6A59" w:rsidP="001B2949">
      <w:pPr>
        <w:autoSpaceDE w:val="0"/>
        <w:autoSpaceDN w:val="0"/>
        <w:adjustRightInd w:val="0"/>
        <w:spacing w:line="259" w:lineRule="auto"/>
        <w:jc w:val="both"/>
        <w:rPr>
          <w:rFonts w:eastAsia="TimesNewRoman"/>
          <w:bCs/>
          <w:sz w:val="22"/>
          <w:szCs w:val="22"/>
        </w:rPr>
      </w:pPr>
    </w:p>
    <w:p w14:paraId="49010F92" w14:textId="77777777" w:rsidR="00BC6A59" w:rsidRDefault="00BC6A59" w:rsidP="001B2949">
      <w:pPr>
        <w:autoSpaceDE w:val="0"/>
        <w:autoSpaceDN w:val="0"/>
        <w:adjustRightInd w:val="0"/>
        <w:spacing w:line="259" w:lineRule="auto"/>
        <w:jc w:val="both"/>
        <w:rPr>
          <w:rFonts w:eastAsia="TimesNewRoman"/>
          <w:bCs/>
          <w:sz w:val="22"/>
          <w:szCs w:val="22"/>
        </w:rPr>
      </w:pPr>
    </w:p>
    <w:p w14:paraId="48BF1EAB" w14:textId="77777777" w:rsidR="00BC6A59" w:rsidRDefault="00BC6A59" w:rsidP="001B2949">
      <w:pPr>
        <w:autoSpaceDE w:val="0"/>
        <w:autoSpaceDN w:val="0"/>
        <w:adjustRightInd w:val="0"/>
        <w:spacing w:line="259" w:lineRule="auto"/>
        <w:jc w:val="both"/>
        <w:rPr>
          <w:rFonts w:eastAsia="TimesNewRoman"/>
          <w:bCs/>
          <w:sz w:val="22"/>
          <w:szCs w:val="22"/>
        </w:rPr>
      </w:pPr>
    </w:p>
    <w:p w14:paraId="67085CA9" w14:textId="77777777" w:rsidR="000D24E4" w:rsidRDefault="000D24E4" w:rsidP="001B2949">
      <w:pPr>
        <w:autoSpaceDE w:val="0"/>
        <w:autoSpaceDN w:val="0"/>
        <w:adjustRightInd w:val="0"/>
        <w:spacing w:line="259" w:lineRule="auto"/>
        <w:jc w:val="both"/>
        <w:rPr>
          <w:rFonts w:eastAsia="TimesNewRoman"/>
          <w:bCs/>
          <w:sz w:val="22"/>
          <w:szCs w:val="22"/>
        </w:rPr>
      </w:pPr>
    </w:p>
    <w:p w14:paraId="46D7B7BB" w14:textId="77777777" w:rsidR="000D24E4" w:rsidRDefault="000D24E4" w:rsidP="001B2949">
      <w:pPr>
        <w:autoSpaceDE w:val="0"/>
        <w:autoSpaceDN w:val="0"/>
        <w:adjustRightInd w:val="0"/>
        <w:spacing w:line="259" w:lineRule="auto"/>
        <w:jc w:val="both"/>
        <w:rPr>
          <w:rFonts w:eastAsia="TimesNewRoman"/>
          <w:bCs/>
          <w:sz w:val="22"/>
          <w:szCs w:val="22"/>
        </w:rPr>
      </w:pPr>
    </w:p>
    <w:p w14:paraId="5CB04FD5" w14:textId="77777777" w:rsidR="000D24E4" w:rsidRDefault="000D24E4" w:rsidP="001B2949">
      <w:pPr>
        <w:autoSpaceDE w:val="0"/>
        <w:autoSpaceDN w:val="0"/>
        <w:adjustRightInd w:val="0"/>
        <w:spacing w:line="259" w:lineRule="auto"/>
        <w:jc w:val="both"/>
        <w:rPr>
          <w:rFonts w:eastAsia="TimesNewRoman"/>
          <w:bCs/>
          <w:sz w:val="22"/>
          <w:szCs w:val="22"/>
        </w:rPr>
      </w:pPr>
    </w:p>
    <w:p w14:paraId="72F3827B" w14:textId="77777777" w:rsidR="000D24E4" w:rsidRDefault="000D24E4" w:rsidP="001B2949">
      <w:pPr>
        <w:autoSpaceDE w:val="0"/>
        <w:autoSpaceDN w:val="0"/>
        <w:adjustRightInd w:val="0"/>
        <w:spacing w:line="259" w:lineRule="auto"/>
        <w:jc w:val="both"/>
        <w:rPr>
          <w:rFonts w:eastAsia="TimesNewRoman"/>
          <w:bCs/>
          <w:sz w:val="22"/>
          <w:szCs w:val="22"/>
        </w:rPr>
      </w:pPr>
    </w:p>
    <w:p w14:paraId="2435F3F1" w14:textId="22B003BE" w:rsidR="000D3ADD" w:rsidRPr="008A2C89" w:rsidRDefault="000D3ADD" w:rsidP="000D3ADD">
      <w:pPr>
        <w:autoSpaceDE w:val="0"/>
        <w:autoSpaceDN w:val="0"/>
        <w:adjustRightInd w:val="0"/>
        <w:spacing w:line="259" w:lineRule="auto"/>
        <w:jc w:val="both"/>
        <w:rPr>
          <w:rFonts w:eastAsia="TimesNewRoman"/>
          <w:sz w:val="22"/>
          <w:szCs w:val="22"/>
          <w:lang w:val="en-GB"/>
        </w:rPr>
      </w:pPr>
      <w:r w:rsidRPr="008A2C89">
        <w:rPr>
          <w:rFonts w:eastAsia="TimesNewRoman"/>
          <w:b/>
          <w:bCs/>
          <w:sz w:val="22"/>
          <w:szCs w:val="22"/>
          <w:lang w:val="en-GB"/>
        </w:rPr>
        <w:lastRenderedPageBreak/>
        <w:t>Slika 2. Kaplan-Meier kriva preživljavanja bez progresije bolesti (</w:t>
      </w:r>
      <w:r w:rsidR="00BC6A59">
        <w:rPr>
          <w:rFonts w:eastAsia="TimesNewRoman"/>
          <w:b/>
          <w:bCs/>
          <w:sz w:val="22"/>
          <w:szCs w:val="22"/>
          <w:lang w:val="en-GB"/>
        </w:rPr>
        <w:t>procjena ispitivača</w:t>
      </w:r>
      <w:r w:rsidRPr="008A2C89">
        <w:rPr>
          <w:rFonts w:eastAsia="TimesNewRoman"/>
          <w:b/>
          <w:bCs/>
          <w:sz w:val="22"/>
          <w:szCs w:val="22"/>
          <w:lang w:val="en-GB"/>
        </w:rPr>
        <w:t xml:space="preserve">, populacija predviđena za liječenje) – PALOMA3 studija (zaključno </w:t>
      </w:r>
      <w:proofErr w:type="gramStart"/>
      <w:r w:rsidRPr="008A2C89">
        <w:rPr>
          <w:rFonts w:eastAsia="TimesNewRoman"/>
          <w:b/>
          <w:bCs/>
          <w:sz w:val="22"/>
          <w:szCs w:val="22"/>
          <w:lang w:val="en-GB"/>
        </w:rPr>
        <w:t>sa</w:t>
      </w:r>
      <w:proofErr w:type="gramEnd"/>
      <w:r w:rsidRPr="008A2C89">
        <w:rPr>
          <w:rFonts w:eastAsia="TimesNewRoman"/>
          <w:b/>
          <w:bCs/>
          <w:sz w:val="22"/>
          <w:szCs w:val="22"/>
          <w:lang w:val="en-GB"/>
        </w:rPr>
        <w:t xml:space="preserve"> 23. oktobrom 2015.)</w:t>
      </w:r>
    </w:p>
    <w:p w14:paraId="44DC2059" w14:textId="77777777" w:rsidR="00354A3F" w:rsidRPr="008A2C89" w:rsidRDefault="000D3ADD" w:rsidP="000D3ADD">
      <w:pPr>
        <w:tabs>
          <w:tab w:val="left" w:pos="540"/>
          <w:tab w:val="left" w:pos="569"/>
        </w:tabs>
        <w:jc w:val="center"/>
        <w:rPr>
          <w:bCs/>
          <w:sz w:val="22"/>
          <w:szCs w:val="22"/>
        </w:rPr>
      </w:pPr>
      <w:r w:rsidRPr="008A2C89">
        <w:rPr>
          <w:noProof/>
        </w:rPr>
        <w:drawing>
          <wp:inline distT="0" distB="0" distL="0" distR="0" wp14:anchorId="4F45A905" wp14:editId="3E720A1F">
            <wp:extent cx="4803471" cy="353324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a:extLst>
                        <a:ext uri="{28A0092B-C50C-407E-A947-70E740481C1C}">
                          <a14:useLocalDpi xmlns:a14="http://schemas.microsoft.com/office/drawing/2010/main" val="0"/>
                        </a:ext>
                      </a:extLst>
                    </a:blip>
                    <a:srcRect t="1402" b="1807"/>
                    <a:stretch/>
                  </pic:blipFill>
                  <pic:spPr bwMode="auto">
                    <a:xfrm>
                      <a:off x="0" y="0"/>
                      <a:ext cx="4803775" cy="3533466"/>
                    </a:xfrm>
                    <a:prstGeom prst="rect">
                      <a:avLst/>
                    </a:prstGeom>
                    <a:noFill/>
                    <a:ln>
                      <a:noFill/>
                    </a:ln>
                    <a:extLst>
                      <a:ext uri="{53640926-AAD7-44D8-BBD7-CCE9431645EC}">
                        <a14:shadowObscured xmlns:a14="http://schemas.microsoft.com/office/drawing/2010/main"/>
                      </a:ext>
                    </a:extLst>
                  </pic:spPr>
                </pic:pic>
              </a:graphicData>
            </a:graphic>
          </wp:inline>
        </w:drawing>
      </w:r>
    </w:p>
    <w:p w14:paraId="4BD1BEDD" w14:textId="77777777" w:rsidR="000D3ADD" w:rsidRPr="008A2C89" w:rsidRDefault="000D3ADD" w:rsidP="000D3ADD">
      <w:pPr>
        <w:tabs>
          <w:tab w:val="left" w:pos="540"/>
          <w:tab w:val="left" w:pos="569"/>
        </w:tabs>
        <w:jc w:val="center"/>
        <w:rPr>
          <w:bCs/>
          <w:sz w:val="22"/>
          <w:szCs w:val="22"/>
        </w:rPr>
      </w:pPr>
    </w:p>
    <w:p w14:paraId="4893F788" w14:textId="77777777" w:rsidR="000D3ADD" w:rsidRPr="008A2C89" w:rsidRDefault="000D3ADD" w:rsidP="000D3ADD">
      <w:pPr>
        <w:autoSpaceDE w:val="0"/>
        <w:autoSpaceDN w:val="0"/>
        <w:adjustRightInd w:val="0"/>
        <w:spacing w:line="259" w:lineRule="auto"/>
        <w:jc w:val="both"/>
        <w:rPr>
          <w:rFonts w:eastAsia="TimesNewRoman,Bold"/>
          <w:iCs/>
          <w:sz w:val="22"/>
          <w:szCs w:val="22"/>
          <w:lang w:val="en-GB"/>
        </w:rPr>
      </w:pPr>
      <w:r w:rsidRPr="008A2C89">
        <w:rPr>
          <w:rFonts w:eastAsia="TimesNewRoman,Bold"/>
          <w:iCs/>
          <w:sz w:val="22"/>
          <w:szCs w:val="22"/>
          <w:lang w:val="en-GB"/>
        </w:rPr>
        <w:t xml:space="preserve">Smanjenje rizika </w:t>
      </w:r>
      <w:proofErr w:type="gramStart"/>
      <w:r w:rsidRPr="008A2C89">
        <w:rPr>
          <w:rFonts w:eastAsia="TimesNewRoman,Bold"/>
          <w:iCs/>
          <w:sz w:val="22"/>
          <w:szCs w:val="22"/>
          <w:lang w:val="en-GB"/>
        </w:rPr>
        <w:t>od</w:t>
      </w:r>
      <w:proofErr w:type="gramEnd"/>
      <w:r w:rsidRPr="008A2C89">
        <w:rPr>
          <w:rFonts w:eastAsia="TimesNewRoman,Bold"/>
          <w:iCs/>
          <w:sz w:val="22"/>
          <w:szCs w:val="22"/>
          <w:lang w:val="en-GB"/>
        </w:rPr>
        <w:t xml:space="preserve"> progresije bolesti ili smrti u grupi koja je primala fulvestrant plus palbociklib je zapažena kod svih pojedinačnih podgrupa pacijentkinja definisanih faktorima stratifikacije i osnovnim karakteristikama. Ovo je bilo očigledno za pre/perimenopauzalne žene (HR od 0,46 [95% CI: 0,28, 0,75]) i postmenopauzalne žene (HR od 0,52 [95% CI: 0,40, 0,66]), i pacijentkinje sa metastatskom bolešću visceralnog mjesta (HR od 0,50 [95% CI: 0,38, 0,65]) i metastatskom bolešću nevisceralnog mjesta (HR od 0,48 [95% CI: 0,33, 0,71]). Korist je takođe zapažena bez obzira na linije prethodne terapije u fazi metastaze, bilo da se radilo o 0 (HR od 0,59 [95% CI: 0,37, 0,93]), 1 (HR od 0,46 [95% CI: 0,32, 0,64]), 2 (HR od 0,48 [95% CI: 0,30, 0,76]), ili ≥3 linije (HR od 0,59 [95% CI: 0,28, 1,22]). </w:t>
      </w:r>
    </w:p>
    <w:p w14:paraId="6F8BEEAD" w14:textId="77777777" w:rsidR="000D3ADD" w:rsidRDefault="000D3ADD" w:rsidP="000D3ADD">
      <w:pPr>
        <w:autoSpaceDE w:val="0"/>
        <w:autoSpaceDN w:val="0"/>
        <w:adjustRightInd w:val="0"/>
        <w:spacing w:line="259" w:lineRule="auto"/>
        <w:jc w:val="both"/>
        <w:rPr>
          <w:rFonts w:eastAsia="TimesNewRoman,Bold"/>
          <w:iCs/>
          <w:sz w:val="22"/>
          <w:szCs w:val="22"/>
          <w:lang w:val="en-GB"/>
        </w:rPr>
      </w:pPr>
    </w:p>
    <w:p w14:paraId="78E3CBF4" w14:textId="608F16DE" w:rsidR="000D3ADD" w:rsidRPr="008A2C89" w:rsidRDefault="000D3ADD" w:rsidP="000D3ADD">
      <w:pPr>
        <w:autoSpaceDE w:val="0"/>
        <w:autoSpaceDN w:val="0"/>
        <w:adjustRightInd w:val="0"/>
        <w:spacing w:line="259" w:lineRule="auto"/>
        <w:jc w:val="both"/>
        <w:rPr>
          <w:rFonts w:eastAsia="TimesNewRoman"/>
          <w:b/>
          <w:bCs/>
          <w:sz w:val="22"/>
          <w:szCs w:val="22"/>
          <w:lang w:val="en-GB"/>
        </w:rPr>
      </w:pPr>
      <w:r w:rsidRPr="008A2C89">
        <w:rPr>
          <w:rFonts w:eastAsia="TimesNewRoman"/>
          <w:b/>
          <w:bCs/>
          <w:sz w:val="22"/>
          <w:szCs w:val="22"/>
          <w:lang w:val="en-GB"/>
        </w:rPr>
        <w:t xml:space="preserve">Slika 3. Kaplan-Meier kriva </w:t>
      </w:r>
      <w:r w:rsidR="009338F8">
        <w:rPr>
          <w:rFonts w:eastAsia="TimesNewRoman"/>
          <w:b/>
          <w:bCs/>
          <w:sz w:val="22"/>
          <w:szCs w:val="22"/>
          <w:lang w:val="en-GB"/>
        </w:rPr>
        <w:t>ukupnog preživljavanja</w:t>
      </w:r>
      <w:r w:rsidRPr="008A2C89">
        <w:rPr>
          <w:rFonts w:eastAsia="TimesNewRoman"/>
          <w:b/>
          <w:bCs/>
          <w:sz w:val="22"/>
          <w:szCs w:val="22"/>
          <w:lang w:val="en-GB"/>
        </w:rPr>
        <w:t xml:space="preserve"> (populacija predviđena za liječenje) – PALOMA3 studija (</w:t>
      </w:r>
      <w:r w:rsidR="009338F8">
        <w:rPr>
          <w:rFonts w:eastAsia="TimesNewRoman"/>
          <w:b/>
          <w:bCs/>
          <w:sz w:val="22"/>
          <w:szCs w:val="22"/>
          <w:lang w:val="en-GB"/>
        </w:rPr>
        <w:t>zaključni datum prikupljanja podataka:</w:t>
      </w:r>
      <w:r w:rsidRPr="008A2C89">
        <w:rPr>
          <w:rFonts w:eastAsia="TimesNewRoman"/>
          <w:b/>
          <w:bCs/>
          <w:sz w:val="22"/>
          <w:szCs w:val="22"/>
          <w:lang w:val="en-GB"/>
        </w:rPr>
        <w:t xml:space="preserve"> 13. </w:t>
      </w:r>
      <w:proofErr w:type="gramStart"/>
      <w:r w:rsidR="009338F8" w:rsidRPr="008A2C89">
        <w:rPr>
          <w:rFonts w:eastAsia="TimesNewRoman"/>
          <w:b/>
          <w:bCs/>
          <w:sz w:val="22"/>
          <w:szCs w:val="22"/>
          <w:lang w:val="en-GB"/>
        </w:rPr>
        <w:t>A</w:t>
      </w:r>
      <w:r w:rsidRPr="008A2C89">
        <w:rPr>
          <w:rFonts w:eastAsia="TimesNewRoman"/>
          <w:b/>
          <w:bCs/>
          <w:sz w:val="22"/>
          <w:szCs w:val="22"/>
          <w:lang w:val="en-GB"/>
        </w:rPr>
        <w:t>pril</w:t>
      </w:r>
      <w:r w:rsidR="009338F8">
        <w:rPr>
          <w:rFonts w:eastAsia="TimesNewRoman"/>
          <w:b/>
          <w:bCs/>
          <w:sz w:val="22"/>
          <w:szCs w:val="22"/>
          <w:lang w:val="en-GB"/>
        </w:rPr>
        <w:t xml:space="preserve"> </w:t>
      </w:r>
      <w:r w:rsidRPr="008A2C89">
        <w:rPr>
          <w:rFonts w:eastAsia="TimesNewRoman"/>
          <w:b/>
          <w:bCs/>
          <w:sz w:val="22"/>
          <w:szCs w:val="22"/>
          <w:lang w:val="en-GB"/>
        </w:rPr>
        <w:t xml:space="preserve"> 2018</w:t>
      </w:r>
      <w:proofErr w:type="gramEnd"/>
      <w:r w:rsidRPr="008A2C89">
        <w:rPr>
          <w:rFonts w:eastAsia="TimesNewRoman"/>
          <w:b/>
          <w:bCs/>
          <w:sz w:val="22"/>
          <w:szCs w:val="22"/>
          <w:lang w:val="en-GB"/>
        </w:rPr>
        <w:t>.)</w:t>
      </w:r>
    </w:p>
    <w:p w14:paraId="56145AEE" w14:textId="77777777" w:rsidR="000D3ADD" w:rsidRPr="008A2C89" w:rsidRDefault="000D3ADD" w:rsidP="000D3ADD">
      <w:pPr>
        <w:autoSpaceDE w:val="0"/>
        <w:autoSpaceDN w:val="0"/>
        <w:adjustRightInd w:val="0"/>
        <w:spacing w:line="259" w:lineRule="auto"/>
        <w:jc w:val="center"/>
        <w:rPr>
          <w:rFonts w:eastAsia="TimesNewRoman"/>
          <w:sz w:val="22"/>
          <w:szCs w:val="22"/>
          <w:lang w:val="en-GB"/>
        </w:rPr>
      </w:pPr>
      <w:r w:rsidRPr="008A2C89">
        <w:rPr>
          <w:rFonts w:eastAsia="TimesNewRoman"/>
          <w:noProof/>
          <w:sz w:val="22"/>
          <w:szCs w:val="22"/>
        </w:rPr>
        <w:drawing>
          <wp:inline distT="0" distB="0" distL="0" distR="0" wp14:anchorId="37FB10EB" wp14:editId="35C4D00D">
            <wp:extent cx="4936490" cy="3269894"/>
            <wp:effectExtent l="0" t="0" r="0" b="6985"/>
            <wp:docPr id="2" name="Picture 2" descr="C:\Users\andjela.rudovic\Desktop\Snimak ekrana 2022-09-20 18205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jela.rudovic\Desktop\Snimak ekrana 2022-09-20 182055-19.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145" t="2670" r="2029" b="12043"/>
                    <a:stretch/>
                  </pic:blipFill>
                  <pic:spPr bwMode="auto">
                    <a:xfrm>
                      <a:off x="0" y="0"/>
                      <a:ext cx="4939313" cy="3271764"/>
                    </a:xfrm>
                    <a:prstGeom prst="rect">
                      <a:avLst/>
                    </a:prstGeom>
                    <a:noFill/>
                    <a:ln>
                      <a:noFill/>
                    </a:ln>
                    <a:extLst>
                      <a:ext uri="{53640926-AAD7-44D8-BBD7-CCE9431645EC}">
                        <a14:shadowObscured xmlns:a14="http://schemas.microsoft.com/office/drawing/2010/main"/>
                      </a:ext>
                    </a:extLst>
                  </pic:spPr>
                </pic:pic>
              </a:graphicData>
            </a:graphic>
          </wp:inline>
        </w:drawing>
      </w:r>
    </w:p>
    <w:p w14:paraId="65F15013" w14:textId="77777777" w:rsidR="004E3079" w:rsidRDefault="000D24E4" w:rsidP="004E3079">
      <w:pPr>
        <w:autoSpaceDE w:val="0"/>
        <w:autoSpaceDN w:val="0"/>
        <w:adjustRightInd w:val="0"/>
        <w:spacing w:line="259" w:lineRule="auto"/>
        <w:jc w:val="both"/>
        <w:rPr>
          <w:rFonts w:eastAsia="TimesNewRoman,Bold"/>
          <w:iCs/>
          <w:sz w:val="22"/>
          <w:szCs w:val="22"/>
          <w:lang w:val="en-GB"/>
        </w:rPr>
      </w:pPr>
      <w:r>
        <w:rPr>
          <w:rFonts w:eastAsia="TimesNewRoman,Bold"/>
          <w:iCs/>
          <w:sz w:val="22"/>
          <w:szCs w:val="22"/>
          <w:lang w:val="en-GB"/>
        </w:rPr>
        <w:lastRenderedPageBreak/>
        <w:t>FUL = fulvestrant; PAL = palbociklib; PCB = placebo</w:t>
      </w:r>
    </w:p>
    <w:p w14:paraId="7599CD27" w14:textId="77777777" w:rsidR="000D24E4" w:rsidRPr="008A2C89" w:rsidRDefault="000D24E4" w:rsidP="004E3079">
      <w:pPr>
        <w:autoSpaceDE w:val="0"/>
        <w:autoSpaceDN w:val="0"/>
        <w:adjustRightInd w:val="0"/>
        <w:spacing w:line="259" w:lineRule="auto"/>
        <w:jc w:val="both"/>
        <w:rPr>
          <w:rFonts w:eastAsia="TimesNewRoman,Bold"/>
          <w:iCs/>
          <w:sz w:val="22"/>
          <w:szCs w:val="22"/>
          <w:lang w:val="en-GB"/>
        </w:rPr>
      </w:pPr>
    </w:p>
    <w:p w14:paraId="286052B9" w14:textId="77777777" w:rsidR="004E3079" w:rsidRPr="008A2C89" w:rsidRDefault="004E3079" w:rsidP="004E3079">
      <w:pPr>
        <w:autoSpaceDE w:val="0"/>
        <w:autoSpaceDN w:val="0"/>
        <w:adjustRightInd w:val="0"/>
        <w:spacing w:line="259" w:lineRule="auto"/>
        <w:jc w:val="both"/>
        <w:rPr>
          <w:rFonts w:eastAsia="TimesNewRoman,Bold"/>
          <w:iCs/>
          <w:sz w:val="22"/>
          <w:szCs w:val="22"/>
          <w:lang w:val="en-GB"/>
        </w:rPr>
      </w:pPr>
      <w:r w:rsidRPr="008A2C89">
        <w:rPr>
          <w:rFonts w:eastAsia="TimesNewRoman,Bold"/>
          <w:iCs/>
          <w:sz w:val="22"/>
          <w:szCs w:val="22"/>
          <w:lang w:val="en-GB"/>
        </w:rPr>
        <w:t xml:space="preserve">Dodatne mjere efikasnosti (OR i TTR) procijenjene u podgrupi pacijentkinja </w:t>
      </w:r>
      <w:proofErr w:type="gramStart"/>
      <w:r w:rsidRPr="008A2C89">
        <w:rPr>
          <w:rFonts w:eastAsia="TimesNewRoman,Bold"/>
          <w:iCs/>
          <w:sz w:val="22"/>
          <w:szCs w:val="22"/>
          <w:lang w:val="en-GB"/>
        </w:rPr>
        <w:t>sa</w:t>
      </w:r>
      <w:proofErr w:type="gramEnd"/>
      <w:r w:rsidRPr="008A2C89">
        <w:rPr>
          <w:rFonts w:eastAsia="TimesNewRoman,Bold"/>
          <w:iCs/>
          <w:sz w:val="22"/>
          <w:szCs w:val="22"/>
          <w:lang w:val="en-GB"/>
        </w:rPr>
        <w:t xml:space="preserve"> ili bez visceralne bolesti su prikazane u Tabeli 6.</w:t>
      </w:r>
    </w:p>
    <w:p w14:paraId="125238EF" w14:textId="77777777" w:rsidR="004E3079" w:rsidRPr="008A2C89" w:rsidRDefault="004E3079" w:rsidP="004E3079">
      <w:pPr>
        <w:autoSpaceDE w:val="0"/>
        <w:autoSpaceDN w:val="0"/>
        <w:adjustRightInd w:val="0"/>
        <w:spacing w:line="259" w:lineRule="auto"/>
        <w:jc w:val="both"/>
        <w:rPr>
          <w:rFonts w:eastAsia="TimesNewRoman,Bold"/>
          <w:b/>
          <w:bCs/>
          <w:iCs/>
          <w:sz w:val="22"/>
          <w:szCs w:val="22"/>
          <w:lang w:val="en-GB"/>
        </w:rPr>
      </w:pPr>
    </w:p>
    <w:p w14:paraId="0E921800" w14:textId="6C6D3835" w:rsidR="003B648D" w:rsidRPr="008A2C89" w:rsidRDefault="004E3079" w:rsidP="004E3079">
      <w:pPr>
        <w:autoSpaceDE w:val="0"/>
        <w:autoSpaceDN w:val="0"/>
        <w:adjustRightInd w:val="0"/>
        <w:spacing w:line="259" w:lineRule="auto"/>
        <w:jc w:val="both"/>
        <w:rPr>
          <w:rFonts w:eastAsia="TimesNewRoman,Bold"/>
          <w:b/>
          <w:bCs/>
          <w:iCs/>
          <w:sz w:val="22"/>
          <w:szCs w:val="22"/>
          <w:lang w:val="en-GB"/>
        </w:rPr>
      </w:pPr>
      <w:r w:rsidRPr="008A2C89">
        <w:rPr>
          <w:rFonts w:eastAsia="TimesNewRoman,Bold"/>
          <w:b/>
          <w:bCs/>
          <w:iCs/>
          <w:sz w:val="22"/>
          <w:szCs w:val="22"/>
          <w:lang w:val="en-GB"/>
        </w:rPr>
        <w:t>Tabela 6 Rezultati efikasnosti u visceralnoj i nevisceralnoj bolesti iz studije PALOMA3 (populacija predviđena za liječenje)</w:t>
      </w:r>
    </w:p>
    <w:p w14:paraId="15AF6B2E" w14:textId="77777777" w:rsidR="004E3079" w:rsidRPr="008A2C89" w:rsidRDefault="004E3079" w:rsidP="004E3079">
      <w:pPr>
        <w:autoSpaceDE w:val="0"/>
        <w:autoSpaceDN w:val="0"/>
        <w:adjustRightInd w:val="0"/>
        <w:spacing w:line="259" w:lineRule="auto"/>
        <w:jc w:val="both"/>
        <w:rPr>
          <w:rFonts w:eastAsia="TimesNewRoman,Bold"/>
          <w:b/>
          <w:bCs/>
          <w:iCs/>
          <w:sz w:val="22"/>
          <w:szCs w:val="22"/>
          <w:lang w:val="en-GB"/>
        </w:rPr>
      </w:pPr>
    </w:p>
    <w:tbl>
      <w:tblPr>
        <w:tblW w:w="9064"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2074"/>
        <w:gridCol w:w="1889"/>
        <w:gridCol w:w="1559"/>
        <w:gridCol w:w="1842"/>
        <w:gridCol w:w="1700"/>
      </w:tblGrid>
      <w:tr w:rsidR="004E3079" w:rsidRPr="008A2C89" w14:paraId="6A85C5D2" w14:textId="77777777" w:rsidTr="004E3079">
        <w:tc>
          <w:tcPr>
            <w:tcW w:w="1144" w:type="pct"/>
            <w:vMerge w:val="restart"/>
            <w:tcBorders>
              <w:top w:val="outset" w:sz="6" w:space="0" w:color="7B7B7B"/>
              <w:left w:val="outset" w:sz="6" w:space="0" w:color="7B7B7B"/>
              <w:right w:val="outset" w:sz="6" w:space="0" w:color="7B7B7B"/>
            </w:tcBorders>
            <w:shd w:val="clear" w:color="auto" w:fill="auto"/>
          </w:tcPr>
          <w:p w14:paraId="05AF7983" w14:textId="77777777" w:rsidR="004E3079" w:rsidRPr="008A2C89" w:rsidRDefault="004E3079" w:rsidP="004E3079">
            <w:pPr>
              <w:autoSpaceDE w:val="0"/>
              <w:autoSpaceDN w:val="0"/>
              <w:adjustRightInd w:val="0"/>
              <w:spacing w:line="259" w:lineRule="auto"/>
              <w:rPr>
                <w:rFonts w:eastAsia="TimesNewRoman,Bold"/>
                <w:iCs/>
                <w:sz w:val="22"/>
                <w:szCs w:val="22"/>
                <w:lang w:val="en-GB"/>
              </w:rPr>
            </w:pPr>
          </w:p>
        </w:tc>
        <w:tc>
          <w:tcPr>
            <w:tcW w:w="1902" w:type="pct"/>
            <w:gridSpan w:val="2"/>
            <w:tcBorders>
              <w:top w:val="outset" w:sz="6" w:space="0" w:color="7B7B7B"/>
              <w:left w:val="outset" w:sz="6" w:space="0" w:color="7B7B7B"/>
              <w:bottom w:val="outset" w:sz="6" w:space="0" w:color="7B7B7B"/>
              <w:right w:val="outset" w:sz="6" w:space="0" w:color="7B7B7B"/>
            </w:tcBorders>
            <w:shd w:val="clear" w:color="auto" w:fill="auto"/>
          </w:tcPr>
          <w:p w14:paraId="37D55A1A" w14:textId="77777777" w:rsidR="004E3079" w:rsidRPr="008A2C89" w:rsidRDefault="004E3079" w:rsidP="004E3079">
            <w:pPr>
              <w:autoSpaceDE w:val="0"/>
              <w:autoSpaceDN w:val="0"/>
              <w:adjustRightInd w:val="0"/>
              <w:spacing w:line="259" w:lineRule="auto"/>
              <w:jc w:val="center"/>
              <w:rPr>
                <w:rFonts w:eastAsia="TimesNewRoman,Bold"/>
                <w:b/>
                <w:bCs/>
                <w:iCs/>
                <w:sz w:val="22"/>
                <w:szCs w:val="22"/>
                <w:lang w:val="en-GB"/>
              </w:rPr>
            </w:pPr>
            <w:r w:rsidRPr="008A2C89">
              <w:rPr>
                <w:rFonts w:eastAsia="TimesNewRoman,Bold"/>
                <w:b/>
                <w:bCs/>
                <w:iCs/>
                <w:sz w:val="22"/>
                <w:szCs w:val="22"/>
                <w:lang w:val="en-GB"/>
              </w:rPr>
              <w:t>Visceralna bolest</w:t>
            </w:r>
          </w:p>
        </w:tc>
        <w:tc>
          <w:tcPr>
            <w:tcW w:w="1954" w:type="pct"/>
            <w:gridSpan w:val="2"/>
            <w:tcBorders>
              <w:top w:val="outset" w:sz="6" w:space="0" w:color="7B7B7B"/>
              <w:left w:val="outset" w:sz="6" w:space="0" w:color="7B7B7B"/>
              <w:bottom w:val="outset" w:sz="6" w:space="0" w:color="7B7B7B"/>
              <w:right w:val="outset" w:sz="6" w:space="0" w:color="7B7B7B"/>
            </w:tcBorders>
            <w:shd w:val="clear" w:color="auto" w:fill="auto"/>
          </w:tcPr>
          <w:p w14:paraId="0EEE642D" w14:textId="77777777" w:rsidR="004E3079" w:rsidRPr="008A2C89" w:rsidRDefault="004E3079" w:rsidP="004E3079">
            <w:pPr>
              <w:autoSpaceDE w:val="0"/>
              <w:autoSpaceDN w:val="0"/>
              <w:adjustRightInd w:val="0"/>
              <w:spacing w:line="259" w:lineRule="auto"/>
              <w:jc w:val="center"/>
              <w:rPr>
                <w:rFonts w:eastAsia="TimesNewRoman,Bold"/>
                <w:b/>
                <w:bCs/>
                <w:iCs/>
                <w:sz w:val="22"/>
                <w:szCs w:val="22"/>
                <w:lang w:val="en-GB"/>
              </w:rPr>
            </w:pPr>
            <w:r w:rsidRPr="008A2C89">
              <w:rPr>
                <w:rFonts w:eastAsia="TimesNewRoman,Bold"/>
                <w:b/>
                <w:bCs/>
                <w:iCs/>
                <w:sz w:val="22"/>
                <w:szCs w:val="22"/>
                <w:lang w:val="en-GB"/>
              </w:rPr>
              <w:t>Nevisceralna bolest</w:t>
            </w:r>
          </w:p>
        </w:tc>
      </w:tr>
      <w:tr w:rsidR="004E3079" w:rsidRPr="008A2C89" w14:paraId="5290B761" w14:textId="77777777" w:rsidTr="004E3079">
        <w:trPr>
          <w:trHeight w:val="620"/>
        </w:trPr>
        <w:tc>
          <w:tcPr>
            <w:tcW w:w="1144" w:type="pct"/>
            <w:vMerge/>
            <w:tcBorders>
              <w:left w:val="outset" w:sz="6" w:space="0" w:color="7B7B7B"/>
              <w:bottom w:val="outset" w:sz="6" w:space="0" w:color="7B7B7B"/>
              <w:right w:val="outset" w:sz="6" w:space="0" w:color="7B7B7B"/>
            </w:tcBorders>
            <w:shd w:val="clear" w:color="auto" w:fill="auto"/>
            <w:hideMark/>
          </w:tcPr>
          <w:p w14:paraId="29030153" w14:textId="77777777" w:rsidR="004E3079" w:rsidRPr="008A2C89" w:rsidRDefault="004E3079" w:rsidP="004E3079">
            <w:pPr>
              <w:autoSpaceDE w:val="0"/>
              <w:autoSpaceDN w:val="0"/>
              <w:adjustRightInd w:val="0"/>
              <w:spacing w:line="259" w:lineRule="auto"/>
              <w:rPr>
                <w:rFonts w:eastAsia="TimesNewRoman,Bold"/>
                <w:iCs/>
                <w:sz w:val="22"/>
                <w:szCs w:val="22"/>
                <w:lang w:val="en-GB"/>
              </w:rPr>
            </w:pPr>
          </w:p>
        </w:tc>
        <w:tc>
          <w:tcPr>
            <w:tcW w:w="1042" w:type="pct"/>
            <w:tcBorders>
              <w:top w:val="outset" w:sz="6" w:space="0" w:color="7B7B7B"/>
              <w:left w:val="outset" w:sz="6" w:space="0" w:color="7B7B7B"/>
              <w:bottom w:val="outset" w:sz="6" w:space="0" w:color="7B7B7B"/>
              <w:right w:val="outset" w:sz="6" w:space="0" w:color="7B7B7B"/>
            </w:tcBorders>
            <w:shd w:val="clear" w:color="auto" w:fill="auto"/>
            <w:hideMark/>
          </w:tcPr>
          <w:p w14:paraId="7356A68A"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b/>
                <w:bCs/>
                <w:iCs/>
                <w:sz w:val="22"/>
                <w:szCs w:val="22"/>
                <w:lang w:val="en-GB"/>
              </w:rPr>
              <w:t>Fulvestrant plus palbociklib</w:t>
            </w:r>
          </w:p>
          <w:p w14:paraId="5E3FF0B8"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b/>
                <w:bCs/>
                <w:iCs/>
                <w:sz w:val="22"/>
                <w:szCs w:val="22"/>
                <w:lang w:val="en-GB"/>
              </w:rPr>
              <w:t>(N=206)</w:t>
            </w:r>
          </w:p>
        </w:tc>
        <w:tc>
          <w:tcPr>
            <w:tcW w:w="860" w:type="pct"/>
            <w:tcBorders>
              <w:top w:val="outset" w:sz="6" w:space="0" w:color="7B7B7B"/>
              <w:left w:val="outset" w:sz="6" w:space="0" w:color="7B7B7B"/>
              <w:bottom w:val="outset" w:sz="6" w:space="0" w:color="7B7B7B"/>
              <w:right w:val="outset" w:sz="6" w:space="0" w:color="7B7B7B"/>
            </w:tcBorders>
            <w:shd w:val="clear" w:color="auto" w:fill="auto"/>
            <w:hideMark/>
          </w:tcPr>
          <w:p w14:paraId="5602B4F5"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b/>
                <w:bCs/>
                <w:iCs/>
                <w:sz w:val="22"/>
                <w:szCs w:val="22"/>
                <w:lang w:val="en-GB"/>
              </w:rPr>
              <w:t>Fulvestrant plus placebo</w:t>
            </w:r>
          </w:p>
          <w:p w14:paraId="40E50D58"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b/>
                <w:bCs/>
                <w:iCs/>
                <w:sz w:val="22"/>
                <w:szCs w:val="22"/>
                <w:lang w:val="en-GB"/>
              </w:rPr>
              <w:t>(N=105)</w:t>
            </w:r>
          </w:p>
        </w:tc>
        <w:tc>
          <w:tcPr>
            <w:tcW w:w="1016" w:type="pct"/>
            <w:tcBorders>
              <w:top w:val="outset" w:sz="6" w:space="0" w:color="7B7B7B"/>
              <w:left w:val="outset" w:sz="6" w:space="0" w:color="7B7B7B"/>
              <w:bottom w:val="outset" w:sz="6" w:space="0" w:color="7B7B7B"/>
              <w:right w:val="outset" w:sz="6" w:space="0" w:color="7B7B7B"/>
            </w:tcBorders>
            <w:shd w:val="clear" w:color="auto" w:fill="auto"/>
            <w:hideMark/>
          </w:tcPr>
          <w:p w14:paraId="2E3DC9DA"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b/>
                <w:bCs/>
                <w:iCs/>
                <w:sz w:val="22"/>
                <w:szCs w:val="22"/>
                <w:lang w:val="en-GB"/>
              </w:rPr>
              <w:t>Fulvestrant plus palbociklib</w:t>
            </w:r>
          </w:p>
          <w:p w14:paraId="137584B8"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b/>
                <w:bCs/>
                <w:iCs/>
                <w:sz w:val="22"/>
                <w:szCs w:val="22"/>
                <w:lang w:val="en-GB"/>
              </w:rPr>
              <w:t>(N=141)</w:t>
            </w:r>
          </w:p>
        </w:tc>
        <w:tc>
          <w:tcPr>
            <w:tcW w:w="938" w:type="pct"/>
            <w:tcBorders>
              <w:top w:val="outset" w:sz="6" w:space="0" w:color="7B7B7B"/>
              <w:left w:val="outset" w:sz="6" w:space="0" w:color="7B7B7B"/>
              <w:bottom w:val="outset" w:sz="6" w:space="0" w:color="7B7B7B"/>
              <w:right w:val="outset" w:sz="6" w:space="0" w:color="7B7B7B"/>
            </w:tcBorders>
            <w:shd w:val="clear" w:color="auto" w:fill="auto"/>
            <w:hideMark/>
          </w:tcPr>
          <w:p w14:paraId="1E713620"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b/>
                <w:bCs/>
                <w:iCs/>
                <w:sz w:val="22"/>
                <w:szCs w:val="22"/>
                <w:lang w:val="en-GB"/>
              </w:rPr>
              <w:t>Fulvestrant  plus placebo</w:t>
            </w:r>
          </w:p>
          <w:p w14:paraId="783634B3"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b/>
                <w:bCs/>
                <w:iCs/>
                <w:sz w:val="22"/>
                <w:szCs w:val="22"/>
                <w:lang w:val="en-GB"/>
              </w:rPr>
              <w:t>(N=69)</w:t>
            </w:r>
          </w:p>
        </w:tc>
      </w:tr>
      <w:tr w:rsidR="004E3079" w:rsidRPr="008A2C89" w14:paraId="0235F187" w14:textId="77777777" w:rsidTr="004E3079">
        <w:tc>
          <w:tcPr>
            <w:tcW w:w="1144" w:type="pct"/>
            <w:tcBorders>
              <w:top w:val="outset" w:sz="6" w:space="0" w:color="7B7B7B"/>
              <w:left w:val="outset" w:sz="6" w:space="0" w:color="7B7B7B"/>
              <w:bottom w:val="outset" w:sz="6" w:space="0" w:color="7B7B7B"/>
              <w:right w:val="outset" w:sz="6" w:space="0" w:color="7B7B7B"/>
            </w:tcBorders>
            <w:shd w:val="clear" w:color="auto" w:fill="auto"/>
            <w:hideMark/>
          </w:tcPr>
          <w:p w14:paraId="14D7E3ED" w14:textId="77777777" w:rsidR="004E3079" w:rsidRPr="008A2C89" w:rsidRDefault="004E3079" w:rsidP="004E3079">
            <w:pPr>
              <w:autoSpaceDE w:val="0"/>
              <w:autoSpaceDN w:val="0"/>
              <w:adjustRightInd w:val="0"/>
              <w:spacing w:line="259" w:lineRule="auto"/>
              <w:rPr>
                <w:rFonts w:eastAsia="TimesNewRoman,Bold"/>
                <w:iCs/>
                <w:sz w:val="22"/>
                <w:szCs w:val="22"/>
                <w:lang w:val="en-GB"/>
              </w:rPr>
            </w:pPr>
            <w:r w:rsidRPr="008A2C89">
              <w:rPr>
                <w:rFonts w:eastAsia="TimesNewRoman,Bold"/>
                <w:b/>
                <w:bCs/>
                <w:iCs/>
                <w:sz w:val="22"/>
                <w:szCs w:val="22"/>
                <w:lang w:val="en-GB"/>
              </w:rPr>
              <w:t>OR [% (95% CI)]</w:t>
            </w:r>
          </w:p>
        </w:tc>
        <w:tc>
          <w:tcPr>
            <w:tcW w:w="1042" w:type="pct"/>
            <w:tcBorders>
              <w:top w:val="outset" w:sz="6" w:space="0" w:color="7B7B7B"/>
              <w:left w:val="outset" w:sz="6" w:space="0" w:color="7B7B7B"/>
              <w:bottom w:val="outset" w:sz="6" w:space="0" w:color="7B7B7B"/>
              <w:right w:val="outset" w:sz="6" w:space="0" w:color="7B7B7B"/>
            </w:tcBorders>
            <w:shd w:val="clear" w:color="auto" w:fill="auto"/>
            <w:hideMark/>
          </w:tcPr>
          <w:p w14:paraId="394FACDA"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35,0</w:t>
            </w:r>
          </w:p>
          <w:p w14:paraId="40A6F20D"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(28,5, 41,9)</w:t>
            </w:r>
          </w:p>
        </w:tc>
        <w:tc>
          <w:tcPr>
            <w:tcW w:w="860" w:type="pct"/>
            <w:tcBorders>
              <w:top w:val="outset" w:sz="6" w:space="0" w:color="7B7B7B"/>
              <w:left w:val="outset" w:sz="6" w:space="0" w:color="7B7B7B"/>
              <w:bottom w:val="outset" w:sz="6" w:space="0" w:color="7B7B7B"/>
              <w:right w:val="outset" w:sz="6" w:space="0" w:color="7B7B7B"/>
            </w:tcBorders>
            <w:shd w:val="clear" w:color="auto" w:fill="auto"/>
            <w:hideMark/>
          </w:tcPr>
          <w:p w14:paraId="5FA0A1CE"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13,3</w:t>
            </w:r>
          </w:p>
          <w:p w14:paraId="306C47CF"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(7,5, 21,4)</w:t>
            </w:r>
          </w:p>
        </w:tc>
        <w:tc>
          <w:tcPr>
            <w:tcW w:w="1016" w:type="pct"/>
            <w:tcBorders>
              <w:top w:val="outset" w:sz="6" w:space="0" w:color="7B7B7B"/>
              <w:left w:val="outset" w:sz="6" w:space="0" w:color="7B7B7B"/>
              <w:bottom w:val="outset" w:sz="6" w:space="0" w:color="7B7B7B"/>
              <w:right w:val="outset" w:sz="6" w:space="0" w:color="7B7B7B"/>
            </w:tcBorders>
            <w:shd w:val="clear" w:color="auto" w:fill="auto"/>
            <w:hideMark/>
          </w:tcPr>
          <w:p w14:paraId="450BA039"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13,5</w:t>
            </w:r>
          </w:p>
          <w:p w14:paraId="6A0E843E"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(8,3, 20,2)</w:t>
            </w:r>
          </w:p>
        </w:tc>
        <w:tc>
          <w:tcPr>
            <w:tcW w:w="938" w:type="pct"/>
            <w:tcBorders>
              <w:top w:val="outset" w:sz="6" w:space="0" w:color="7B7B7B"/>
              <w:left w:val="outset" w:sz="6" w:space="0" w:color="7B7B7B"/>
              <w:bottom w:val="outset" w:sz="6" w:space="0" w:color="7B7B7B"/>
              <w:right w:val="outset" w:sz="6" w:space="0" w:color="7B7B7B"/>
            </w:tcBorders>
            <w:shd w:val="clear" w:color="auto" w:fill="auto"/>
            <w:hideMark/>
          </w:tcPr>
          <w:p w14:paraId="49F4410C"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14,5</w:t>
            </w:r>
          </w:p>
          <w:p w14:paraId="3A70533C"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(7,2, 25,0)</w:t>
            </w:r>
          </w:p>
        </w:tc>
      </w:tr>
      <w:tr w:rsidR="004E3079" w:rsidRPr="008A2C89" w14:paraId="2E8BC752" w14:textId="77777777" w:rsidTr="004E3079">
        <w:tc>
          <w:tcPr>
            <w:tcW w:w="1144" w:type="pct"/>
            <w:tcBorders>
              <w:top w:val="outset" w:sz="6" w:space="0" w:color="7B7B7B"/>
              <w:left w:val="outset" w:sz="6" w:space="0" w:color="7B7B7B"/>
              <w:bottom w:val="outset" w:sz="6" w:space="0" w:color="7B7B7B"/>
              <w:right w:val="outset" w:sz="6" w:space="0" w:color="7B7B7B"/>
            </w:tcBorders>
            <w:shd w:val="clear" w:color="auto" w:fill="auto"/>
            <w:hideMark/>
          </w:tcPr>
          <w:p w14:paraId="6A7F7B84" w14:textId="77777777" w:rsidR="004E3079" w:rsidRPr="008A2C89" w:rsidRDefault="004E3079" w:rsidP="004E3079">
            <w:pPr>
              <w:autoSpaceDE w:val="0"/>
              <w:autoSpaceDN w:val="0"/>
              <w:adjustRightInd w:val="0"/>
              <w:spacing w:line="259" w:lineRule="auto"/>
              <w:rPr>
                <w:rFonts w:eastAsia="TimesNewRoman,Bold"/>
                <w:iCs/>
                <w:sz w:val="22"/>
                <w:szCs w:val="22"/>
                <w:lang w:val="en-GB"/>
              </w:rPr>
            </w:pPr>
            <w:r w:rsidRPr="008A2C89">
              <w:rPr>
                <w:rFonts w:eastAsia="TimesNewRoman,Bold"/>
                <w:b/>
                <w:bCs/>
                <w:iCs/>
                <w:sz w:val="22"/>
                <w:szCs w:val="22"/>
                <w:lang w:val="en-GB"/>
              </w:rPr>
              <w:t>TTR*, Medijana</w:t>
            </w:r>
          </w:p>
          <w:p w14:paraId="37B26EFE" w14:textId="77777777" w:rsidR="004E3079" w:rsidRPr="008A2C89" w:rsidRDefault="004E3079" w:rsidP="004E3079">
            <w:pPr>
              <w:autoSpaceDE w:val="0"/>
              <w:autoSpaceDN w:val="0"/>
              <w:adjustRightInd w:val="0"/>
              <w:spacing w:line="259" w:lineRule="auto"/>
              <w:rPr>
                <w:rFonts w:eastAsia="TimesNewRoman,Bold"/>
                <w:iCs/>
                <w:sz w:val="22"/>
                <w:szCs w:val="22"/>
                <w:lang w:val="en-GB"/>
              </w:rPr>
            </w:pPr>
            <w:r w:rsidRPr="008A2C89">
              <w:rPr>
                <w:rFonts w:eastAsia="TimesNewRoman,Bold"/>
                <w:b/>
                <w:bCs/>
                <w:iCs/>
                <w:sz w:val="22"/>
                <w:szCs w:val="22"/>
                <w:lang w:val="en-GB"/>
              </w:rPr>
              <w:t>[mjeseci (opseg)]</w:t>
            </w:r>
          </w:p>
        </w:tc>
        <w:tc>
          <w:tcPr>
            <w:tcW w:w="1042" w:type="pct"/>
            <w:tcBorders>
              <w:top w:val="outset" w:sz="6" w:space="0" w:color="7B7B7B"/>
              <w:left w:val="outset" w:sz="6" w:space="0" w:color="7B7B7B"/>
              <w:bottom w:val="outset" w:sz="6" w:space="0" w:color="7B7B7B"/>
              <w:right w:val="outset" w:sz="6" w:space="0" w:color="7B7B7B"/>
            </w:tcBorders>
            <w:shd w:val="clear" w:color="auto" w:fill="auto"/>
            <w:hideMark/>
          </w:tcPr>
          <w:p w14:paraId="5358D04D"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3,8</w:t>
            </w:r>
          </w:p>
          <w:p w14:paraId="113C057F"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(3,5, 16,7)</w:t>
            </w:r>
          </w:p>
        </w:tc>
        <w:tc>
          <w:tcPr>
            <w:tcW w:w="860" w:type="pct"/>
            <w:tcBorders>
              <w:top w:val="outset" w:sz="6" w:space="0" w:color="7B7B7B"/>
              <w:left w:val="outset" w:sz="6" w:space="0" w:color="7B7B7B"/>
              <w:bottom w:val="outset" w:sz="6" w:space="0" w:color="7B7B7B"/>
              <w:right w:val="outset" w:sz="6" w:space="0" w:color="7B7B7B"/>
            </w:tcBorders>
            <w:shd w:val="clear" w:color="auto" w:fill="auto"/>
            <w:hideMark/>
          </w:tcPr>
          <w:p w14:paraId="46ABA5B7"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5,4</w:t>
            </w:r>
          </w:p>
          <w:p w14:paraId="42012962"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(3,5, 16,7)</w:t>
            </w:r>
          </w:p>
        </w:tc>
        <w:tc>
          <w:tcPr>
            <w:tcW w:w="1016" w:type="pct"/>
            <w:tcBorders>
              <w:top w:val="outset" w:sz="6" w:space="0" w:color="7B7B7B"/>
              <w:left w:val="outset" w:sz="6" w:space="0" w:color="7B7B7B"/>
              <w:bottom w:val="outset" w:sz="6" w:space="0" w:color="7B7B7B"/>
              <w:right w:val="outset" w:sz="6" w:space="0" w:color="7B7B7B"/>
            </w:tcBorders>
            <w:shd w:val="clear" w:color="auto" w:fill="auto"/>
            <w:hideMark/>
          </w:tcPr>
          <w:p w14:paraId="419D6E84"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3,7</w:t>
            </w:r>
          </w:p>
          <w:p w14:paraId="4FA59698"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(1,9, 13,7)</w:t>
            </w:r>
          </w:p>
        </w:tc>
        <w:tc>
          <w:tcPr>
            <w:tcW w:w="938" w:type="pct"/>
            <w:tcBorders>
              <w:top w:val="outset" w:sz="6" w:space="0" w:color="7B7B7B"/>
              <w:left w:val="outset" w:sz="6" w:space="0" w:color="7B7B7B"/>
              <w:bottom w:val="outset" w:sz="6" w:space="0" w:color="7B7B7B"/>
              <w:right w:val="outset" w:sz="6" w:space="0" w:color="7B7B7B"/>
            </w:tcBorders>
            <w:shd w:val="clear" w:color="auto" w:fill="auto"/>
            <w:hideMark/>
          </w:tcPr>
          <w:p w14:paraId="1E8F1A7D"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3,6</w:t>
            </w:r>
          </w:p>
          <w:p w14:paraId="72F7FC02" w14:textId="77777777" w:rsidR="004E3079" w:rsidRPr="008A2C89" w:rsidRDefault="004E3079" w:rsidP="004E3079">
            <w:pPr>
              <w:autoSpaceDE w:val="0"/>
              <w:autoSpaceDN w:val="0"/>
              <w:adjustRightInd w:val="0"/>
              <w:spacing w:line="259" w:lineRule="auto"/>
              <w:jc w:val="center"/>
              <w:rPr>
                <w:rFonts w:eastAsia="TimesNewRoman,Bold"/>
                <w:iCs/>
                <w:sz w:val="22"/>
                <w:szCs w:val="22"/>
                <w:lang w:val="en-GB"/>
              </w:rPr>
            </w:pPr>
            <w:r w:rsidRPr="008A2C89">
              <w:rPr>
                <w:rFonts w:eastAsia="TimesNewRoman,Bold"/>
                <w:iCs/>
                <w:sz w:val="22"/>
                <w:szCs w:val="22"/>
                <w:lang w:val="en-GB"/>
              </w:rPr>
              <w:t>(3,4, 3,7)</w:t>
            </w:r>
          </w:p>
        </w:tc>
      </w:tr>
    </w:tbl>
    <w:p w14:paraId="436A7286" w14:textId="77777777" w:rsidR="004E3079" w:rsidRPr="00AE5D50" w:rsidRDefault="004E3079" w:rsidP="004E3079">
      <w:pPr>
        <w:autoSpaceDE w:val="0"/>
        <w:autoSpaceDN w:val="0"/>
        <w:adjustRightInd w:val="0"/>
        <w:spacing w:line="259" w:lineRule="auto"/>
        <w:jc w:val="both"/>
        <w:rPr>
          <w:rFonts w:eastAsia="TimesNewRoman,Bold"/>
          <w:iCs/>
          <w:sz w:val="20"/>
          <w:szCs w:val="22"/>
          <w:lang w:val="en-GB"/>
        </w:rPr>
      </w:pPr>
      <w:r w:rsidRPr="00AE5D50">
        <w:rPr>
          <w:rFonts w:eastAsia="TimesNewRoman,Bold"/>
          <w:iCs/>
          <w:sz w:val="20"/>
          <w:szCs w:val="22"/>
          <w:lang w:val="en-GB"/>
        </w:rPr>
        <w:t xml:space="preserve">*Rezultati odgovora zasnovani </w:t>
      </w:r>
      <w:proofErr w:type="gramStart"/>
      <w:r w:rsidRPr="00AE5D50">
        <w:rPr>
          <w:rFonts w:eastAsia="TimesNewRoman,Bold"/>
          <w:iCs/>
          <w:sz w:val="20"/>
          <w:szCs w:val="22"/>
          <w:lang w:val="en-GB"/>
        </w:rPr>
        <w:t>na</w:t>
      </w:r>
      <w:proofErr w:type="gramEnd"/>
      <w:r w:rsidRPr="00AE5D50">
        <w:rPr>
          <w:rFonts w:eastAsia="TimesNewRoman,Bold"/>
          <w:iCs/>
          <w:sz w:val="20"/>
          <w:szCs w:val="22"/>
          <w:lang w:val="en-GB"/>
        </w:rPr>
        <w:t xml:space="preserve"> potvrđenim i nepotvrđenim odgovorima.</w:t>
      </w:r>
    </w:p>
    <w:p w14:paraId="65B8616F" w14:textId="77777777" w:rsidR="004E3079" w:rsidRPr="00AE5D50" w:rsidRDefault="004E3079" w:rsidP="004E3079">
      <w:pPr>
        <w:autoSpaceDE w:val="0"/>
        <w:autoSpaceDN w:val="0"/>
        <w:adjustRightInd w:val="0"/>
        <w:spacing w:line="259" w:lineRule="auto"/>
        <w:jc w:val="both"/>
        <w:rPr>
          <w:rFonts w:eastAsia="TimesNewRoman,Bold"/>
          <w:iCs/>
          <w:sz w:val="20"/>
          <w:szCs w:val="22"/>
          <w:lang w:val="en-GB"/>
        </w:rPr>
      </w:pPr>
      <w:r w:rsidRPr="00AE5D50">
        <w:rPr>
          <w:rFonts w:eastAsia="TimesNewRoman,Bold"/>
          <w:iCs/>
          <w:sz w:val="20"/>
          <w:szCs w:val="22"/>
          <w:lang w:val="en-GB"/>
        </w:rPr>
        <w:t>N=broj pacijenata; CI=interval povjerenja; OR= objektivni odgovor; TTR=vrijeme do prvog tumorskog odgovora.</w:t>
      </w:r>
    </w:p>
    <w:p w14:paraId="6D7EC899" w14:textId="77777777" w:rsidR="004E3079" w:rsidRPr="008A2C89" w:rsidRDefault="004E3079" w:rsidP="004E3079">
      <w:pPr>
        <w:autoSpaceDE w:val="0"/>
        <w:autoSpaceDN w:val="0"/>
        <w:adjustRightInd w:val="0"/>
        <w:spacing w:line="259" w:lineRule="auto"/>
        <w:jc w:val="both"/>
        <w:rPr>
          <w:rFonts w:eastAsia="TimesNewRoman,Bold"/>
          <w:iCs/>
          <w:sz w:val="22"/>
          <w:szCs w:val="22"/>
          <w:lang w:val="en-GB"/>
        </w:rPr>
      </w:pPr>
    </w:p>
    <w:p w14:paraId="33E2774A" w14:textId="77777777" w:rsidR="004E3079" w:rsidRPr="008A2C89" w:rsidRDefault="004E3079" w:rsidP="004E3079">
      <w:pPr>
        <w:autoSpaceDE w:val="0"/>
        <w:autoSpaceDN w:val="0"/>
        <w:adjustRightInd w:val="0"/>
        <w:spacing w:line="259" w:lineRule="auto"/>
        <w:jc w:val="both"/>
        <w:rPr>
          <w:rFonts w:eastAsia="TimesNewRoman,Bold"/>
          <w:iCs/>
          <w:sz w:val="22"/>
          <w:szCs w:val="22"/>
          <w:lang w:val="en-GB"/>
        </w:rPr>
      </w:pPr>
      <w:r w:rsidRPr="008A2C89">
        <w:rPr>
          <w:rFonts w:eastAsia="TimesNewRoman,Bold"/>
          <w:iCs/>
          <w:sz w:val="22"/>
          <w:szCs w:val="22"/>
          <w:lang w:val="en-GB"/>
        </w:rPr>
        <w:t xml:space="preserve">Simtomi prijavljeni </w:t>
      </w:r>
      <w:proofErr w:type="gramStart"/>
      <w:r w:rsidRPr="008A2C89">
        <w:rPr>
          <w:rFonts w:eastAsia="TimesNewRoman,Bold"/>
          <w:iCs/>
          <w:sz w:val="22"/>
          <w:szCs w:val="22"/>
          <w:lang w:val="en-GB"/>
        </w:rPr>
        <w:t>od</w:t>
      </w:r>
      <w:proofErr w:type="gramEnd"/>
      <w:r w:rsidRPr="008A2C89">
        <w:rPr>
          <w:rFonts w:eastAsia="TimesNewRoman,Bold"/>
          <w:iCs/>
          <w:sz w:val="22"/>
          <w:szCs w:val="22"/>
          <w:lang w:val="en-GB"/>
        </w:rPr>
        <w:t xml:space="preserve"> strane pacijenatkinja su procijenjeni koristeći upitnik o kvalitetu života Evropske organizacije za istraživanje i terapiju karcinoma (</w:t>
      </w:r>
      <w:r w:rsidRPr="008A2C89">
        <w:rPr>
          <w:rFonts w:eastAsia="TimesNewRoman,Bold"/>
          <w:i/>
          <w:iCs/>
          <w:sz w:val="22"/>
          <w:szCs w:val="22"/>
          <w:lang w:val="en-GB"/>
        </w:rPr>
        <w:t>European Organization for Research and Treatment of Cancer</w:t>
      </w:r>
      <w:r w:rsidRPr="008A2C89">
        <w:rPr>
          <w:rFonts w:eastAsia="TimesNewRoman,Bold"/>
          <w:iCs/>
          <w:sz w:val="22"/>
          <w:szCs w:val="22"/>
          <w:lang w:val="en-GB"/>
        </w:rPr>
        <w:t xml:space="preserve"> (EORTC)) (QLQ)-C30 i njihov </w:t>
      </w:r>
      <w:r w:rsidRPr="008A2C89">
        <w:rPr>
          <w:rFonts w:eastAsia="TimesNewRoman,Bold"/>
          <w:i/>
          <w:iCs/>
          <w:sz w:val="22"/>
          <w:szCs w:val="22"/>
          <w:lang w:val="en-GB"/>
        </w:rPr>
        <w:t>Breast Cancer Module</w:t>
      </w:r>
      <w:r w:rsidRPr="008A2C89">
        <w:rPr>
          <w:rFonts w:eastAsia="TimesNewRoman,Bold"/>
          <w:iCs/>
          <w:sz w:val="22"/>
          <w:szCs w:val="22"/>
          <w:lang w:val="en-GB"/>
        </w:rPr>
        <w:t xml:space="preserve"> (EORTC QLQ-BR23). Ukupno 335 pacijentkinja u grupi koja je primala fulvestrant plus palbociklib, i 166 pacijentkinja u grupi koja je primala fulvestrant plus placebo, popunilo je upitnik </w:t>
      </w:r>
      <w:proofErr w:type="gramStart"/>
      <w:r w:rsidRPr="008A2C89">
        <w:rPr>
          <w:rFonts w:eastAsia="TimesNewRoman,Bold"/>
          <w:iCs/>
          <w:sz w:val="22"/>
          <w:szCs w:val="22"/>
          <w:lang w:val="en-GB"/>
        </w:rPr>
        <w:t>na</w:t>
      </w:r>
      <w:proofErr w:type="gramEnd"/>
      <w:r w:rsidRPr="008A2C89">
        <w:rPr>
          <w:rFonts w:eastAsia="TimesNewRoman,Bold"/>
          <w:iCs/>
          <w:sz w:val="22"/>
          <w:szCs w:val="22"/>
          <w:lang w:val="en-GB"/>
        </w:rPr>
        <w:t xml:space="preserve"> početku ispitivanja i još najmanje uz 1 naknadnu posjetu.</w:t>
      </w:r>
    </w:p>
    <w:p w14:paraId="12072655" w14:textId="77777777" w:rsidR="004E3079" w:rsidRPr="008A2C89" w:rsidRDefault="004E3079" w:rsidP="004E3079">
      <w:pPr>
        <w:autoSpaceDE w:val="0"/>
        <w:autoSpaceDN w:val="0"/>
        <w:adjustRightInd w:val="0"/>
        <w:spacing w:line="259" w:lineRule="auto"/>
        <w:jc w:val="both"/>
        <w:rPr>
          <w:rFonts w:eastAsia="TimesNewRoman,Bold"/>
          <w:iCs/>
          <w:sz w:val="22"/>
          <w:szCs w:val="22"/>
          <w:lang w:val="en-GB"/>
        </w:rPr>
      </w:pPr>
    </w:p>
    <w:p w14:paraId="37563331" w14:textId="77777777" w:rsidR="004E3079" w:rsidRPr="008A2C89" w:rsidRDefault="004E3079" w:rsidP="004E3079">
      <w:pPr>
        <w:autoSpaceDE w:val="0"/>
        <w:autoSpaceDN w:val="0"/>
        <w:adjustRightInd w:val="0"/>
        <w:spacing w:line="259" w:lineRule="auto"/>
        <w:jc w:val="both"/>
        <w:rPr>
          <w:rFonts w:eastAsia="TimesNewRoman,Bold"/>
          <w:iCs/>
          <w:sz w:val="22"/>
          <w:szCs w:val="22"/>
          <w:lang w:val="en-GB"/>
        </w:rPr>
      </w:pPr>
      <w:r w:rsidRPr="008A2C89">
        <w:rPr>
          <w:rFonts w:eastAsia="TimesNewRoman,Bold"/>
          <w:iCs/>
          <w:sz w:val="22"/>
          <w:szCs w:val="22"/>
          <w:lang w:val="en-GB"/>
        </w:rPr>
        <w:t xml:space="preserve">Vrijeme do pogoršanja je bilo unaprijed definisano kao vrijeme između početne vrijednosti i prvog pojavljivanja </w:t>
      </w:r>
      <w:proofErr w:type="gramStart"/>
      <w:r w:rsidRPr="008A2C89">
        <w:rPr>
          <w:rFonts w:eastAsia="TimesNewRoman,Bold"/>
          <w:iCs/>
          <w:sz w:val="22"/>
          <w:szCs w:val="22"/>
          <w:lang w:val="en-GB"/>
        </w:rPr>
        <w:t>od</w:t>
      </w:r>
      <w:proofErr w:type="gramEnd"/>
      <w:r w:rsidRPr="008A2C89">
        <w:rPr>
          <w:rFonts w:eastAsia="TimesNewRoman,Bold"/>
          <w:iCs/>
          <w:sz w:val="22"/>
          <w:szCs w:val="22"/>
          <w:lang w:val="en-GB"/>
        </w:rPr>
        <w:t xml:space="preserve"> ≥10 tačaka povećanja od početnih vrijednosti simptoma bolova. Dodavanje palbocikliba fulvestrantu rezultovalo je korisnim dejstvom na simptom, značajno odlažući vrijeme do pogoršanja simptoma bolova u poređenju sa fulvestrantom plus placebo (medijana 8</w:t>
      </w:r>
      <w:proofErr w:type="gramStart"/>
      <w:r w:rsidRPr="008A2C89">
        <w:rPr>
          <w:rFonts w:eastAsia="TimesNewRoman,Bold"/>
          <w:iCs/>
          <w:sz w:val="22"/>
          <w:szCs w:val="22"/>
          <w:lang w:val="en-GB"/>
        </w:rPr>
        <w:t>,0</w:t>
      </w:r>
      <w:proofErr w:type="gramEnd"/>
      <w:r w:rsidRPr="008A2C89">
        <w:rPr>
          <w:rFonts w:eastAsia="TimesNewRoman,Bold"/>
          <w:iCs/>
          <w:sz w:val="22"/>
          <w:szCs w:val="22"/>
          <w:lang w:val="en-GB"/>
        </w:rPr>
        <w:t xml:space="preserve"> mjeseci naspram 2,8 mjeseci; HR od 0,64 [95% CI: 0,49, 0,85]; p&lt;0,001).</w:t>
      </w:r>
    </w:p>
    <w:p w14:paraId="00F6AE01" w14:textId="77777777" w:rsidR="004E3079" w:rsidRPr="008A2C89" w:rsidRDefault="004E3079" w:rsidP="004E3079">
      <w:pPr>
        <w:autoSpaceDE w:val="0"/>
        <w:autoSpaceDN w:val="0"/>
        <w:adjustRightInd w:val="0"/>
        <w:spacing w:line="259" w:lineRule="auto"/>
        <w:jc w:val="both"/>
        <w:rPr>
          <w:rFonts w:eastAsia="TimesNewRoman,Bold"/>
          <w:iCs/>
          <w:sz w:val="22"/>
          <w:szCs w:val="22"/>
          <w:lang w:val="en-GB"/>
        </w:rPr>
      </w:pPr>
    </w:p>
    <w:p w14:paraId="127E0F9E" w14:textId="77777777" w:rsidR="004E3079" w:rsidRPr="008A2C89" w:rsidRDefault="004E3079" w:rsidP="004E3079">
      <w:pPr>
        <w:autoSpaceDE w:val="0"/>
        <w:autoSpaceDN w:val="0"/>
        <w:adjustRightInd w:val="0"/>
        <w:spacing w:line="259" w:lineRule="auto"/>
        <w:jc w:val="both"/>
        <w:rPr>
          <w:rFonts w:eastAsia="TimesNewRoman,Bold"/>
          <w:i/>
          <w:iCs/>
          <w:sz w:val="22"/>
          <w:szCs w:val="22"/>
          <w:lang w:val="hr-HR"/>
        </w:rPr>
      </w:pPr>
      <w:r w:rsidRPr="008A2C89">
        <w:rPr>
          <w:rFonts w:eastAsia="TimesNewRoman,Bold"/>
          <w:i/>
          <w:iCs/>
          <w:sz w:val="22"/>
          <w:szCs w:val="22"/>
          <w:lang w:val="hr-HR"/>
        </w:rPr>
        <w:t>Efekti na endometrijum u postmenopauzi</w:t>
      </w:r>
    </w:p>
    <w:p w14:paraId="0929DD2C" w14:textId="77777777" w:rsidR="004E3079" w:rsidRPr="008A2C89" w:rsidRDefault="004E3079" w:rsidP="004E3079">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Pretklinički podaci ne ukazuju na to da fulvestrant ima stimulativni efekat na endometrijum nakon menopauze (vidjeti dio 5.3). Dvonedjeljno ispitivanje sa postmenopauzalnim, zdravim ženama sa etinilestradiolom u dozi od 20 μg na dan pokazalo je da je prethodno liječenje fulvestrantom u dozi od 250 mg dovelo do značajno smanjene stimulacije postmenopauzalnog endometrijuma u odnosu na prethodno primijenjen placebo, što je procijenjeno ultrazvučnim mjerenjem debljine endometrijuma.</w:t>
      </w:r>
    </w:p>
    <w:p w14:paraId="26168584" w14:textId="77777777" w:rsidR="004E3079" w:rsidRPr="008A2C89" w:rsidRDefault="004E3079" w:rsidP="004E3079">
      <w:pPr>
        <w:autoSpaceDE w:val="0"/>
        <w:autoSpaceDN w:val="0"/>
        <w:adjustRightInd w:val="0"/>
        <w:spacing w:line="259" w:lineRule="auto"/>
        <w:jc w:val="both"/>
        <w:rPr>
          <w:rFonts w:eastAsia="TimesNewRoman"/>
          <w:color w:val="FF0000"/>
          <w:sz w:val="22"/>
          <w:szCs w:val="22"/>
          <w:lang w:val="hr-HR"/>
        </w:rPr>
      </w:pPr>
    </w:p>
    <w:p w14:paraId="490CCE57" w14:textId="77777777" w:rsidR="004E3079" w:rsidRPr="008A2C89" w:rsidRDefault="004E3079" w:rsidP="004E3079">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Neoadjuvantno liječenje tokom najviše 16 nedjelja nije kod pacijentkinja sa rakom dojke liječenim fulvestrantom u dozi od 500 mg/5 ml ili fulvestrantom u dozi od 250 mg/5 ml dovelo do klinički značajnih promjena u debljini endometrijuma, što ukazuje da lijek nema agonističko dejstvo. Nema znakova štetnih efekata na endometrijum kod ispitanih pacijentkinja sa rakom dojke. Nisu dostupni podaci o morfologiji endometrijuma.</w:t>
      </w:r>
    </w:p>
    <w:p w14:paraId="0B54B657" w14:textId="77777777" w:rsidR="004E3079" w:rsidRPr="008A2C89" w:rsidRDefault="004E3079" w:rsidP="004E3079">
      <w:pPr>
        <w:autoSpaceDE w:val="0"/>
        <w:autoSpaceDN w:val="0"/>
        <w:adjustRightInd w:val="0"/>
        <w:spacing w:line="259" w:lineRule="auto"/>
        <w:jc w:val="both"/>
        <w:rPr>
          <w:rFonts w:eastAsia="TimesNewRoman"/>
          <w:color w:val="FF0000"/>
          <w:sz w:val="22"/>
          <w:szCs w:val="22"/>
          <w:lang w:val="hr-HR"/>
        </w:rPr>
      </w:pPr>
    </w:p>
    <w:p w14:paraId="4BE3D16A" w14:textId="77777777" w:rsidR="004E3079" w:rsidRPr="008A2C89" w:rsidRDefault="004E3079" w:rsidP="004E3079">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U dva kratkotrajna ispitivanja (1 i 12 nedjelja), sprovedenih sa premenopauzalnim ženama sa benignom ginekološkom bolešću, ultrazvučnim mjerenjem nisu zapažene značajne razlike u debljini endometrijuma između grupe liječene fulvestrantom i grupe koja je primala placebo.</w:t>
      </w:r>
    </w:p>
    <w:p w14:paraId="7DE5B6FB" w14:textId="77777777" w:rsidR="004E3079" w:rsidRPr="008A2C89" w:rsidRDefault="004E3079" w:rsidP="004E3079">
      <w:pPr>
        <w:autoSpaceDE w:val="0"/>
        <w:autoSpaceDN w:val="0"/>
        <w:adjustRightInd w:val="0"/>
        <w:spacing w:line="259" w:lineRule="auto"/>
        <w:jc w:val="both"/>
        <w:rPr>
          <w:rFonts w:eastAsia="TimesNewRoman"/>
          <w:color w:val="FF0000"/>
          <w:sz w:val="22"/>
          <w:szCs w:val="22"/>
          <w:lang w:val="hr-HR"/>
        </w:rPr>
      </w:pPr>
    </w:p>
    <w:p w14:paraId="70A9B577" w14:textId="77777777" w:rsidR="004E3079" w:rsidRPr="008A2C89" w:rsidRDefault="004E3079" w:rsidP="004E3079">
      <w:pPr>
        <w:autoSpaceDE w:val="0"/>
        <w:autoSpaceDN w:val="0"/>
        <w:adjustRightInd w:val="0"/>
        <w:spacing w:line="259" w:lineRule="auto"/>
        <w:jc w:val="both"/>
        <w:rPr>
          <w:rFonts w:eastAsia="TimesNewRoman,Bold"/>
          <w:i/>
          <w:iCs/>
          <w:sz w:val="22"/>
          <w:szCs w:val="22"/>
          <w:lang w:val="hr-HR"/>
        </w:rPr>
      </w:pPr>
      <w:r w:rsidRPr="008A2C89">
        <w:rPr>
          <w:rFonts w:eastAsia="TimesNewRoman,Bold"/>
          <w:i/>
          <w:iCs/>
          <w:sz w:val="22"/>
          <w:szCs w:val="22"/>
          <w:lang w:val="hr-HR"/>
        </w:rPr>
        <w:t>Efekti na kosti</w:t>
      </w:r>
    </w:p>
    <w:p w14:paraId="39A380DB" w14:textId="77777777" w:rsidR="004E3079" w:rsidRPr="008A2C89" w:rsidRDefault="004E3079" w:rsidP="004E3079">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lastRenderedPageBreak/>
        <w:t>Nema podataka o dugoročnom uticaju fulvestranta na kosti. Neoadjuvantno liječenje tokom najviše 16 nedjelja pacijentkinja sa karcinomom dojke liječenih fulvestrantom u dozi od 500 mg ili fulvestrantom u dozi od 250 mg nije dovelo do klinički značajnih promjena serumskih markera kostne pregradnje.</w:t>
      </w:r>
    </w:p>
    <w:p w14:paraId="50931751" w14:textId="77777777" w:rsidR="004E3079" w:rsidRPr="008A2C89" w:rsidRDefault="004E3079" w:rsidP="004E3079">
      <w:pPr>
        <w:autoSpaceDE w:val="0"/>
        <w:autoSpaceDN w:val="0"/>
        <w:adjustRightInd w:val="0"/>
        <w:spacing w:line="259" w:lineRule="auto"/>
        <w:jc w:val="both"/>
        <w:rPr>
          <w:rFonts w:eastAsia="TimesNewRoman"/>
          <w:color w:val="FF0000"/>
          <w:sz w:val="22"/>
          <w:szCs w:val="22"/>
          <w:lang w:val="hr-HR"/>
        </w:rPr>
      </w:pPr>
    </w:p>
    <w:p w14:paraId="35F25C63" w14:textId="77777777" w:rsidR="004E3079" w:rsidRPr="008A2C89" w:rsidRDefault="004E3079" w:rsidP="004E3079">
      <w:pPr>
        <w:autoSpaceDE w:val="0"/>
        <w:autoSpaceDN w:val="0"/>
        <w:adjustRightInd w:val="0"/>
        <w:spacing w:line="259" w:lineRule="auto"/>
        <w:jc w:val="both"/>
        <w:rPr>
          <w:rFonts w:eastAsia="TimesNewRoman"/>
          <w:sz w:val="22"/>
          <w:szCs w:val="22"/>
          <w:u w:val="single"/>
          <w:lang w:val="hr-HR"/>
        </w:rPr>
      </w:pPr>
      <w:r w:rsidRPr="008A2C89">
        <w:rPr>
          <w:rFonts w:eastAsia="TimesNewRoman"/>
          <w:sz w:val="22"/>
          <w:szCs w:val="22"/>
          <w:u w:val="single"/>
          <w:lang w:val="hr-HR"/>
        </w:rPr>
        <w:t>Pedijatrijska populacija</w:t>
      </w:r>
    </w:p>
    <w:p w14:paraId="2DCF1343" w14:textId="77777777" w:rsidR="004E3079" w:rsidRPr="008A2C89" w:rsidRDefault="004E3079" w:rsidP="004E3079">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Primjena fulvestranta nije indikovana kod djece. Evropska agencija za ljekove je izuzela obavezu podnošenja rezultata ispitivanja fulvestranta u svim podgrupama pedijatrijske populacije za karcinom dojke (vidjeti dio 4.2 za informacije o pedijatrijskoj primjeni).</w:t>
      </w:r>
    </w:p>
    <w:p w14:paraId="7C22CE3F" w14:textId="77777777" w:rsidR="004E3079" w:rsidRPr="008A2C89" w:rsidRDefault="004E3079" w:rsidP="004E3079">
      <w:pPr>
        <w:autoSpaceDE w:val="0"/>
        <w:autoSpaceDN w:val="0"/>
        <w:adjustRightInd w:val="0"/>
        <w:spacing w:line="259" w:lineRule="auto"/>
        <w:jc w:val="both"/>
        <w:rPr>
          <w:rFonts w:eastAsia="TimesNewRoman"/>
          <w:sz w:val="22"/>
          <w:szCs w:val="22"/>
          <w:lang w:val="hr-HR"/>
        </w:rPr>
      </w:pPr>
    </w:p>
    <w:p w14:paraId="5E4F5014" w14:textId="77777777" w:rsidR="004E3079" w:rsidRPr="008A2C89" w:rsidRDefault="004E3079" w:rsidP="004E3079">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 xml:space="preserve">U otvorenom ispitivanju faze II ispitivane su bezbjednost, efikasnost i farmakokinetika fulvestranta kod 30 djevojčica uzrasta od 1 do 8 godina sa progresivnim preuranjenim pubertetom povezanim sa </w:t>
      </w:r>
      <w:r w:rsidRPr="008A2C89">
        <w:rPr>
          <w:rFonts w:eastAsia="TimesNewRoman"/>
          <w:i/>
          <w:sz w:val="22"/>
          <w:szCs w:val="22"/>
          <w:lang w:val="hr-HR"/>
        </w:rPr>
        <w:t>McCune Albright</w:t>
      </w:r>
      <w:r w:rsidRPr="008A2C89">
        <w:rPr>
          <w:rFonts w:eastAsia="TimesNewRoman"/>
          <w:sz w:val="22"/>
          <w:szCs w:val="22"/>
          <w:lang w:val="hr-HR"/>
        </w:rPr>
        <w:t xml:space="preserve">-ovim sindromom (MAS). Pedijatrijske pacijentkinje dobijale su mjesečnu intramuskularnu dozu fulvestranta od 4 mg/kg. Ovo 12-mjesečno ispitivanje istraživalo je niz mjera ishoda </w:t>
      </w:r>
      <w:r w:rsidRPr="008A2C89">
        <w:rPr>
          <w:rFonts w:eastAsia="TimesNewRoman"/>
          <w:i/>
          <w:sz w:val="22"/>
          <w:szCs w:val="22"/>
          <w:lang w:val="hr-HR"/>
        </w:rPr>
        <w:t>McCune Albright</w:t>
      </w:r>
      <w:r w:rsidRPr="008A2C89">
        <w:rPr>
          <w:rFonts w:eastAsia="TimesNewRoman"/>
          <w:sz w:val="22"/>
          <w:szCs w:val="22"/>
          <w:lang w:val="hr-HR"/>
        </w:rPr>
        <w:t>-ovog sindroma i pokazalo smanjenje učestalosti vaginalnog krvarenja i smanjenje stope uznapredovalosti kostne dobi. Najniže koncentracije fulvestranta u stanju dinamičke ravnoteže kod djece u ovom ispitivanju odgovarale su onima zabilježenim kod odraslih (vidjeti dio 5.2). Iz ovog malog ispitivanja nisu proizašla nova bezbjednosna pitanja, ali još nijesu dostupni 5-godišnji podaci.</w:t>
      </w:r>
    </w:p>
    <w:p w14:paraId="23BFFF96" w14:textId="77777777" w:rsidR="004E3079" w:rsidRPr="00585C79" w:rsidRDefault="004E3079" w:rsidP="004E3079">
      <w:pPr>
        <w:tabs>
          <w:tab w:val="left" w:pos="540"/>
          <w:tab w:val="left" w:pos="569"/>
        </w:tabs>
        <w:jc w:val="both"/>
        <w:rPr>
          <w:bCs/>
          <w:sz w:val="22"/>
          <w:szCs w:val="22"/>
          <w:lang w:val="hr-HR"/>
        </w:rPr>
      </w:pPr>
    </w:p>
    <w:p w14:paraId="17BCDBAF" w14:textId="77777777" w:rsidR="0072020E" w:rsidRPr="008A2C89" w:rsidRDefault="0072020E" w:rsidP="00480FB1">
      <w:pPr>
        <w:tabs>
          <w:tab w:val="left" w:pos="540"/>
          <w:tab w:val="left" w:pos="569"/>
        </w:tabs>
        <w:rPr>
          <w:b/>
          <w:bCs/>
          <w:sz w:val="22"/>
          <w:szCs w:val="22"/>
        </w:rPr>
      </w:pPr>
      <w:r w:rsidRPr="008A2C89">
        <w:rPr>
          <w:b/>
          <w:bCs/>
          <w:sz w:val="22"/>
          <w:szCs w:val="22"/>
        </w:rPr>
        <w:t xml:space="preserve">5.2. </w:t>
      </w:r>
      <w:r w:rsidR="00480FB1" w:rsidRPr="008A2C89">
        <w:rPr>
          <w:b/>
          <w:bCs/>
          <w:sz w:val="22"/>
          <w:szCs w:val="22"/>
        </w:rPr>
        <w:tab/>
      </w:r>
      <w:r w:rsidRPr="008A2C89">
        <w:rPr>
          <w:b/>
          <w:bCs/>
          <w:sz w:val="22"/>
          <w:szCs w:val="22"/>
        </w:rPr>
        <w:t>Farmakokinetički podaci</w:t>
      </w:r>
      <w:r w:rsidR="003A7059" w:rsidRPr="008A2C89">
        <w:rPr>
          <w:b/>
          <w:bCs/>
          <w:sz w:val="22"/>
          <w:szCs w:val="22"/>
        </w:rPr>
        <w:t xml:space="preserve"> </w:t>
      </w:r>
    </w:p>
    <w:p w14:paraId="43449946" w14:textId="77777777" w:rsidR="00AA080E" w:rsidRPr="008A2C89" w:rsidRDefault="00AA080E" w:rsidP="00480FB1">
      <w:pPr>
        <w:tabs>
          <w:tab w:val="left" w:pos="540"/>
          <w:tab w:val="left" w:pos="569"/>
        </w:tabs>
        <w:rPr>
          <w:b/>
          <w:bCs/>
          <w:sz w:val="22"/>
          <w:szCs w:val="22"/>
        </w:rPr>
      </w:pPr>
    </w:p>
    <w:p w14:paraId="39B8DDF5" w14:textId="77777777" w:rsidR="00AA080E" w:rsidRPr="008A2C89" w:rsidRDefault="00AA080E" w:rsidP="00AA080E">
      <w:pPr>
        <w:autoSpaceDE w:val="0"/>
        <w:autoSpaceDN w:val="0"/>
        <w:adjustRightInd w:val="0"/>
        <w:spacing w:line="259" w:lineRule="auto"/>
        <w:jc w:val="both"/>
        <w:rPr>
          <w:rFonts w:eastAsia="TimesNewRoman"/>
          <w:sz w:val="22"/>
          <w:szCs w:val="22"/>
          <w:u w:val="single"/>
          <w:lang w:val="hr-HR"/>
        </w:rPr>
      </w:pPr>
      <w:r w:rsidRPr="008A2C89">
        <w:rPr>
          <w:rFonts w:eastAsia="TimesNewRoman"/>
          <w:sz w:val="22"/>
          <w:szCs w:val="22"/>
          <w:u w:val="single"/>
          <w:lang w:val="hr-HR"/>
        </w:rPr>
        <w:t>Resorpcija</w:t>
      </w:r>
    </w:p>
    <w:p w14:paraId="0427DD72" w14:textId="77777777" w:rsidR="00AA080E" w:rsidRPr="008A2C89" w:rsidRDefault="00AA080E" w:rsidP="00AA080E">
      <w:pPr>
        <w:tabs>
          <w:tab w:val="left" w:pos="284"/>
          <w:tab w:val="center" w:pos="4536"/>
          <w:tab w:val="right" w:pos="9072"/>
        </w:tabs>
        <w:spacing w:line="259" w:lineRule="auto"/>
        <w:jc w:val="both"/>
        <w:rPr>
          <w:rFonts w:eastAsia="TimesNewRoman"/>
          <w:sz w:val="22"/>
          <w:szCs w:val="22"/>
          <w:lang w:val="hr-HR"/>
        </w:rPr>
      </w:pPr>
      <w:r w:rsidRPr="008A2C89">
        <w:rPr>
          <w:rFonts w:eastAsia="TimesNewRoman"/>
          <w:sz w:val="22"/>
          <w:szCs w:val="22"/>
          <w:lang w:val="hr-HR"/>
        </w:rPr>
        <w:t>Nakon primjene dugodjelujuće intramuskularne injekcije lijeka Fulvestrant Pliva, fulvestrant se sporo resorbuje i doseže maksimalne koncentracije u plazmi (C</w:t>
      </w:r>
      <w:r w:rsidRPr="008A2C89">
        <w:rPr>
          <w:rFonts w:eastAsia="TimesNewRoman"/>
          <w:sz w:val="22"/>
          <w:szCs w:val="22"/>
          <w:vertAlign w:val="subscript"/>
          <w:lang w:val="hr-HR"/>
        </w:rPr>
        <w:t>max</w:t>
      </w:r>
      <w:r w:rsidRPr="008A2C89">
        <w:rPr>
          <w:rFonts w:eastAsia="TimesNewRoman"/>
          <w:sz w:val="22"/>
          <w:szCs w:val="22"/>
          <w:lang w:val="hr-HR"/>
        </w:rPr>
        <w:t>) nakon približno 5 dana. Primjenom režima doziranja lijeka Fulvestrant Pliva 500 mg, nivoi izloženosti koji su u stanju ravnoteže (ili približnom) postižu se tokom prvog mjeseca doziranja (srednje vrijednosti [CV]: AUC=475 [33,4%] ng.dan/ml, C</w:t>
      </w:r>
      <w:r w:rsidRPr="008A2C89">
        <w:rPr>
          <w:rFonts w:eastAsia="TimesNewRoman"/>
          <w:sz w:val="22"/>
          <w:szCs w:val="22"/>
          <w:vertAlign w:val="subscript"/>
          <w:lang w:val="hr-HR"/>
        </w:rPr>
        <w:t>max</w:t>
      </w:r>
      <w:r w:rsidRPr="008A2C89">
        <w:rPr>
          <w:rFonts w:eastAsia="TimesNewRoman"/>
          <w:sz w:val="22"/>
          <w:szCs w:val="22"/>
          <w:lang w:val="hr-HR"/>
        </w:rPr>
        <w:t>=25,1 [35,3%] ng/ml, Cmin=16,3 [25,9%] ng/ml). U stanju ravnoteže, koncentracije fulvestranta u plazmi održavaju se unutar relativno uskog raspona, uz do približno trostruku razliku između najviše i najniže koncentracije. Nakon intramuskularnog davanja, ukupna količina lijeka koji dospije u cirkulaciju je dozno proporcionalna u okviru raspona od 50 mg do 500 mg.</w:t>
      </w:r>
    </w:p>
    <w:p w14:paraId="724EEA37" w14:textId="77777777" w:rsidR="009338F8" w:rsidRPr="008A2C89" w:rsidRDefault="009338F8" w:rsidP="00AA080E">
      <w:pPr>
        <w:autoSpaceDE w:val="0"/>
        <w:autoSpaceDN w:val="0"/>
        <w:adjustRightInd w:val="0"/>
        <w:spacing w:line="259" w:lineRule="auto"/>
        <w:jc w:val="both"/>
        <w:rPr>
          <w:rFonts w:eastAsia="TimesNewRoman"/>
          <w:sz w:val="22"/>
          <w:szCs w:val="22"/>
          <w:u w:val="single"/>
          <w:lang w:val="hr-HR"/>
        </w:rPr>
      </w:pPr>
    </w:p>
    <w:p w14:paraId="587C468D" w14:textId="77777777" w:rsidR="00AA080E" w:rsidRPr="008A2C89" w:rsidRDefault="00AA080E" w:rsidP="00AA080E">
      <w:pPr>
        <w:autoSpaceDE w:val="0"/>
        <w:autoSpaceDN w:val="0"/>
        <w:adjustRightInd w:val="0"/>
        <w:spacing w:line="259" w:lineRule="auto"/>
        <w:jc w:val="both"/>
        <w:rPr>
          <w:rFonts w:eastAsia="TimesNewRoman"/>
          <w:sz w:val="22"/>
          <w:szCs w:val="22"/>
          <w:u w:val="single"/>
          <w:lang w:val="hr-HR"/>
        </w:rPr>
      </w:pPr>
      <w:r w:rsidRPr="008A2C89">
        <w:rPr>
          <w:rFonts w:eastAsia="TimesNewRoman"/>
          <w:sz w:val="22"/>
          <w:szCs w:val="22"/>
          <w:u w:val="single"/>
          <w:lang w:val="hr-HR"/>
        </w:rPr>
        <w:t>Distribucija</w:t>
      </w:r>
    </w:p>
    <w:p w14:paraId="32AB71C1" w14:textId="77777777" w:rsidR="00AA080E" w:rsidRPr="008A2C89" w:rsidRDefault="00AA080E" w:rsidP="00AA080E">
      <w:pPr>
        <w:tabs>
          <w:tab w:val="left" w:pos="284"/>
          <w:tab w:val="center" w:pos="4536"/>
          <w:tab w:val="right" w:pos="9072"/>
        </w:tabs>
        <w:spacing w:line="259" w:lineRule="auto"/>
        <w:jc w:val="both"/>
        <w:rPr>
          <w:rFonts w:eastAsia="TimesNewRoman"/>
          <w:sz w:val="22"/>
          <w:szCs w:val="22"/>
          <w:lang w:val="hr-HR"/>
        </w:rPr>
      </w:pPr>
      <w:r w:rsidRPr="008A2C89">
        <w:rPr>
          <w:rFonts w:eastAsia="TimesNewRoman"/>
          <w:sz w:val="22"/>
          <w:szCs w:val="22"/>
          <w:lang w:val="hr-HR"/>
        </w:rPr>
        <w:t>Raspodjela fulvestranta je brza i obimna. Volumen distribucije u stanju ravnoteže (Vd</w:t>
      </w:r>
      <w:r w:rsidRPr="008A2C89">
        <w:rPr>
          <w:rFonts w:eastAsia="TimesNewRoman"/>
          <w:sz w:val="22"/>
          <w:szCs w:val="22"/>
          <w:vertAlign w:val="subscript"/>
          <w:lang w:val="hr-HR"/>
        </w:rPr>
        <w:t>ss</w:t>
      </w:r>
      <w:r w:rsidRPr="008A2C89">
        <w:rPr>
          <w:rFonts w:eastAsia="TimesNewRoman"/>
          <w:sz w:val="22"/>
          <w:szCs w:val="22"/>
          <w:lang w:val="hr-HR"/>
        </w:rPr>
        <w:t>) je veliki i ima vrijednost približno 3-5 l/kg, što govori u prilog prevashodnoj distribuciji u ekstravaskularni prostor. Oko 99% fulvestranta je vezano za proteine plazme. Lipoproteini vrlo male gustine (VLDL), lipoproteini male gustine (LDL) i lipoproteini visoke gustine (HDL) su glavna mjesta vezivanja. Nisu rađena ispitivanja kompeticije sa drugim jedinjenjima pri vezivanju za proteine plazme, niti je ispitivana uloga globulina na koji se vezuju seksualni hormoni (SHBG) u ovom pogledu.</w:t>
      </w:r>
    </w:p>
    <w:p w14:paraId="7637CD7B" w14:textId="77777777" w:rsidR="00AA080E" w:rsidRPr="008A2C89" w:rsidRDefault="00AA080E" w:rsidP="00AA080E">
      <w:pPr>
        <w:autoSpaceDE w:val="0"/>
        <w:autoSpaceDN w:val="0"/>
        <w:adjustRightInd w:val="0"/>
        <w:spacing w:line="259" w:lineRule="auto"/>
        <w:jc w:val="both"/>
        <w:rPr>
          <w:rFonts w:eastAsia="TimesNewRoman"/>
          <w:sz w:val="22"/>
          <w:szCs w:val="22"/>
          <w:lang w:val="hr-HR"/>
        </w:rPr>
      </w:pPr>
    </w:p>
    <w:p w14:paraId="55D2D5C1" w14:textId="77777777" w:rsidR="00AA080E" w:rsidRPr="008A2C89" w:rsidRDefault="00AA080E" w:rsidP="00AA080E">
      <w:pPr>
        <w:autoSpaceDE w:val="0"/>
        <w:autoSpaceDN w:val="0"/>
        <w:adjustRightInd w:val="0"/>
        <w:spacing w:line="259" w:lineRule="auto"/>
        <w:jc w:val="both"/>
        <w:rPr>
          <w:rFonts w:eastAsia="TimesNewRoman"/>
          <w:sz w:val="22"/>
          <w:szCs w:val="22"/>
          <w:u w:val="single"/>
          <w:lang w:val="hr-HR"/>
        </w:rPr>
      </w:pPr>
      <w:r w:rsidRPr="008A2C89">
        <w:rPr>
          <w:rFonts w:eastAsia="TimesNewRoman"/>
          <w:sz w:val="22"/>
          <w:szCs w:val="22"/>
          <w:u w:val="single"/>
          <w:lang w:val="hr-HR"/>
        </w:rPr>
        <w:t>Metabolizam</w:t>
      </w:r>
    </w:p>
    <w:p w14:paraId="145F2083" w14:textId="77777777" w:rsidR="00AA080E" w:rsidRPr="008A2C89" w:rsidRDefault="00AA080E" w:rsidP="00AA080E">
      <w:pPr>
        <w:tabs>
          <w:tab w:val="left" w:pos="284"/>
          <w:tab w:val="center" w:pos="4536"/>
          <w:tab w:val="right" w:pos="9072"/>
        </w:tabs>
        <w:spacing w:line="259" w:lineRule="auto"/>
        <w:jc w:val="both"/>
        <w:rPr>
          <w:rFonts w:eastAsia="TimesNewRoman"/>
          <w:sz w:val="22"/>
          <w:szCs w:val="22"/>
          <w:lang w:val="hr-HR"/>
        </w:rPr>
      </w:pPr>
      <w:r w:rsidRPr="008A2C89">
        <w:rPr>
          <w:rFonts w:eastAsia="TimesNewRoman"/>
          <w:sz w:val="22"/>
          <w:szCs w:val="22"/>
          <w:lang w:val="hr-HR"/>
        </w:rPr>
        <w:t xml:space="preserve">Metabolički putevi fulvestranta nijesu u potpunosti sagledani i definisani, ali je za očekivati da uključuju kombinaciju nekolicine biotransformacionih mehanizama analognih onima za endogene steroide (uključujući 17-ketonske, sulfonske, 3-sulfatne i 3- i 17-glukuroidne metabolite). Ovi metaboliti su se u laboratorijskim ispitivanjima (antiestrogeni modeli) pokazali manje ili slično farmakološki aktivni kao i fulvestrant. U ispitivanjima na kulturama tkiva humanih hepatičnih ćelija, kao i sa rekombinovanim humanim enzimima, pokazano je da je CYP3A4 jedini P450 izoenzim uključen u oksidaciju fulvestranta, mada izgleda da su metabolički putevi van sistema P450 predominantni u </w:t>
      </w:r>
      <w:r w:rsidRPr="008A2C89">
        <w:rPr>
          <w:rFonts w:eastAsia="TimesNewRoman"/>
          <w:i/>
          <w:sz w:val="22"/>
          <w:szCs w:val="22"/>
          <w:lang w:val="hr-HR"/>
        </w:rPr>
        <w:t>in vivo</w:t>
      </w:r>
      <w:r w:rsidRPr="008A2C89">
        <w:rPr>
          <w:rFonts w:eastAsia="TimesNewRoman"/>
          <w:sz w:val="22"/>
          <w:szCs w:val="22"/>
          <w:lang w:val="hr-HR"/>
        </w:rPr>
        <w:t xml:space="preserve"> uslovima. </w:t>
      </w:r>
      <w:r w:rsidRPr="008A2C89">
        <w:rPr>
          <w:rFonts w:eastAsia="TimesNewRoman"/>
          <w:i/>
          <w:sz w:val="22"/>
          <w:szCs w:val="22"/>
          <w:lang w:val="hr-HR"/>
        </w:rPr>
        <w:t>In vitro</w:t>
      </w:r>
      <w:r w:rsidRPr="008A2C89">
        <w:rPr>
          <w:rFonts w:eastAsia="TimesNewRoman"/>
          <w:sz w:val="22"/>
          <w:szCs w:val="22"/>
          <w:lang w:val="hr-HR"/>
        </w:rPr>
        <w:t xml:space="preserve"> ispitivanja su pokazala da fulvestrant ne inhibira CYP450 izoenzime.</w:t>
      </w:r>
    </w:p>
    <w:p w14:paraId="206EFB70" w14:textId="77777777" w:rsidR="00AA080E" w:rsidRPr="008A2C89" w:rsidRDefault="00AA080E" w:rsidP="00AA080E">
      <w:pPr>
        <w:autoSpaceDE w:val="0"/>
        <w:autoSpaceDN w:val="0"/>
        <w:adjustRightInd w:val="0"/>
        <w:spacing w:line="259" w:lineRule="auto"/>
        <w:jc w:val="both"/>
        <w:rPr>
          <w:rFonts w:eastAsia="TimesNewRoman"/>
          <w:color w:val="FF0000"/>
          <w:sz w:val="22"/>
          <w:szCs w:val="22"/>
          <w:lang w:val="hr-HR"/>
        </w:rPr>
      </w:pPr>
    </w:p>
    <w:p w14:paraId="5CB0B3DA" w14:textId="77777777" w:rsidR="00AA080E" w:rsidRPr="008A2C89" w:rsidRDefault="00AA080E" w:rsidP="00AA080E">
      <w:pPr>
        <w:autoSpaceDE w:val="0"/>
        <w:autoSpaceDN w:val="0"/>
        <w:adjustRightInd w:val="0"/>
        <w:spacing w:line="259" w:lineRule="auto"/>
        <w:jc w:val="both"/>
        <w:rPr>
          <w:rFonts w:eastAsia="TimesNewRoman"/>
          <w:sz w:val="22"/>
          <w:szCs w:val="22"/>
          <w:u w:val="single"/>
          <w:lang w:val="hr-HR"/>
        </w:rPr>
      </w:pPr>
      <w:r w:rsidRPr="008A2C89">
        <w:rPr>
          <w:rFonts w:eastAsia="TimesNewRoman"/>
          <w:sz w:val="22"/>
          <w:szCs w:val="22"/>
          <w:u w:val="single"/>
          <w:lang w:val="hr-HR"/>
        </w:rPr>
        <w:t>Eliminacija</w:t>
      </w:r>
    </w:p>
    <w:p w14:paraId="01F0ACEF" w14:textId="77777777" w:rsidR="00AA080E" w:rsidRPr="008A2C89" w:rsidRDefault="00AA080E" w:rsidP="00AA080E">
      <w:pPr>
        <w:tabs>
          <w:tab w:val="left" w:pos="284"/>
          <w:tab w:val="center" w:pos="4536"/>
          <w:tab w:val="right" w:pos="9072"/>
        </w:tabs>
        <w:spacing w:line="259" w:lineRule="auto"/>
        <w:jc w:val="both"/>
        <w:rPr>
          <w:rFonts w:eastAsia="TimesNewRoman"/>
          <w:sz w:val="22"/>
          <w:szCs w:val="22"/>
          <w:lang w:val="hr-HR"/>
        </w:rPr>
      </w:pPr>
      <w:r w:rsidRPr="008A2C89">
        <w:rPr>
          <w:rFonts w:eastAsia="TimesNewRoman"/>
          <w:sz w:val="22"/>
          <w:szCs w:val="22"/>
          <w:lang w:val="hr-HR"/>
        </w:rPr>
        <w:t>Osnovni putevi eliminacije su metabolički, a razgradni produkti se gotovo u cjelini izlučuju fecesom. Manje od 1% date doze eliminiše se urinom. Klirens fulvestranta je visok, 11 ± 1,7 ml/min/kg, što sugeriše prevashodnu aktivnost jetre u procesima njegove biotransformacije. Poluvrijeme eliminacije nakon intramuskularne aplikacije je diktiran tempom brzine resorpcije i procjenjuje se na oko 50 dana.</w:t>
      </w:r>
    </w:p>
    <w:p w14:paraId="0926EE2C" w14:textId="77777777" w:rsidR="00AA080E" w:rsidRPr="008A2C89" w:rsidRDefault="00AA080E" w:rsidP="00AA080E">
      <w:pPr>
        <w:autoSpaceDE w:val="0"/>
        <w:autoSpaceDN w:val="0"/>
        <w:adjustRightInd w:val="0"/>
        <w:spacing w:line="259" w:lineRule="auto"/>
        <w:jc w:val="both"/>
        <w:rPr>
          <w:rFonts w:eastAsia="TimesNewRoman"/>
          <w:sz w:val="22"/>
          <w:szCs w:val="22"/>
          <w:lang w:val="hr-HR"/>
        </w:rPr>
      </w:pPr>
    </w:p>
    <w:p w14:paraId="358BBAF2" w14:textId="77777777" w:rsidR="00AA080E" w:rsidRPr="008A2C89" w:rsidRDefault="00AA080E" w:rsidP="00AA080E">
      <w:pPr>
        <w:autoSpaceDE w:val="0"/>
        <w:autoSpaceDN w:val="0"/>
        <w:adjustRightInd w:val="0"/>
        <w:spacing w:line="259" w:lineRule="auto"/>
        <w:jc w:val="both"/>
        <w:rPr>
          <w:rFonts w:eastAsia="TimesNewRoman"/>
          <w:sz w:val="22"/>
          <w:szCs w:val="22"/>
          <w:u w:val="single"/>
          <w:lang w:val="hr-HR"/>
        </w:rPr>
      </w:pPr>
      <w:r w:rsidRPr="008A2C89">
        <w:rPr>
          <w:rFonts w:eastAsia="TimesNewRoman"/>
          <w:sz w:val="22"/>
          <w:szCs w:val="22"/>
          <w:u w:val="single"/>
          <w:lang w:val="hr-HR"/>
        </w:rPr>
        <w:t>Posebne populacije</w:t>
      </w:r>
    </w:p>
    <w:p w14:paraId="4C8F9FC9" w14:textId="77777777" w:rsidR="00AA080E" w:rsidRPr="008A2C89" w:rsidRDefault="00AA080E" w:rsidP="00AA080E">
      <w:pPr>
        <w:tabs>
          <w:tab w:val="left" w:pos="284"/>
          <w:tab w:val="center" w:pos="4536"/>
          <w:tab w:val="right" w:pos="9072"/>
        </w:tabs>
        <w:spacing w:line="259" w:lineRule="auto"/>
        <w:jc w:val="both"/>
        <w:rPr>
          <w:rFonts w:eastAsia="TimesNewRoman"/>
          <w:sz w:val="22"/>
          <w:szCs w:val="22"/>
          <w:lang w:val="hr-HR"/>
        </w:rPr>
      </w:pPr>
      <w:r w:rsidRPr="008A2C89">
        <w:rPr>
          <w:rFonts w:eastAsia="TimesNewRoman"/>
          <w:sz w:val="22"/>
          <w:szCs w:val="22"/>
          <w:lang w:val="hr-HR"/>
        </w:rPr>
        <w:t>U populacionoj farmakokinetičkoj analizi podataka iz kliničkih studija III faze, nijesu ustanovljene značajne razlike u farmakokinetičkom profilu fulvestranta koje bi se mogle dovesti u vezu sa godinama života (33-89 godina), tjelesnom masom (40-127 kg) ili rasnom pripadnošću.</w:t>
      </w:r>
    </w:p>
    <w:p w14:paraId="3CF1B052" w14:textId="77777777" w:rsidR="00AA080E" w:rsidRPr="008A2C89" w:rsidRDefault="00AA080E" w:rsidP="00AA080E">
      <w:pPr>
        <w:tabs>
          <w:tab w:val="left" w:pos="284"/>
          <w:tab w:val="center" w:pos="4536"/>
          <w:tab w:val="right" w:pos="9072"/>
        </w:tabs>
        <w:spacing w:line="259" w:lineRule="auto"/>
        <w:jc w:val="both"/>
        <w:rPr>
          <w:rFonts w:eastAsia="TimesNewRoman"/>
          <w:sz w:val="22"/>
          <w:szCs w:val="22"/>
          <w:lang w:val="hr-HR"/>
        </w:rPr>
      </w:pPr>
    </w:p>
    <w:p w14:paraId="1F060C83" w14:textId="77777777" w:rsidR="00AA080E" w:rsidRPr="008A2C89" w:rsidRDefault="00AA080E" w:rsidP="00AA080E">
      <w:pPr>
        <w:tabs>
          <w:tab w:val="left" w:pos="284"/>
          <w:tab w:val="center" w:pos="4536"/>
          <w:tab w:val="right" w:pos="9072"/>
        </w:tabs>
        <w:spacing w:line="259" w:lineRule="auto"/>
        <w:jc w:val="both"/>
        <w:rPr>
          <w:rFonts w:eastAsia="TimesNewRoman"/>
          <w:i/>
          <w:sz w:val="22"/>
          <w:szCs w:val="22"/>
          <w:lang w:val="hr-HR"/>
        </w:rPr>
      </w:pPr>
      <w:r w:rsidRPr="008A2C89">
        <w:rPr>
          <w:rFonts w:eastAsia="TimesNewRoman"/>
          <w:i/>
          <w:sz w:val="22"/>
          <w:szCs w:val="22"/>
          <w:lang w:val="hr-HR"/>
        </w:rPr>
        <w:t>Bubrežna insuficijencija</w:t>
      </w:r>
    </w:p>
    <w:p w14:paraId="461AC572" w14:textId="77777777" w:rsidR="00AA080E" w:rsidRPr="008A2C89" w:rsidRDefault="00AA080E" w:rsidP="00AA080E">
      <w:pPr>
        <w:tabs>
          <w:tab w:val="left" w:pos="284"/>
          <w:tab w:val="center" w:pos="4536"/>
          <w:tab w:val="right" w:pos="9072"/>
        </w:tabs>
        <w:spacing w:line="259" w:lineRule="auto"/>
        <w:jc w:val="both"/>
        <w:rPr>
          <w:rFonts w:eastAsia="TimesNewRoman"/>
          <w:sz w:val="22"/>
          <w:szCs w:val="22"/>
          <w:lang w:val="hr-HR"/>
        </w:rPr>
      </w:pPr>
      <w:r w:rsidRPr="008A2C89">
        <w:rPr>
          <w:rFonts w:eastAsia="TimesNewRoman"/>
          <w:sz w:val="22"/>
          <w:szCs w:val="22"/>
          <w:lang w:val="hr-HR"/>
        </w:rPr>
        <w:t>Blaga do umjereno teška insuficijencija ne utiče, u kliničkom pogledu, značajnije na farmakokinetičko ponašanje fulvestranta.</w:t>
      </w:r>
    </w:p>
    <w:p w14:paraId="0C1587AD" w14:textId="77777777" w:rsidR="00AA080E" w:rsidRPr="008A2C89" w:rsidRDefault="00AA080E" w:rsidP="00AA080E">
      <w:pPr>
        <w:tabs>
          <w:tab w:val="left" w:pos="284"/>
          <w:tab w:val="center" w:pos="4536"/>
          <w:tab w:val="right" w:pos="9072"/>
        </w:tabs>
        <w:spacing w:line="259" w:lineRule="auto"/>
        <w:jc w:val="both"/>
        <w:rPr>
          <w:rFonts w:eastAsia="Calibri"/>
          <w:sz w:val="22"/>
          <w:szCs w:val="22"/>
          <w:u w:val="single"/>
          <w:lang w:val="sv-SE"/>
        </w:rPr>
      </w:pPr>
    </w:p>
    <w:p w14:paraId="3102A27C" w14:textId="77777777" w:rsidR="00AA080E" w:rsidRPr="008A2C89" w:rsidRDefault="00AA080E" w:rsidP="00AA080E">
      <w:pPr>
        <w:tabs>
          <w:tab w:val="left" w:pos="284"/>
          <w:tab w:val="center" w:pos="4536"/>
          <w:tab w:val="right" w:pos="9072"/>
        </w:tabs>
        <w:spacing w:line="259" w:lineRule="auto"/>
        <w:jc w:val="both"/>
        <w:rPr>
          <w:rFonts w:eastAsia="TimesNewRoman"/>
          <w:i/>
          <w:sz w:val="22"/>
          <w:szCs w:val="22"/>
          <w:lang w:val="hr-HR"/>
        </w:rPr>
      </w:pPr>
      <w:r w:rsidRPr="008A2C89">
        <w:rPr>
          <w:rFonts w:eastAsia="TimesNewRoman"/>
          <w:i/>
          <w:sz w:val="22"/>
          <w:szCs w:val="22"/>
          <w:lang w:val="hr-HR"/>
        </w:rPr>
        <w:t>Insuficijencija jetre</w:t>
      </w:r>
    </w:p>
    <w:p w14:paraId="4D203016" w14:textId="77777777" w:rsidR="00AA080E" w:rsidRPr="008A2C89" w:rsidRDefault="00AA080E" w:rsidP="00AA080E">
      <w:pPr>
        <w:tabs>
          <w:tab w:val="left" w:pos="284"/>
          <w:tab w:val="center" w:pos="4536"/>
          <w:tab w:val="right" w:pos="9072"/>
        </w:tabs>
        <w:spacing w:line="259" w:lineRule="auto"/>
        <w:jc w:val="both"/>
        <w:rPr>
          <w:rFonts w:eastAsia="TimesNewRoman"/>
          <w:sz w:val="22"/>
          <w:szCs w:val="22"/>
          <w:lang w:val="hr-HR"/>
        </w:rPr>
      </w:pPr>
      <w:r w:rsidRPr="008A2C89">
        <w:rPr>
          <w:rFonts w:eastAsia="TimesNewRoman"/>
          <w:sz w:val="22"/>
          <w:szCs w:val="22"/>
          <w:lang w:val="hr-HR"/>
        </w:rPr>
        <w:t>Farmakokinetički profil fulvestranta ispitan je u kliničkoj studiji sa jednokratnom primjenom lijeka kod pacijenata sa blagom do umjerenom cirozom jetre (stepeni A i B po Child-Pugh kategorizaciji). U ispitivanju je korišćena visoka doza lijeka, sa kraćim trajanjem. Ukupna ekspozicija fulvestrantu bila je za oko 2,5 viša (prema vrijednostima PIK) kod žena sa oštećenjem jetre nego kod zdravih dobrovoljaca. Očekuje se da se ova povećana ekspozicija dobro toleriše kod pacijenata kojima se daje lijek Fulvestrant Pliva. Nije rađena evaluacija kod žena sa ozbiljnim oštećenjem funkcije jetre (stepen C po Child-Pugh kategorizaciji).</w:t>
      </w:r>
    </w:p>
    <w:p w14:paraId="66E188F1" w14:textId="77777777" w:rsidR="00AA080E" w:rsidRPr="008A2C89" w:rsidRDefault="00AA080E" w:rsidP="00AA080E">
      <w:pPr>
        <w:tabs>
          <w:tab w:val="left" w:pos="284"/>
          <w:tab w:val="center" w:pos="4536"/>
          <w:tab w:val="right" w:pos="9072"/>
        </w:tabs>
        <w:spacing w:line="259" w:lineRule="auto"/>
        <w:jc w:val="both"/>
        <w:rPr>
          <w:rFonts w:eastAsia="TimesNewRoman"/>
          <w:sz w:val="22"/>
          <w:szCs w:val="22"/>
          <w:lang w:val="hr-HR"/>
        </w:rPr>
      </w:pPr>
    </w:p>
    <w:p w14:paraId="754F744B" w14:textId="77777777" w:rsidR="00AA080E" w:rsidRPr="008A2C89" w:rsidRDefault="00AA080E" w:rsidP="00AA080E">
      <w:pPr>
        <w:tabs>
          <w:tab w:val="left" w:pos="284"/>
          <w:tab w:val="center" w:pos="4536"/>
          <w:tab w:val="right" w:pos="9072"/>
        </w:tabs>
        <w:spacing w:line="259" w:lineRule="auto"/>
        <w:jc w:val="both"/>
        <w:rPr>
          <w:rFonts w:eastAsia="TimesNewRoman"/>
          <w:i/>
          <w:sz w:val="22"/>
          <w:szCs w:val="22"/>
          <w:lang w:val="hr-HR"/>
        </w:rPr>
      </w:pPr>
      <w:r w:rsidRPr="008A2C89">
        <w:rPr>
          <w:rFonts w:eastAsia="TimesNewRoman"/>
          <w:i/>
          <w:sz w:val="22"/>
          <w:szCs w:val="22"/>
          <w:lang w:val="hr-HR"/>
        </w:rPr>
        <w:t>Pedijatrijska populacija</w:t>
      </w:r>
    </w:p>
    <w:p w14:paraId="042D4CEC" w14:textId="77777777" w:rsidR="00AA080E" w:rsidRPr="008A2C89" w:rsidRDefault="00AA080E" w:rsidP="00AA080E">
      <w:pPr>
        <w:tabs>
          <w:tab w:val="left" w:pos="284"/>
          <w:tab w:val="center" w:pos="4536"/>
          <w:tab w:val="right" w:pos="9072"/>
        </w:tabs>
        <w:spacing w:line="259" w:lineRule="auto"/>
        <w:jc w:val="both"/>
        <w:rPr>
          <w:rFonts w:eastAsia="TimesNewRoman"/>
          <w:sz w:val="22"/>
          <w:szCs w:val="22"/>
          <w:lang w:val="hr-HR"/>
        </w:rPr>
      </w:pPr>
      <w:r w:rsidRPr="008A2C89">
        <w:rPr>
          <w:rFonts w:eastAsia="TimesNewRoman"/>
          <w:sz w:val="22"/>
          <w:szCs w:val="22"/>
          <w:lang w:val="hr-HR"/>
        </w:rPr>
        <w:t xml:space="preserve">Farmakokinetika fulvestranta je ispitivana u kliničkoj studiji kod 30 djevojčica sa progresivnim prevremenim pubertetom povezanim sa </w:t>
      </w:r>
      <w:r w:rsidRPr="008A2C89">
        <w:rPr>
          <w:rFonts w:eastAsia="TimesNewRoman"/>
          <w:i/>
          <w:sz w:val="22"/>
          <w:szCs w:val="22"/>
          <w:lang w:val="hr-HR"/>
        </w:rPr>
        <w:t>McCune Albright</w:t>
      </w:r>
      <w:r w:rsidRPr="008A2C89">
        <w:rPr>
          <w:rFonts w:eastAsia="TimesNewRoman"/>
          <w:sz w:val="22"/>
          <w:szCs w:val="22"/>
          <w:lang w:val="hr-HR"/>
        </w:rPr>
        <w:t xml:space="preserve"> sindromom (vidjeti dio 5.1). Pedijatrijske pacijentkinje su imale od 1 do 8 godina, i primale su fulvestrant intramuskularno u dozi od 4 mg/kg mjesečno. Srednje vrijednosti (standardna devijacija) minimalnih koncentracija u ravnotežnom stanju (c</w:t>
      </w:r>
      <w:r w:rsidRPr="008A2C89">
        <w:rPr>
          <w:rFonts w:eastAsia="TimesNewRoman"/>
          <w:sz w:val="22"/>
          <w:szCs w:val="22"/>
          <w:vertAlign w:val="subscript"/>
          <w:lang w:val="hr-HR"/>
        </w:rPr>
        <w:t>min/ss</w:t>
      </w:r>
      <w:r w:rsidRPr="008A2C89">
        <w:rPr>
          <w:rFonts w:eastAsia="TimesNewRoman"/>
          <w:sz w:val="22"/>
          <w:szCs w:val="22"/>
          <w:lang w:val="hr-HR"/>
        </w:rPr>
        <w:t>) i PIK</w:t>
      </w:r>
      <w:r w:rsidRPr="008A2C89">
        <w:rPr>
          <w:rFonts w:eastAsia="TimesNewRoman"/>
          <w:sz w:val="22"/>
          <w:szCs w:val="22"/>
          <w:vertAlign w:val="subscript"/>
          <w:lang w:val="hr-HR"/>
        </w:rPr>
        <w:t>ss</w:t>
      </w:r>
      <w:r w:rsidRPr="008A2C89">
        <w:rPr>
          <w:rFonts w:eastAsia="TimesNewRoman"/>
          <w:sz w:val="22"/>
          <w:szCs w:val="22"/>
          <w:lang w:val="hr-HR"/>
        </w:rPr>
        <w:t xml:space="preserve"> su bile 4,2 (0,9)  ng/ml i 3680 (1020) ng*hr/ml, tim redom. Iako su podaci ograničeni, izgleda da su koncentracije fulvestranta u ravnotežnom stanju kod djece konzistentne sa onima kod odraslih.</w:t>
      </w:r>
    </w:p>
    <w:p w14:paraId="7B938D2D" w14:textId="77777777" w:rsidR="00C717B2" w:rsidRPr="00585C79" w:rsidRDefault="00C717B2" w:rsidP="00480FB1">
      <w:pPr>
        <w:tabs>
          <w:tab w:val="left" w:pos="540"/>
          <w:tab w:val="left" w:pos="569"/>
        </w:tabs>
        <w:rPr>
          <w:bCs/>
          <w:sz w:val="22"/>
          <w:szCs w:val="22"/>
          <w:lang w:val="hr-HR"/>
        </w:rPr>
      </w:pPr>
    </w:p>
    <w:p w14:paraId="669BEFAE" w14:textId="77777777" w:rsidR="0072020E" w:rsidRPr="008A2C89" w:rsidRDefault="0072020E" w:rsidP="00480FB1">
      <w:pPr>
        <w:tabs>
          <w:tab w:val="left" w:pos="540"/>
          <w:tab w:val="left" w:pos="569"/>
        </w:tabs>
        <w:rPr>
          <w:b/>
          <w:bCs/>
          <w:sz w:val="22"/>
          <w:szCs w:val="22"/>
        </w:rPr>
      </w:pPr>
      <w:r w:rsidRPr="008A2C89">
        <w:rPr>
          <w:b/>
          <w:bCs/>
          <w:sz w:val="22"/>
          <w:szCs w:val="22"/>
        </w:rPr>
        <w:t xml:space="preserve">5.3. </w:t>
      </w:r>
      <w:r w:rsidR="00480FB1" w:rsidRPr="008A2C89">
        <w:rPr>
          <w:b/>
          <w:bCs/>
          <w:sz w:val="22"/>
          <w:szCs w:val="22"/>
        </w:rPr>
        <w:tab/>
      </w:r>
      <w:r w:rsidRPr="008A2C89">
        <w:rPr>
          <w:b/>
          <w:bCs/>
          <w:sz w:val="22"/>
          <w:szCs w:val="22"/>
        </w:rPr>
        <w:t xml:space="preserve">Pretklinički podaci o bezbjednosti </w:t>
      </w:r>
    </w:p>
    <w:p w14:paraId="0746DBA1" w14:textId="77777777" w:rsidR="00EA7EEB" w:rsidRPr="008A2C89" w:rsidRDefault="00EA7EEB" w:rsidP="00480FB1">
      <w:pPr>
        <w:tabs>
          <w:tab w:val="left" w:pos="540"/>
          <w:tab w:val="left" w:pos="569"/>
        </w:tabs>
        <w:rPr>
          <w:b/>
          <w:bCs/>
          <w:sz w:val="22"/>
          <w:szCs w:val="22"/>
        </w:rPr>
      </w:pPr>
    </w:p>
    <w:p w14:paraId="446454CD" w14:textId="77777777" w:rsidR="00EA7EEB" w:rsidRPr="008A2C89" w:rsidRDefault="00EA7EEB" w:rsidP="00EA7EEB">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Akutna toksičnost fulvestranta je mala.</w:t>
      </w:r>
    </w:p>
    <w:p w14:paraId="581627D8" w14:textId="77777777" w:rsidR="00EA7EEB" w:rsidRPr="008A2C89" w:rsidRDefault="00EA7EEB" w:rsidP="00EA7EEB">
      <w:pPr>
        <w:autoSpaceDE w:val="0"/>
        <w:autoSpaceDN w:val="0"/>
        <w:adjustRightInd w:val="0"/>
        <w:spacing w:line="259" w:lineRule="auto"/>
        <w:jc w:val="both"/>
        <w:rPr>
          <w:rFonts w:eastAsia="TimesNewRoman"/>
          <w:sz w:val="22"/>
          <w:szCs w:val="22"/>
          <w:lang w:val="hr-HR"/>
        </w:rPr>
      </w:pPr>
    </w:p>
    <w:p w14:paraId="65036E78" w14:textId="77777777" w:rsidR="00EA7EEB" w:rsidRPr="008A2C89" w:rsidRDefault="00EA7EEB" w:rsidP="00EA7EEB">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Referentni lijek i druge oblike fulvestranta su dobro podnosile životinjske vrste korištene u istraživanjima višekratnih doza. Lokalne reakcije, uključujući miozitis i granulome na mjestu injekcije, pripisane su pomoćnim supstancama, ali miozitis je kod kunića bio ozbiljniji kod primjene fulvestranta u poređenju sa fiziološkom rastvorom kao kontrolom. U istraživanjima toksičnosti višestrukih intramuskularnih doza fulvestranta kod pacova i pasa, antiestrogeno djelovanje fulvestranta bilo je odgovorno za većinu opaženih efekata, posebno u reproduktivnom sistemu ženki, ali i u drugim organima osjetljivim na hormone kod oba pola. Kod nekih pasa je nakon hronične primjene (12 mjeseci) opažen arteritis u većem broju različitih tkiva.</w:t>
      </w:r>
    </w:p>
    <w:p w14:paraId="4FB1EC1A" w14:textId="77777777" w:rsidR="00EA7EEB" w:rsidRPr="008A2C89" w:rsidRDefault="00EA7EEB" w:rsidP="00EA7EEB">
      <w:pPr>
        <w:autoSpaceDE w:val="0"/>
        <w:autoSpaceDN w:val="0"/>
        <w:adjustRightInd w:val="0"/>
        <w:spacing w:line="259" w:lineRule="auto"/>
        <w:jc w:val="both"/>
        <w:rPr>
          <w:rFonts w:eastAsia="TimesNewRoman"/>
          <w:color w:val="FF0000"/>
          <w:sz w:val="22"/>
          <w:szCs w:val="22"/>
          <w:lang w:val="hr-HR"/>
        </w:rPr>
      </w:pPr>
    </w:p>
    <w:p w14:paraId="77BB7A9B" w14:textId="77777777" w:rsidR="00EA7EEB" w:rsidRPr="008A2C89" w:rsidRDefault="00EA7EEB" w:rsidP="00EA7EEB">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U istraživanjima na psima nakon peroralne i intravenske primjene zabilježeni su efekti na kardiovaskularni sistem (blaga povišenja S-T segmenta na EKG-u [peroralna primjena] i sinusni arest kod jednog psa [intravenska primjena]). Ovo se dogodilo pri izloženosti koja je bila veća nego kod ljudi (C</w:t>
      </w:r>
      <w:r w:rsidRPr="008A2C89">
        <w:rPr>
          <w:rFonts w:eastAsia="TimesNewRoman"/>
          <w:sz w:val="22"/>
          <w:szCs w:val="22"/>
          <w:vertAlign w:val="subscript"/>
          <w:lang w:val="hr-HR"/>
        </w:rPr>
        <w:t>max</w:t>
      </w:r>
      <w:r w:rsidRPr="008A2C89">
        <w:rPr>
          <w:rFonts w:eastAsia="TimesNewRoman"/>
          <w:sz w:val="22"/>
          <w:szCs w:val="22"/>
          <w:lang w:val="hr-HR"/>
        </w:rPr>
        <w:t>&gt; 15 puta) i vjerovatno ima ograničen značaj za bezbjednost primjene lijeka kod ljudi primjenom kliničke doze.</w:t>
      </w:r>
    </w:p>
    <w:p w14:paraId="6E5B925A" w14:textId="77777777" w:rsidR="00EA7EEB" w:rsidRPr="008A2C89" w:rsidRDefault="00EA7EEB" w:rsidP="00EA7EEB">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Fulvestrant ne posjeduje genotoksični potencijal.</w:t>
      </w:r>
    </w:p>
    <w:p w14:paraId="4A0A8540" w14:textId="77777777" w:rsidR="00EA7EEB" w:rsidRPr="008A2C89" w:rsidRDefault="00EA7EEB" w:rsidP="00EA7EEB">
      <w:pPr>
        <w:autoSpaceDE w:val="0"/>
        <w:autoSpaceDN w:val="0"/>
        <w:adjustRightInd w:val="0"/>
        <w:spacing w:line="259" w:lineRule="auto"/>
        <w:jc w:val="both"/>
        <w:rPr>
          <w:rFonts w:eastAsia="TimesNewRoman"/>
          <w:color w:val="FF0000"/>
          <w:sz w:val="22"/>
          <w:szCs w:val="22"/>
          <w:lang w:val="hr-HR"/>
        </w:rPr>
      </w:pPr>
    </w:p>
    <w:p w14:paraId="10A6BA26" w14:textId="77777777" w:rsidR="00EA7EEB" w:rsidRPr="008A2C89" w:rsidRDefault="00EA7EEB" w:rsidP="00EA7EEB">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 xml:space="preserve">Fulvestrant je u dozama sličnim kliničkim dozama djelovao na reprodukciju i embrio/fetalni razvoj u skladu sa svojom antiestrogenskom aktivnošću. Kod pacova je opisano reverzibilno smanjenje plodnosti ženki i preživljavanja embriona, distocija i povećana učestalost fetalnih abnormalnosti, uključujući tarzalnu fleksiju. Ženke kunića kojima je primijenjen fulvestrant nisu mogle održati skotnost. Opažena </w:t>
      </w:r>
      <w:r w:rsidRPr="008A2C89">
        <w:rPr>
          <w:rFonts w:eastAsia="TimesNewRoman"/>
          <w:sz w:val="22"/>
          <w:szCs w:val="22"/>
          <w:lang w:val="hr-HR"/>
        </w:rPr>
        <w:lastRenderedPageBreak/>
        <w:t>je povećana masa placente i gubitak fetusa nakon implantacije. Zabilježena je povećana incidencija fetalnih varijacija kod kunića (predio karlice i 27. presakralni pršljen pomaknuti unazad).</w:t>
      </w:r>
    </w:p>
    <w:p w14:paraId="67400BBC" w14:textId="77777777" w:rsidR="00EA7EEB" w:rsidRPr="008A2C89" w:rsidRDefault="00EA7EEB" w:rsidP="00EA7EEB">
      <w:pPr>
        <w:autoSpaceDE w:val="0"/>
        <w:autoSpaceDN w:val="0"/>
        <w:adjustRightInd w:val="0"/>
        <w:spacing w:line="259" w:lineRule="auto"/>
        <w:jc w:val="both"/>
        <w:rPr>
          <w:rFonts w:eastAsia="TimesNewRoman"/>
          <w:color w:val="FF0000"/>
          <w:sz w:val="22"/>
          <w:szCs w:val="22"/>
          <w:lang w:val="hr-HR"/>
        </w:rPr>
      </w:pPr>
    </w:p>
    <w:p w14:paraId="1F0F1386" w14:textId="77777777" w:rsidR="00EA7EEB" w:rsidRPr="008A2C89" w:rsidRDefault="00EA7EEB" w:rsidP="00EA7EEB">
      <w:pPr>
        <w:tabs>
          <w:tab w:val="left" w:pos="284"/>
          <w:tab w:val="center" w:pos="4536"/>
          <w:tab w:val="right" w:pos="9072"/>
        </w:tabs>
        <w:spacing w:line="259" w:lineRule="auto"/>
        <w:jc w:val="both"/>
        <w:rPr>
          <w:rFonts w:eastAsia="TimesNewRoman"/>
          <w:sz w:val="22"/>
          <w:szCs w:val="22"/>
          <w:lang w:val="hr-HR"/>
        </w:rPr>
      </w:pPr>
      <w:r w:rsidRPr="008A2C89">
        <w:rPr>
          <w:rFonts w:eastAsia="TimesNewRoman"/>
          <w:sz w:val="22"/>
          <w:szCs w:val="22"/>
          <w:lang w:val="hr-HR"/>
        </w:rPr>
        <w:t>Dvogodišnje istraživanje onkogenosti kod pacova (uz intramuskularnu primjenu fulvestranta) pokazalo je povećanu incidenciju benignih tumora granuloznih ćelija jajnika kod ženki pacova pri visokoj dozi od 10 mg po pacovu tokom 15 dana, a kod mužjaka povećanu incidenciju tumora Leydig-ovih ćelija testisa. U dvogodišnjem istraživanju onkogenosti kod miševa (svakodnevna peroralna primjena) primijećena je povećana incidencija tumora funkcionalnog tkiva jajnika (i benignih i malignih) pri dozama od 150 i 500 mg/5 ml/kg na dan. Na nivou bez dejstva na ove nalaze, sistemska izloženost lijeku (PIK) je kod pacova bila veća od očekivane izloženosti lijeku kod ljudi, oko 1,5 puta za ženski pol i oko 0,8 puta za muški pol, a kod miševa je bila oko 0,8 puta veća od očekivane izloženosti lijeku kod ljudi, nezavisno od pola. Indukcija ovih tumora je u skladu sa promjenom nivoa gonadotropina uzrokovanog poremećajem endokrine povratne sprege koji izazivaju antiestrogeni kod životinja sa ciklusom. Smatra se da dobijeni nalazi nemaju značaj tokom terapijske primjene fulvestranta kod žena u menopauzi koje imaju uznapredovali karcinom dojke.</w:t>
      </w:r>
    </w:p>
    <w:p w14:paraId="206CC88F" w14:textId="77777777" w:rsidR="00EA7EEB" w:rsidRPr="00585C79" w:rsidRDefault="00EA7EEB" w:rsidP="00EA7EEB">
      <w:pPr>
        <w:tabs>
          <w:tab w:val="left" w:pos="540"/>
          <w:tab w:val="left" w:pos="569"/>
        </w:tabs>
        <w:spacing w:line="259" w:lineRule="auto"/>
        <w:jc w:val="both"/>
        <w:rPr>
          <w:rFonts w:eastAsiaTheme="minorHAnsi"/>
          <w:b/>
          <w:bCs/>
          <w:sz w:val="22"/>
          <w:szCs w:val="22"/>
          <w:lang w:val="hr-HR"/>
        </w:rPr>
      </w:pPr>
    </w:p>
    <w:p w14:paraId="0856D75E" w14:textId="77777777" w:rsidR="00EA7EEB" w:rsidRPr="00585C79" w:rsidRDefault="00EA7EEB" w:rsidP="00EA7EEB">
      <w:pPr>
        <w:tabs>
          <w:tab w:val="left" w:pos="540"/>
          <w:tab w:val="left" w:pos="569"/>
        </w:tabs>
        <w:spacing w:line="259" w:lineRule="auto"/>
        <w:jc w:val="both"/>
        <w:rPr>
          <w:rFonts w:eastAsiaTheme="minorHAnsi"/>
          <w:bCs/>
          <w:sz w:val="22"/>
          <w:szCs w:val="22"/>
          <w:u w:val="single"/>
          <w:lang w:val="hr-HR"/>
        </w:rPr>
      </w:pPr>
      <w:r w:rsidRPr="00585C79">
        <w:rPr>
          <w:rFonts w:eastAsiaTheme="minorHAnsi"/>
          <w:bCs/>
          <w:sz w:val="22"/>
          <w:szCs w:val="22"/>
          <w:u w:val="single"/>
          <w:lang w:val="hr-HR"/>
        </w:rPr>
        <w:t>Procjena rizika po životnu sredinu</w:t>
      </w:r>
    </w:p>
    <w:p w14:paraId="0690D438" w14:textId="77777777" w:rsidR="00EA7EEB" w:rsidRPr="00585C79" w:rsidRDefault="00EA7EEB" w:rsidP="00EA7EEB">
      <w:pPr>
        <w:tabs>
          <w:tab w:val="left" w:pos="540"/>
          <w:tab w:val="left" w:pos="569"/>
        </w:tabs>
        <w:spacing w:line="259" w:lineRule="auto"/>
        <w:jc w:val="both"/>
        <w:rPr>
          <w:rFonts w:eastAsiaTheme="minorHAnsi"/>
          <w:b/>
          <w:bCs/>
          <w:sz w:val="22"/>
          <w:szCs w:val="22"/>
          <w:lang w:val="hr-HR"/>
        </w:rPr>
      </w:pPr>
      <w:r w:rsidRPr="00585C79">
        <w:rPr>
          <w:rFonts w:eastAsiaTheme="minorHAnsi"/>
          <w:bCs/>
          <w:sz w:val="22"/>
          <w:szCs w:val="22"/>
          <w:lang w:val="hr-HR"/>
        </w:rPr>
        <w:t>Studije procjene rizika po životnu sredinu su pokazale da fulvestrant može da ima potencijal da izazove neželjene efekte na vodenu sredinu (vidjeti dio 6.6).</w:t>
      </w:r>
    </w:p>
    <w:p w14:paraId="7D2A1C1E" w14:textId="77777777" w:rsidR="00396DFD" w:rsidRPr="00585C79" w:rsidRDefault="00396DFD" w:rsidP="00480FB1">
      <w:pPr>
        <w:tabs>
          <w:tab w:val="left" w:pos="540"/>
          <w:tab w:val="left" w:pos="569"/>
        </w:tabs>
        <w:rPr>
          <w:b/>
          <w:bCs/>
          <w:sz w:val="22"/>
          <w:szCs w:val="22"/>
          <w:lang w:val="hr-HR"/>
        </w:rPr>
      </w:pPr>
    </w:p>
    <w:p w14:paraId="53859871" w14:textId="77777777" w:rsidR="000D24E4" w:rsidRPr="00585C79" w:rsidRDefault="000D24E4" w:rsidP="00480FB1">
      <w:pPr>
        <w:tabs>
          <w:tab w:val="left" w:pos="540"/>
          <w:tab w:val="left" w:pos="569"/>
        </w:tabs>
        <w:rPr>
          <w:b/>
          <w:bCs/>
          <w:sz w:val="22"/>
          <w:szCs w:val="22"/>
          <w:lang w:val="hr-HR"/>
        </w:rPr>
      </w:pPr>
    </w:p>
    <w:p w14:paraId="47361678" w14:textId="77777777" w:rsidR="0072020E" w:rsidRPr="00585C79" w:rsidRDefault="0072020E" w:rsidP="00480FB1">
      <w:pPr>
        <w:tabs>
          <w:tab w:val="left" w:pos="540"/>
          <w:tab w:val="left" w:pos="569"/>
        </w:tabs>
        <w:rPr>
          <w:b/>
          <w:bCs/>
          <w:sz w:val="22"/>
          <w:szCs w:val="22"/>
          <w:lang w:val="hr-HR"/>
        </w:rPr>
      </w:pPr>
      <w:r w:rsidRPr="00585C79">
        <w:rPr>
          <w:b/>
          <w:bCs/>
          <w:sz w:val="22"/>
          <w:szCs w:val="22"/>
          <w:lang w:val="hr-HR"/>
        </w:rPr>
        <w:t xml:space="preserve">6. </w:t>
      </w:r>
      <w:r w:rsidR="00480FB1" w:rsidRPr="00585C79">
        <w:rPr>
          <w:b/>
          <w:bCs/>
          <w:sz w:val="22"/>
          <w:szCs w:val="22"/>
          <w:lang w:val="hr-HR"/>
        </w:rPr>
        <w:tab/>
      </w:r>
      <w:r w:rsidRPr="00585C79">
        <w:rPr>
          <w:b/>
          <w:bCs/>
          <w:sz w:val="22"/>
          <w:szCs w:val="22"/>
          <w:lang w:val="hr-HR"/>
        </w:rPr>
        <w:t>FARMACEUTSKI PODACI</w:t>
      </w:r>
    </w:p>
    <w:p w14:paraId="0108D742" w14:textId="77777777" w:rsidR="00836B35" w:rsidRPr="00585C79" w:rsidRDefault="00836B35" w:rsidP="00480FB1">
      <w:pPr>
        <w:tabs>
          <w:tab w:val="left" w:pos="540"/>
          <w:tab w:val="left" w:pos="569"/>
        </w:tabs>
        <w:rPr>
          <w:bCs/>
          <w:sz w:val="22"/>
          <w:szCs w:val="22"/>
          <w:lang w:val="hr-HR"/>
        </w:rPr>
      </w:pPr>
    </w:p>
    <w:p w14:paraId="4B36B466" w14:textId="77777777" w:rsidR="0072020E" w:rsidRPr="00585C79" w:rsidRDefault="0072020E" w:rsidP="00480FB1">
      <w:pPr>
        <w:tabs>
          <w:tab w:val="left" w:pos="540"/>
          <w:tab w:val="left" w:pos="569"/>
        </w:tabs>
        <w:rPr>
          <w:b/>
          <w:bCs/>
          <w:sz w:val="22"/>
          <w:szCs w:val="22"/>
          <w:lang w:val="hr-HR"/>
        </w:rPr>
      </w:pPr>
      <w:r w:rsidRPr="00585C79">
        <w:rPr>
          <w:b/>
          <w:bCs/>
          <w:sz w:val="22"/>
          <w:szCs w:val="22"/>
          <w:lang w:val="hr-HR"/>
        </w:rPr>
        <w:t xml:space="preserve">6.1. </w:t>
      </w:r>
      <w:r w:rsidR="00480FB1" w:rsidRPr="00585C79">
        <w:rPr>
          <w:b/>
          <w:bCs/>
          <w:sz w:val="22"/>
          <w:szCs w:val="22"/>
          <w:lang w:val="hr-HR"/>
        </w:rPr>
        <w:tab/>
      </w:r>
      <w:r w:rsidRPr="00585C79">
        <w:rPr>
          <w:b/>
          <w:bCs/>
          <w:sz w:val="22"/>
          <w:szCs w:val="22"/>
          <w:lang w:val="hr-HR"/>
        </w:rPr>
        <w:t>Lista pomoćnih supstanci</w:t>
      </w:r>
      <w:r w:rsidR="002E0135" w:rsidRPr="00585C79">
        <w:rPr>
          <w:b/>
          <w:bCs/>
          <w:sz w:val="22"/>
          <w:szCs w:val="22"/>
          <w:lang w:val="hr-HR"/>
        </w:rPr>
        <w:t xml:space="preserve"> (ekscipijenasa)</w:t>
      </w:r>
    </w:p>
    <w:p w14:paraId="0CB39A74" w14:textId="77777777" w:rsidR="00EA7EEB" w:rsidRPr="00585C79" w:rsidRDefault="00EA7EEB" w:rsidP="00480FB1">
      <w:pPr>
        <w:tabs>
          <w:tab w:val="left" w:pos="540"/>
          <w:tab w:val="left" w:pos="569"/>
        </w:tabs>
        <w:rPr>
          <w:b/>
          <w:bCs/>
          <w:sz w:val="22"/>
          <w:szCs w:val="22"/>
          <w:lang w:val="hr-HR"/>
        </w:rPr>
      </w:pPr>
    </w:p>
    <w:p w14:paraId="61391A92" w14:textId="77777777" w:rsidR="00EA7EEB" w:rsidRPr="008A2C89" w:rsidRDefault="00EA7EEB" w:rsidP="00EA7EEB">
      <w:pPr>
        <w:autoSpaceDE w:val="0"/>
        <w:autoSpaceDN w:val="0"/>
        <w:adjustRightInd w:val="0"/>
        <w:spacing w:line="259" w:lineRule="auto"/>
        <w:rPr>
          <w:rFonts w:eastAsia="TimesNewRoman"/>
          <w:sz w:val="22"/>
          <w:szCs w:val="22"/>
          <w:lang w:val="hr-HR"/>
        </w:rPr>
      </w:pPr>
      <w:r w:rsidRPr="008A2C89">
        <w:rPr>
          <w:rFonts w:eastAsia="TimesNewRoman"/>
          <w:sz w:val="22"/>
          <w:szCs w:val="22"/>
          <w:lang w:val="hr-HR"/>
        </w:rPr>
        <w:t xml:space="preserve">etanol (96 %) </w:t>
      </w:r>
    </w:p>
    <w:p w14:paraId="66BD4959" w14:textId="77777777" w:rsidR="00EA7EEB" w:rsidRPr="008A2C89" w:rsidRDefault="00EA7EEB" w:rsidP="00EA7EEB">
      <w:pPr>
        <w:autoSpaceDE w:val="0"/>
        <w:autoSpaceDN w:val="0"/>
        <w:adjustRightInd w:val="0"/>
        <w:spacing w:line="259" w:lineRule="auto"/>
        <w:rPr>
          <w:rFonts w:eastAsia="TimesNewRoman"/>
          <w:sz w:val="22"/>
          <w:szCs w:val="22"/>
          <w:lang w:val="hr-HR"/>
        </w:rPr>
      </w:pPr>
      <w:r w:rsidRPr="008A2C89">
        <w:rPr>
          <w:rFonts w:eastAsia="TimesNewRoman"/>
          <w:sz w:val="22"/>
          <w:szCs w:val="22"/>
          <w:lang w:val="hr-HR"/>
        </w:rPr>
        <w:t>benzil alkohol</w:t>
      </w:r>
    </w:p>
    <w:p w14:paraId="06B3D445" w14:textId="77777777" w:rsidR="00EA7EEB" w:rsidRPr="008A2C89" w:rsidRDefault="00EA7EEB" w:rsidP="00EA7EEB">
      <w:pPr>
        <w:autoSpaceDE w:val="0"/>
        <w:autoSpaceDN w:val="0"/>
        <w:adjustRightInd w:val="0"/>
        <w:spacing w:line="259" w:lineRule="auto"/>
        <w:rPr>
          <w:rFonts w:eastAsia="TimesNewRoman"/>
          <w:sz w:val="22"/>
          <w:szCs w:val="22"/>
          <w:lang w:val="hr-HR"/>
        </w:rPr>
      </w:pPr>
      <w:r w:rsidRPr="008A2C89">
        <w:rPr>
          <w:rFonts w:eastAsia="TimesNewRoman"/>
          <w:sz w:val="22"/>
          <w:szCs w:val="22"/>
          <w:lang w:val="hr-HR"/>
        </w:rPr>
        <w:t>benzil benzoat</w:t>
      </w:r>
    </w:p>
    <w:p w14:paraId="3BE314FD" w14:textId="77777777" w:rsidR="00EA7EEB" w:rsidRPr="008A2C89" w:rsidRDefault="00EA7EEB" w:rsidP="00EA7EEB">
      <w:pPr>
        <w:autoSpaceDE w:val="0"/>
        <w:autoSpaceDN w:val="0"/>
        <w:adjustRightInd w:val="0"/>
        <w:spacing w:line="259" w:lineRule="auto"/>
        <w:rPr>
          <w:rFonts w:eastAsia="TimesNewRoman"/>
          <w:sz w:val="22"/>
          <w:szCs w:val="22"/>
          <w:lang w:val="hr-HR"/>
        </w:rPr>
      </w:pPr>
      <w:r w:rsidRPr="008A2C89">
        <w:rPr>
          <w:rFonts w:eastAsia="TimesNewRoman"/>
          <w:sz w:val="22"/>
          <w:szCs w:val="22"/>
          <w:lang w:val="hr-HR"/>
        </w:rPr>
        <w:t>ricinusovo ulje, rafinisano</w:t>
      </w:r>
    </w:p>
    <w:p w14:paraId="11A8F10D" w14:textId="77777777" w:rsidR="0072020E" w:rsidRPr="00585C79" w:rsidRDefault="0072020E" w:rsidP="00480FB1">
      <w:pPr>
        <w:tabs>
          <w:tab w:val="left" w:pos="540"/>
          <w:tab w:val="left" w:pos="569"/>
        </w:tabs>
        <w:rPr>
          <w:bCs/>
          <w:sz w:val="22"/>
          <w:szCs w:val="22"/>
          <w:lang w:val="de-DE"/>
        </w:rPr>
      </w:pPr>
    </w:p>
    <w:p w14:paraId="1934299C" w14:textId="77777777" w:rsidR="0072020E" w:rsidRPr="008A2C89" w:rsidRDefault="0072020E" w:rsidP="00480FB1">
      <w:pPr>
        <w:tabs>
          <w:tab w:val="left" w:pos="540"/>
          <w:tab w:val="left" w:pos="569"/>
        </w:tabs>
        <w:rPr>
          <w:b/>
          <w:bCs/>
          <w:sz w:val="22"/>
          <w:szCs w:val="22"/>
        </w:rPr>
      </w:pPr>
      <w:r w:rsidRPr="008A2C89">
        <w:rPr>
          <w:b/>
          <w:bCs/>
          <w:sz w:val="22"/>
          <w:szCs w:val="22"/>
        </w:rPr>
        <w:t xml:space="preserve">6.2. </w:t>
      </w:r>
      <w:r w:rsidR="00480FB1" w:rsidRPr="008A2C89">
        <w:rPr>
          <w:b/>
          <w:bCs/>
          <w:sz w:val="22"/>
          <w:szCs w:val="22"/>
        </w:rPr>
        <w:tab/>
      </w:r>
      <w:r w:rsidRPr="008A2C89">
        <w:rPr>
          <w:b/>
          <w:bCs/>
          <w:sz w:val="22"/>
          <w:szCs w:val="22"/>
        </w:rPr>
        <w:t>Inkompatibilnost</w:t>
      </w:r>
      <w:r w:rsidR="002846DB" w:rsidRPr="008A2C89">
        <w:rPr>
          <w:b/>
          <w:bCs/>
          <w:sz w:val="22"/>
          <w:szCs w:val="22"/>
        </w:rPr>
        <w:t>i</w:t>
      </w:r>
    </w:p>
    <w:p w14:paraId="012D0DC2" w14:textId="77777777" w:rsidR="00EA7EEB" w:rsidRPr="008A2C89" w:rsidRDefault="00EA7EEB" w:rsidP="00480FB1">
      <w:pPr>
        <w:tabs>
          <w:tab w:val="left" w:pos="540"/>
          <w:tab w:val="left" w:pos="569"/>
        </w:tabs>
        <w:rPr>
          <w:b/>
          <w:bCs/>
          <w:sz w:val="22"/>
          <w:szCs w:val="22"/>
        </w:rPr>
      </w:pPr>
    </w:p>
    <w:p w14:paraId="387574EA" w14:textId="77777777" w:rsidR="00EA7EEB" w:rsidRPr="008A2C89" w:rsidRDefault="00EA7EEB" w:rsidP="00EA7EEB">
      <w:pPr>
        <w:tabs>
          <w:tab w:val="left" w:pos="540"/>
          <w:tab w:val="left" w:pos="569"/>
        </w:tabs>
        <w:rPr>
          <w:bCs/>
          <w:sz w:val="22"/>
          <w:szCs w:val="22"/>
          <w:lang w:val="hr-HR"/>
        </w:rPr>
      </w:pPr>
      <w:r w:rsidRPr="008A2C89">
        <w:rPr>
          <w:bCs/>
          <w:sz w:val="22"/>
          <w:szCs w:val="22"/>
          <w:lang w:val="hr-HR"/>
        </w:rPr>
        <w:t>Zbog nedostatka ispitivanja kompatibilnosti, ovaj lijek se ne smije miješati sa drugim ljekovima.</w:t>
      </w:r>
    </w:p>
    <w:p w14:paraId="0D12F9A6" w14:textId="77777777" w:rsidR="0072020E" w:rsidRPr="008A2C89" w:rsidRDefault="0072020E" w:rsidP="00480FB1">
      <w:pPr>
        <w:tabs>
          <w:tab w:val="left" w:pos="540"/>
          <w:tab w:val="left" w:pos="569"/>
        </w:tabs>
        <w:rPr>
          <w:bCs/>
          <w:sz w:val="22"/>
          <w:szCs w:val="22"/>
        </w:rPr>
      </w:pPr>
    </w:p>
    <w:p w14:paraId="2BFFFC92" w14:textId="77777777" w:rsidR="0072020E" w:rsidRPr="008A2C89" w:rsidRDefault="0072020E" w:rsidP="00480FB1">
      <w:pPr>
        <w:tabs>
          <w:tab w:val="left" w:pos="540"/>
          <w:tab w:val="left" w:pos="569"/>
        </w:tabs>
        <w:rPr>
          <w:b/>
          <w:bCs/>
          <w:sz w:val="22"/>
          <w:szCs w:val="22"/>
        </w:rPr>
      </w:pPr>
      <w:r w:rsidRPr="008A2C89">
        <w:rPr>
          <w:b/>
          <w:bCs/>
          <w:sz w:val="22"/>
          <w:szCs w:val="22"/>
        </w:rPr>
        <w:t>6.3.</w:t>
      </w:r>
      <w:r w:rsidR="00C05DF8" w:rsidRPr="008A2C89">
        <w:rPr>
          <w:b/>
          <w:bCs/>
          <w:sz w:val="22"/>
          <w:szCs w:val="22"/>
        </w:rPr>
        <w:t xml:space="preserve"> </w:t>
      </w:r>
      <w:r w:rsidR="00480FB1" w:rsidRPr="008A2C89">
        <w:rPr>
          <w:b/>
          <w:bCs/>
          <w:sz w:val="22"/>
          <w:szCs w:val="22"/>
        </w:rPr>
        <w:tab/>
      </w:r>
      <w:r w:rsidRPr="008A2C89">
        <w:rPr>
          <w:b/>
          <w:bCs/>
          <w:sz w:val="22"/>
          <w:szCs w:val="22"/>
        </w:rPr>
        <w:t>Rok upotrebe</w:t>
      </w:r>
    </w:p>
    <w:p w14:paraId="16892769" w14:textId="77777777" w:rsidR="00EA7EEB" w:rsidRPr="008A2C89" w:rsidRDefault="00EA7EEB" w:rsidP="00480FB1">
      <w:pPr>
        <w:tabs>
          <w:tab w:val="left" w:pos="540"/>
          <w:tab w:val="left" w:pos="569"/>
        </w:tabs>
        <w:rPr>
          <w:b/>
          <w:bCs/>
          <w:sz w:val="22"/>
          <w:szCs w:val="22"/>
        </w:rPr>
      </w:pPr>
    </w:p>
    <w:p w14:paraId="26B9ADBB" w14:textId="77777777" w:rsidR="00EA7EEB" w:rsidRPr="008A2C89" w:rsidRDefault="00EA7EEB" w:rsidP="00EA7EEB">
      <w:pPr>
        <w:tabs>
          <w:tab w:val="left" w:pos="540"/>
          <w:tab w:val="left" w:pos="569"/>
        </w:tabs>
        <w:spacing w:line="259" w:lineRule="auto"/>
        <w:rPr>
          <w:rFonts w:eastAsiaTheme="minorHAnsi"/>
          <w:b/>
          <w:bCs/>
          <w:sz w:val="22"/>
          <w:szCs w:val="22"/>
        </w:rPr>
      </w:pPr>
      <w:r w:rsidRPr="008A2C89">
        <w:rPr>
          <w:rFonts w:eastAsia="TimesNewRoman"/>
          <w:sz w:val="22"/>
          <w:szCs w:val="22"/>
          <w:lang w:val="hr-HR"/>
        </w:rPr>
        <w:t>2 godine.</w:t>
      </w:r>
    </w:p>
    <w:p w14:paraId="3C4A9675" w14:textId="77777777" w:rsidR="0072020E" w:rsidRPr="008A2C89" w:rsidRDefault="0072020E" w:rsidP="00480FB1">
      <w:pPr>
        <w:tabs>
          <w:tab w:val="left" w:pos="540"/>
          <w:tab w:val="left" w:pos="569"/>
        </w:tabs>
        <w:rPr>
          <w:bCs/>
          <w:sz w:val="22"/>
          <w:szCs w:val="22"/>
        </w:rPr>
      </w:pPr>
    </w:p>
    <w:p w14:paraId="147AD0D6" w14:textId="77777777" w:rsidR="0072020E" w:rsidRPr="008A2C89" w:rsidRDefault="0072020E" w:rsidP="00480FB1">
      <w:pPr>
        <w:tabs>
          <w:tab w:val="left" w:pos="540"/>
          <w:tab w:val="left" w:pos="569"/>
        </w:tabs>
        <w:rPr>
          <w:b/>
          <w:bCs/>
          <w:sz w:val="22"/>
          <w:szCs w:val="22"/>
        </w:rPr>
      </w:pPr>
      <w:r w:rsidRPr="008A2C89">
        <w:rPr>
          <w:b/>
          <w:bCs/>
          <w:sz w:val="22"/>
          <w:szCs w:val="22"/>
        </w:rPr>
        <w:t xml:space="preserve">6.4. </w:t>
      </w:r>
      <w:r w:rsidR="00480FB1" w:rsidRPr="008A2C89">
        <w:rPr>
          <w:b/>
          <w:bCs/>
          <w:sz w:val="22"/>
          <w:szCs w:val="22"/>
        </w:rPr>
        <w:tab/>
      </w:r>
      <w:r w:rsidRPr="008A2C89">
        <w:rPr>
          <w:b/>
          <w:bCs/>
          <w:sz w:val="22"/>
          <w:szCs w:val="22"/>
        </w:rPr>
        <w:t>Posebne mjere upozorenja pri čuvanju</w:t>
      </w:r>
      <w:r w:rsidR="00F8570A" w:rsidRPr="008A2C89">
        <w:rPr>
          <w:b/>
          <w:bCs/>
          <w:sz w:val="22"/>
          <w:szCs w:val="22"/>
        </w:rPr>
        <w:t xml:space="preserve"> lijeka</w:t>
      </w:r>
    </w:p>
    <w:p w14:paraId="46AA5C69" w14:textId="77777777" w:rsidR="00EA7EEB" w:rsidRPr="008A2C89" w:rsidRDefault="00EA7EEB" w:rsidP="00480FB1">
      <w:pPr>
        <w:tabs>
          <w:tab w:val="left" w:pos="540"/>
          <w:tab w:val="left" w:pos="569"/>
        </w:tabs>
        <w:rPr>
          <w:b/>
          <w:bCs/>
          <w:sz w:val="22"/>
          <w:szCs w:val="22"/>
        </w:rPr>
      </w:pPr>
    </w:p>
    <w:p w14:paraId="10A80A9B" w14:textId="19903F91" w:rsidR="00EA7EEB" w:rsidRPr="008A2C89" w:rsidRDefault="00EA7EEB" w:rsidP="00EA7EEB">
      <w:pPr>
        <w:autoSpaceDE w:val="0"/>
        <w:autoSpaceDN w:val="0"/>
        <w:adjustRightInd w:val="0"/>
        <w:spacing w:line="259" w:lineRule="auto"/>
        <w:rPr>
          <w:rFonts w:eastAsia="TimesNewRoman"/>
          <w:sz w:val="22"/>
          <w:szCs w:val="22"/>
          <w:lang w:val="hr-HR"/>
        </w:rPr>
      </w:pPr>
      <w:r w:rsidRPr="008A2C89">
        <w:rPr>
          <w:rFonts w:eastAsia="TimesNewRoman"/>
          <w:sz w:val="22"/>
          <w:szCs w:val="22"/>
          <w:lang w:val="hr-HR"/>
        </w:rPr>
        <w:t>Čuvati i prevoziti u frižideru (2°C-8°C).</w:t>
      </w:r>
    </w:p>
    <w:p w14:paraId="19AB8359" w14:textId="77777777" w:rsidR="00EA7EEB" w:rsidRPr="008A2C89" w:rsidRDefault="00EA7EEB" w:rsidP="00EA7EEB">
      <w:pPr>
        <w:autoSpaceDE w:val="0"/>
        <w:autoSpaceDN w:val="0"/>
        <w:adjustRightInd w:val="0"/>
        <w:spacing w:line="259" w:lineRule="auto"/>
        <w:rPr>
          <w:rFonts w:eastAsia="TimesNewRoman,Bold"/>
          <w:color w:val="FF0000"/>
          <w:sz w:val="22"/>
          <w:szCs w:val="22"/>
          <w:lang w:val="hr-HR"/>
        </w:rPr>
      </w:pPr>
    </w:p>
    <w:p w14:paraId="63DAB928" w14:textId="6F6C483B" w:rsidR="00EA7EEB" w:rsidRPr="008A2C89" w:rsidRDefault="00EA7EEB" w:rsidP="00EA7EEB">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Moraju se ograničiti temperaturna odstupanja izvan raspona od 2°C-8°C. To znači da treba izbjegavati čuvanje lijeka na temperaturama iznad 25°C kao i da se lijek ne smije čuvati na prosječnoj temperaturi ispod 25°C (ali iznad 2°C-8°C) duže od 28 dana. Nakon temperaturnog odstupanja, lijek se mora odmah vratiti u preporučene uslove čuvanja (čuvati i prevoziti na hladnom, na temperaturi od 2°C-8°C).</w:t>
      </w:r>
    </w:p>
    <w:p w14:paraId="58FE2CD7" w14:textId="77777777" w:rsidR="00EA7EEB" w:rsidRPr="008A2C89" w:rsidRDefault="00EA7EEB" w:rsidP="00EA7EEB">
      <w:pPr>
        <w:autoSpaceDE w:val="0"/>
        <w:autoSpaceDN w:val="0"/>
        <w:adjustRightInd w:val="0"/>
        <w:spacing w:line="259" w:lineRule="auto"/>
        <w:jc w:val="both"/>
        <w:rPr>
          <w:rFonts w:eastAsia="TimesNewRoman"/>
          <w:sz w:val="22"/>
          <w:szCs w:val="22"/>
          <w:lang w:val="hr-HR"/>
        </w:rPr>
      </w:pPr>
    </w:p>
    <w:p w14:paraId="2A0B10DE" w14:textId="77777777" w:rsidR="00EA7EEB" w:rsidRPr="008A2C89" w:rsidRDefault="00EA7EEB" w:rsidP="00EA7EEB">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Temperaturna odstupanja imaju kumulativan efekat na kvalitet lijeka, pa se ne smije prekoračiti spomenuti period od 28 dana tokom dvogodišnjeg roka upotrebe lijeka Fulvestrant Pliva (vidjeti dio 6.3). Izlaganje temperaturama ispod 2°C neće naškoditi lijeku, pod uslovom da se ne čuva na temperaturi ispod –20°C.</w:t>
      </w:r>
    </w:p>
    <w:p w14:paraId="0592E98C" w14:textId="77777777" w:rsidR="00EA7EEB" w:rsidRPr="008A2C89" w:rsidRDefault="00EA7EEB" w:rsidP="00EA7EEB">
      <w:pPr>
        <w:autoSpaceDE w:val="0"/>
        <w:autoSpaceDN w:val="0"/>
        <w:adjustRightInd w:val="0"/>
        <w:spacing w:line="259" w:lineRule="auto"/>
        <w:rPr>
          <w:rFonts w:eastAsia="TimesNewRoman"/>
          <w:sz w:val="22"/>
          <w:szCs w:val="22"/>
          <w:lang w:val="hr-HR"/>
        </w:rPr>
      </w:pPr>
      <w:r w:rsidRPr="008A2C89">
        <w:rPr>
          <w:rFonts w:eastAsia="TimesNewRoman"/>
          <w:sz w:val="22"/>
          <w:szCs w:val="22"/>
          <w:lang w:val="hr-HR"/>
        </w:rPr>
        <w:t>Napunjeni injekcioni špric čuvati u originalnom pakovanju radi zaštite od svjetlosti.</w:t>
      </w:r>
    </w:p>
    <w:p w14:paraId="70164B9D" w14:textId="77777777" w:rsidR="00EC2532" w:rsidRPr="00585C79" w:rsidRDefault="00EC2532" w:rsidP="00480FB1">
      <w:pPr>
        <w:tabs>
          <w:tab w:val="left" w:pos="540"/>
          <w:tab w:val="left" w:pos="569"/>
        </w:tabs>
        <w:rPr>
          <w:bCs/>
          <w:sz w:val="22"/>
          <w:szCs w:val="22"/>
          <w:lang w:val="hr-HR"/>
        </w:rPr>
      </w:pPr>
    </w:p>
    <w:p w14:paraId="225FC93D" w14:textId="77777777" w:rsidR="0072020E" w:rsidRPr="008A2C89" w:rsidRDefault="0072020E" w:rsidP="00480FB1">
      <w:pPr>
        <w:tabs>
          <w:tab w:val="left" w:pos="540"/>
          <w:tab w:val="left" w:pos="569"/>
        </w:tabs>
        <w:rPr>
          <w:b/>
          <w:bCs/>
          <w:sz w:val="22"/>
          <w:szCs w:val="22"/>
        </w:rPr>
      </w:pPr>
      <w:r w:rsidRPr="008A2C89">
        <w:rPr>
          <w:b/>
          <w:bCs/>
          <w:sz w:val="22"/>
          <w:szCs w:val="22"/>
        </w:rPr>
        <w:t xml:space="preserve">6.5. </w:t>
      </w:r>
      <w:r w:rsidR="00480FB1" w:rsidRPr="008A2C89">
        <w:rPr>
          <w:b/>
          <w:bCs/>
          <w:sz w:val="22"/>
          <w:szCs w:val="22"/>
        </w:rPr>
        <w:tab/>
      </w:r>
      <w:r w:rsidR="002846DB" w:rsidRPr="008A2C89">
        <w:rPr>
          <w:b/>
          <w:bCs/>
          <w:sz w:val="22"/>
          <w:szCs w:val="22"/>
        </w:rPr>
        <w:t xml:space="preserve">Vrsta i sadržaj </w:t>
      </w:r>
      <w:r w:rsidR="00F8570A" w:rsidRPr="008A2C89">
        <w:rPr>
          <w:b/>
          <w:bCs/>
          <w:sz w:val="22"/>
          <w:szCs w:val="22"/>
        </w:rPr>
        <w:t>pakovanja</w:t>
      </w:r>
      <w:r w:rsidR="00C06864" w:rsidRPr="008A2C89">
        <w:rPr>
          <w:b/>
          <w:bCs/>
          <w:sz w:val="22"/>
          <w:szCs w:val="22"/>
        </w:rPr>
        <w:t xml:space="preserve"> </w:t>
      </w:r>
    </w:p>
    <w:p w14:paraId="4FB7DEBC" w14:textId="77777777" w:rsidR="00EA7EEB" w:rsidRPr="008A2C89" w:rsidRDefault="00EA7EEB" w:rsidP="00480FB1">
      <w:pPr>
        <w:tabs>
          <w:tab w:val="left" w:pos="540"/>
          <w:tab w:val="left" w:pos="569"/>
        </w:tabs>
        <w:rPr>
          <w:b/>
          <w:bCs/>
          <w:sz w:val="22"/>
          <w:szCs w:val="22"/>
        </w:rPr>
      </w:pPr>
    </w:p>
    <w:p w14:paraId="5BE8A744" w14:textId="77777777" w:rsidR="00EA7EEB" w:rsidRPr="008A2C89" w:rsidRDefault="00EA7EEB" w:rsidP="00EA7EEB">
      <w:pPr>
        <w:autoSpaceDE w:val="0"/>
        <w:autoSpaceDN w:val="0"/>
        <w:adjustRightInd w:val="0"/>
        <w:spacing w:line="259" w:lineRule="auto"/>
        <w:rPr>
          <w:rFonts w:eastAsia="TimesNewRoman"/>
          <w:sz w:val="22"/>
          <w:szCs w:val="22"/>
          <w:lang w:val="hr-HR"/>
        </w:rPr>
      </w:pPr>
      <w:r w:rsidRPr="008A2C89">
        <w:rPr>
          <w:rFonts w:eastAsia="TimesNewRoman"/>
          <w:sz w:val="22"/>
          <w:szCs w:val="22"/>
          <w:lang w:val="hr-HR"/>
        </w:rPr>
        <w:t>Pakovanje s napunjenim injekcionim špricem se sastoji od:</w:t>
      </w:r>
    </w:p>
    <w:p w14:paraId="0765B4CC" w14:textId="77777777" w:rsidR="00EA7EEB" w:rsidRPr="008A2C89" w:rsidRDefault="00EA7EEB" w:rsidP="00EA7EEB">
      <w:pPr>
        <w:autoSpaceDE w:val="0"/>
        <w:autoSpaceDN w:val="0"/>
        <w:adjustRightInd w:val="0"/>
        <w:spacing w:line="259" w:lineRule="auto"/>
        <w:rPr>
          <w:rFonts w:eastAsia="TimesNewRoman,Bold"/>
          <w:bCs/>
          <w:sz w:val="22"/>
          <w:szCs w:val="22"/>
          <w:lang w:val="hr-HR"/>
        </w:rPr>
      </w:pPr>
    </w:p>
    <w:p w14:paraId="63D5A876" w14:textId="281BFD9D" w:rsidR="00EA7EEB" w:rsidRPr="008A2C89" w:rsidRDefault="00EA7EEB" w:rsidP="00EA7EEB">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 xml:space="preserve">Jednog napunjenog injekcionog šprica od prozirnog stakla tipa </w:t>
      </w:r>
      <w:r w:rsidR="00654B88">
        <w:rPr>
          <w:rFonts w:eastAsia="TimesNewRoman"/>
          <w:sz w:val="22"/>
          <w:szCs w:val="22"/>
          <w:lang w:val="hr-HR"/>
        </w:rPr>
        <w:t>I</w:t>
      </w:r>
      <w:r w:rsidRPr="008A2C89">
        <w:rPr>
          <w:rFonts w:eastAsia="TimesNewRoman"/>
          <w:sz w:val="22"/>
          <w:szCs w:val="22"/>
          <w:lang w:val="hr-HR"/>
        </w:rPr>
        <w:t xml:space="preserve"> sa potisnim klipom od polipropilena i </w:t>
      </w:r>
      <w:r w:rsidR="007A7366" w:rsidRPr="008A2C89">
        <w:rPr>
          <w:rFonts w:eastAsia="TimesNewRoman"/>
          <w:sz w:val="22"/>
          <w:szCs w:val="22"/>
          <w:lang w:val="hr-HR"/>
        </w:rPr>
        <w:t>Luer-Lock konektorom</w:t>
      </w:r>
      <w:r w:rsidRPr="008A2C89">
        <w:rPr>
          <w:rFonts w:eastAsia="TimesNewRoman"/>
          <w:sz w:val="22"/>
          <w:szCs w:val="22"/>
          <w:lang w:val="hr-HR"/>
        </w:rPr>
        <w:t>, koji sadrži 5 ml Fulvestrant Pliva rastvora za injekciju. U pakovanju se nalazi i sigurnosna igla za spajanje na trup šprica.</w:t>
      </w:r>
    </w:p>
    <w:p w14:paraId="16AC931B" w14:textId="77777777" w:rsidR="00EA7EEB" w:rsidRPr="008A2C89" w:rsidRDefault="00EA7EEB" w:rsidP="00EA7EEB">
      <w:pPr>
        <w:autoSpaceDE w:val="0"/>
        <w:autoSpaceDN w:val="0"/>
        <w:adjustRightInd w:val="0"/>
        <w:spacing w:line="259" w:lineRule="auto"/>
        <w:rPr>
          <w:rFonts w:eastAsia="TimesNewRoman"/>
          <w:sz w:val="22"/>
          <w:szCs w:val="22"/>
          <w:lang w:val="hr-HR"/>
        </w:rPr>
      </w:pPr>
    </w:p>
    <w:p w14:paraId="5300087D" w14:textId="54DD4561" w:rsidR="00654B88" w:rsidRPr="008A2C89" w:rsidRDefault="00EA7EEB" w:rsidP="00EA7EEB">
      <w:pPr>
        <w:autoSpaceDE w:val="0"/>
        <w:autoSpaceDN w:val="0"/>
        <w:adjustRightInd w:val="0"/>
        <w:spacing w:line="259" w:lineRule="auto"/>
        <w:rPr>
          <w:rFonts w:eastAsia="TimesNewRoman"/>
          <w:sz w:val="22"/>
          <w:szCs w:val="22"/>
          <w:lang w:val="hr-HR"/>
        </w:rPr>
      </w:pPr>
      <w:r w:rsidRPr="008A2C89">
        <w:rPr>
          <w:rFonts w:eastAsia="TimesNewRoman"/>
          <w:sz w:val="22"/>
          <w:szCs w:val="22"/>
          <w:lang w:val="hr-HR"/>
        </w:rPr>
        <w:t>Ili</w:t>
      </w:r>
    </w:p>
    <w:p w14:paraId="43527DB3" w14:textId="77777777" w:rsidR="00EA7EEB" w:rsidRPr="008A2C89" w:rsidRDefault="00EA7EEB" w:rsidP="00EA7EEB">
      <w:pPr>
        <w:autoSpaceDE w:val="0"/>
        <w:autoSpaceDN w:val="0"/>
        <w:adjustRightInd w:val="0"/>
        <w:spacing w:line="259" w:lineRule="auto"/>
        <w:rPr>
          <w:rFonts w:eastAsia="TimesNewRoman"/>
          <w:sz w:val="22"/>
          <w:szCs w:val="22"/>
          <w:lang w:val="hr-HR"/>
        </w:rPr>
      </w:pPr>
    </w:p>
    <w:p w14:paraId="4EAD1125" w14:textId="47BB6FCE" w:rsidR="00EA7EEB" w:rsidRPr="008A2C89" w:rsidRDefault="00EA7EEB" w:rsidP="00EA7EEB">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 xml:space="preserve">Dva napunjena injekciona šprica od prozirnog stakla tipa </w:t>
      </w:r>
      <w:r w:rsidR="00654B88">
        <w:rPr>
          <w:rFonts w:eastAsia="TimesNewRoman"/>
          <w:sz w:val="22"/>
          <w:szCs w:val="22"/>
          <w:lang w:val="hr-HR"/>
        </w:rPr>
        <w:t>I</w:t>
      </w:r>
      <w:r w:rsidRPr="008A2C89">
        <w:rPr>
          <w:rFonts w:eastAsia="TimesNewRoman"/>
          <w:sz w:val="22"/>
          <w:szCs w:val="22"/>
          <w:lang w:val="hr-HR"/>
        </w:rPr>
        <w:t xml:space="preserve"> sa potisnim klipom od polipropilena i </w:t>
      </w:r>
      <w:r w:rsidR="007A7366" w:rsidRPr="008A2C89">
        <w:rPr>
          <w:rFonts w:eastAsia="TimesNewRoman"/>
          <w:sz w:val="22"/>
          <w:szCs w:val="22"/>
          <w:lang w:val="hr-HR"/>
        </w:rPr>
        <w:t>Luer-Lock konektorom</w:t>
      </w:r>
      <w:r w:rsidRPr="008A2C89">
        <w:rPr>
          <w:rFonts w:eastAsia="TimesNewRoman"/>
          <w:sz w:val="22"/>
          <w:szCs w:val="22"/>
          <w:lang w:val="hr-HR"/>
        </w:rPr>
        <w:t>, od kojih svaki sadrži 5 ml Fulvestrant Pliva rastvora za injekciju. U pakovanju se nalaze i sigurnosne igle za spajanje na svaki trup šprica.</w:t>
      </w:r>
    </w:p>
    <w:p w14:paraId="60779F77" w14:textId="77777777" w:rsidR="0072020E" w:rsidRPr="00585C79" w:rsidRDefault="0072020E" w:rsidP="00480FB1">
      <w:pPr>
        <w:tabs>
          <w:tab w:val="left" w:pos="540"/>
          <w:tab w:val="left" w:pos="569"/>
        </w:tabs>
        <w:rPr>
          <w:bCs/>
          <w:sz w:val="22"/>
          <w:szCs w:val="22"/>
          <w:lang w:val="hr-HR"/>
        </w:rPr>
      </w:pPr>
    </w:p>
    <w:p w14:paraId="682D8F11" w14:textId="77777777" w:rsidR="002846DB" w:rsidRPr="00585C79" w:rsidRDefault="0072020E" w:rsidP="00480FB1">
      <w:pPr>
        <w:tabs>
          <w:tab w:val="left" w:pos="540"/>
          <w:tab w:val="left" w:pos="569"/>
        </w:tabs>
        <w:rPr>
          <w:b/>
          <w:bCs/>
          <w:sz w:val="22"/>
          <w:szCs w:val="22"/>
          <w:lang w:val="hr-HR"/>
        </w:rPr>
      </w:pPr>
      <w:r w:rsidRPr="00585C79">
        <w:rPr>
          <w:b/>
          <w:bCs/>
          <w:sz w:val="22"/>
          <w:szCs w:val="22"/>
          <w:lang w:val="hr-HR"/>
        </w:rPr>
        <w:t xml:space="preserve">6.6. </w:t>
      </w:r>
      <w:r w:rsidR="00480FB1" w:rsidRPr="00585C79">
        <w:rPr>
          <w:b/>
          <w:bCs/>
          <w:sz w:val="22"/>
          <w:szCs w:val="22"/>
          <w:lang w:val="hr-HR"/>
        </w:rPr>
        <w:tab/>
      </w:r>
      <w:r w:rsidRPr="00585C79">
        <w:rPr>
          <w:b/>
          <w:bCs/>
          <w:color w:val="000000"/>
          <w:sz w:val="22"/>
          <w:szCs w:val="22"/>
          <w:lang w:val="hr-HR"/>
        </w:rPr>
        <w:t>Posebne mjere opreza pri odlaganju materijala koji treba odbaciti nakon primjene lijeka</w:t>
      </w:r>
      <w:r w:rsidRPr="00585C79">
        <w:rPr>
          <w:b/>
          <w:bCs/>
          <w:sz w:val="22"/>
          <w:szCs w:val="22"/>
          <w:lang w:val="hr-HR"/>
        </w:rPr>
        <w:t xml:space="preserve"> </w:t>
      </w:r>
      <w:r w:rsidR="00310F03" w:rsidRPr="00585C79">
        <w:rPr>
          <w:b/>
          <w:bCs/>
          <w:sz w:val="22"/>
          <w:szCs w:val="22"/>
          <w:lang w:val="hr-HR"/>
        </w:rPr>
        <w:t>(i druga uputs</w:t>
      </w:r>
      <w:r w:rsidR="004109FA" w:rsidRPr="00585C79">
        <w:rPr>
          <w:b/>
          <w:bCs/>
          <w:sz w:val="22"/>
          <w:szCs w:val="22"/>
          <w:lang w:val="hr-HR"/>
        </w:rPr>
        <w:t>t</w:t>
      </w:r>
      <w:r w:rsidR="00310F03" w:rsidRPr="00585C79">
        <w:rPr>
          <w:b/>
          <w:bCs/>
          <w:sz w:val="22"/>
          <w:szCs w:val="22"/>
          <w:lang w:val="hr-HR"/>
        </w:rPr>
        <w:t xml:space="preserve">va za rukovanje lijekom) </w:t>
      </w:r>
    </w:p>
    <w:p w14:paraId="36D65C2A" w14:textId="77777777" w:rsidR="00EA7EEB" w:rsidRPr="00585C79" w:rsidRDefault="00EA7EEB" w:rsidP="00480FB1">
      <w:pPr>
        <w:tabs>
          <w:tab w:val="left" w:pos="540"/>
          <w:tab w:val="left" w:pos="569"/>
        </w:tabs>
        <w:rPr>
          <w:b/>
          <w:bCs/>
          <w:sz w:val="22"/>
          <w:szCs w:val="22"/>
          <w:lang w:val="hr-HR"/>
        </w:rPr>
      </w:pPr>
    </w:p>
    <w:p w14:paraId="589A7AB1" w14:textId="77777777" w:rsidR="00EA7EEB" w:rsidRPr="008A2C89" w:rsidRDefault="00EA7EEB" w:rsidP="00EA7EEB">
      <w:pPr>
        <w:autoSpaceDE w:val="0"/>
        <w:autoSpaceDN w:val="0"/>
        <w:adjustRightInd w:val="0"/>
        <w:spacing w:line="259" w:lineRule="auto"/>
        <w:jc w:val="both"/>
        <w:rPr>
          <w:rFonts w:eastAsia="TimesNewRoman"/>
          <w:sz w:val="22"/>
          <w:szCs w:val="22"/>
          <w:u w:val="single"/>
          <w:lang w:val="hr-HR"/>
        </w:rPr>
      </w:pPr>
      <w:r w:rsidRPr="008A2C89">
        <w:rPr>
          <w:rFonts w:eastAsia="TimesNewRoman"/>
          <w:sz w:val="22"/>
          <w:szCs w:val="22"/>
          <w:u w:val="single"/>
          <w:lang w:val="hr-HR"/>
        </w:rPr>
        <w:t>Uputstvo za primjenu</w:t>
      </w:r>
    </w:p>
    <w:p w14:paraId="3961C46C" w14:textId="77777777" w:rsidR="00EA7EEB" w:rsidRPr="008A2C89" w:rsidRDefault="00EA7EEB" w:rsidP="00EA7EEB">
      <w:pPr>
        <w:tabs>
          <w:tab w:val="left" w:pos="540"/>
          <w:tab w:val="left" w:pos="569"/>
        </w:tabs>
        <w:spacing w:line="259" w:lineRule="auto"/>
        <w:jc w:val="both"/>
        <w:rPr>
          <w:rFonts w:eastAsia="TimesNewRoman"/>
          <w:sz w:val="22"/>
          <w:szCs w:val="22"/>
          <w:u w:val="single"/>
          <w:lang w:val="hr-HR"/>
        </w:rPr>
      </w:pPr>
    </w:p>
    <w:p w14:paraId="76B94131" w14:textId="77777777" w:rsidR="00EA7EEB" w:rsidRPr="00AE5D50" w:rsidRDefault="00EA7EEB" w:rsidP="00EA7EEB">
      <w:pPr>
        <w:autoSpaceDE w:val="0"/>
        <w:autoSpaceDN w:val="0"/>
        <w:adjustRightInd w:val="0"/>
        <w:spacing w:line="259" w:lineRule="auto"/>
        <w:jc w:val="both"/>
        <w:rPr>
          <w:rFonts w:eastAsia="TimesNewRoman"/>
          <w:sz w:val="22"/>
          <w:szCs w:val="22"/>
          <w:lang w:val="hr-HR"/>
        </w:rPr>
      </w:pPr>
      <w:r w:rsidRPr="00AE5D50">
        <w:rPr>
          <w:rFonts w:eastAsia="TimesNewRoman"/>
          <w:sz w:val="22"/>
          <w:szCs w:val="22"/>
          <w:lang w:val="hr-HR"/>
        </w:rPr>
        <w:t>Primijenite injekciju prema lokalnim smjernicama za primjenu intramuskularnih injekcija velikog volumena.</w:t>
      </w:r>
    </w:p>
    <w:p w14:paraId="3C06EC76" w14:textId="77777777" w:rsidR="00EA7EEB" w:rsidRPr="008A2C89" w:rsidRDefault="00EA7EEB" w:rsidP="00EA7EEB">
      <w:pPr>
        <w:autoSpaceDE w:val="0"/>
        <w:autoSpaceDN w:val="0"/>
        <w:adjustRightInd w:val="0"/>
        <w:spacing w:line="259" w:lineRule="auto"/>
        <w:jc w:val="both"/>
        <w:rPr>
          <w:rFonts w:eastAsia="TimesNewRoman"/>
          <w:sz w:val="22"/>
          <w:szCs w:val="22"/>
          <w:u w:val="single"/>
          <w:lang w:val="hr-HR"/>
        </w:rPr>
      </w:pPr>
    </w:p>
    <w:p w14:paraId="70AA47DA" w14:textId="77777777" w:rsidR="00EA7EEB" w:rsidRPr="00585C79" w:rsidRDefault="00EA7EEB" w:rsidP="00EA7EEB">
      <w:pPr>
        <w:tabs>
          <w:tab w:val="left" w:pos="540"/>
          <w:tab w:val="left" w:pos="569"/>
        </w:tabs>
        <w:spacing w:line="259" w:lineRule="auto"/>
        <w:jc w:val="both"/>
        <w:rPr>
          <w:rFonts w:eastAsiaTheme="minorHAnsi"/>
          <w:bCs/>
          <w:sz w:val="22"/>
          <w:szCs w:val="22"/>
          <w:lang w:val="hr-HR"/>
        </w:rPr>
      </w:pPr>
      <w:r w:rsidRPr="00585C79">
        <w:rPr>
          <w:rFonts w:eastAsiaTheme="minorHAnsi"/>
          <w:bCs/>
          <w:sz w:val="22"/>
          <w:szCs w:val="22"/>
          <w:lang w:val="hr-HR"/>
        </w:rPr>
        <w:t>Napomena: Zbog blizine išijadičnog živca, potreban je oprez ako se lijek Fulvestrant Pliva primjenjuje na dorzoglutealnom mjestu injiciranja (vidjeti dio 4.4).</w:t>
      </w:r>
    </w:p>
    <w:p w14:paraId="4F935FFE" w14:textId="77777777" w:rsidR="00EA7EEB" w:rsidRPr="008A2C89" w:rsidRDefault="00EA7EEB" w:rsidP="00EA7EEB">
      <w:pPr>
        <w:autoSpaceDE w:val="0"/>
        <w:autoSpaceDN w:val="0"/>
        <w:adjustRightInd w:val="0"/>
        <w:spacing w:line="259" w:lineRule="auto"/>
        <w:jc w:val="both"/>
        <w:rPr>
          <w:rFonts w:eastAsia="TimesNewRoman"/>
          <w:sz w:val="22"/>
          <w:szCs w:val="22"/>
          <w:lang w:val="hr-HR"/>
        </w:rPr>
      </w:pPr>
    </w:p>
    <w:p w14:paraId="63D67F65" w14:textId="77777777" w:rsidR="00EA7EEB" w:rsidRPr="008A2C89" w:rsidRDefault="00EA7EEB" w:rsidP="00EA7EEB">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 xml:space="preserve">Upozorenje – nemojte autoklavirati sigurnosnu iglu prije primjene. </w:t>
      </w:r>
    </w:p>
    <w:p w14:paraId="36E223A7" w14:textId="77777777" w:rsidR="00EA7EEB" w:rsidRPr="008A2C89" w:rsidRDefault="00EA7EEB" w:rsidP="00EA7EEB">
      <w:pPr>
        <w:autoSpaceDE w:val="0"/>
        <w:autoSpaceDN w:val="0"/>
        <w:adjustRightInd w:val="0"/>
        <w:spacing w:line="259" w:lineRule="auto"/>
        <w:jc w:val="both"/>
        <w:rPr>
          <w:rFonts w:eastAsia="TimesNewRoman"/>
          <w:sz w:val="22"/>
          <w:szCs w:val="22"/>
          <w:lang w:val="hr-HR"/>
        </w:rPr>
      </w:pPr>
    </w:p>
    <w:p w14:paraId="3E3F76A4" w14:textId="7CBD1C4E" w:rsidR="00963B2A" w:rsidRDefault="00EA7EEB" w:rsidP="00EA7EEB">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Ruke se moraju nalaziti ispod vrha igle za vrijeme rukovanja iglom i za vrijeme odlaganja igle.</w:t>
      </w:r>
    </w:p>
    <w:p w14:paraId="23B75469" w14:textId="77777777" w:rsidR="00963B2A" w:rsidRDefault="00963B2A" w:rsidP="00EA7EEB">
      <w:pPr>
        <w:autoSpaceDE w:val="0"/>
        <w:autoSpaceDN w:val="0"/>
        <w:adjustRightInd w:val="0"/>
        <w:spacing w:line="259" w:lineRule="auto"/>
        <w:jc w:val="both"/>
        <w:rPr>
          <w:rFonts w:eastAsia="TimesNewRoman"/>
          <w:sz w:val="22"/>
          <w:szCs w:val="22"/>
          <w:lang w:val="hr-HR"/>
        </w:rPr>
      </w:pPr>
    </w:p>
    <w:p w14:paraId="747E349A" w14:textId="77777777" w:rsidR="007158CE" w:rsidRPr="008A2C89" w:rsidRDefault="007158CE" w:rsidP="007158CE">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Za svaki od dva šprica:</w:t>
      </w:r>
    </w:p>
    <w:p w14:paraId="28B4F60D" w14:textId="77777777" w:rsidR="007158CE" w:rsidRPr="008A2C89" w:rsidRDefault="007158CE" w:rsidP="007158CE">
      <w:pPr>
        <w:autoSpaceDE w:val="0"/>
        <w:autoSpaceDN w:val="0"/>
        <w:adjustRightInd w:val="0"/>
        <w:spacing w:line="259" w:lineRule="auto"/>
        <w:jc w:val="both"/>
        <w:rPr>
          <w:rFonts w:eastAsia="TimesNewRoman"/>
          <w:color w:val="FF0000"/>
          <w:sz w:val="22"/>
          <w:szCs w:val="22"/>
          <w:lang w:val="hr-HR"/>
        </w:rPr>
      </w:pPr>
      <w:r w:rsidRPr="008A2C89">
        <w:rPr>
          <w:rFonts w:eastAsia="TimesNewRoman"/>
          <w:noProof/>
          <w:sz w:val="22"/>
          <w:szCs w:val="22"/>
        </w:rPr>
        <w:drawing>
          <wp:anchor distT="0" distB="0" distL="215900" distR="252095" simplePos="0" relativeHeight="251658240" behindDoc="0" locked="0" layoutInCell="1" allowOverlap="1" wp14:anchorId="5A6E63E7" wp14:editId="57FB854F">
            <wp:simplePos x="0" y="0"/>
            <wp:positionH relativeFrom="column">
              <wp:posOffset>3785870</wp:posOffset>
            </wp:positionH>
            <wp:positionV relativeFrom="paragraph">
              <wp:posOffset>154305</wp:posOffset>
            </wp:positionV>
            <wp:extent cx="2124075" cy="197929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24075" cy="1979295"/>
                    </a:xfrm>
                    <a:prstGeom prst="rect">
                      <a:avLst/>
                    </a:prstGeom>
                  </pic:spPr>
                </pic:pic>
              </a:graphicData>
            </a:graphic>
            <wp14:sizeRelH relativeFrom="margin">
              <wp14:pctWidth>0</wp14:pctWidth>
            </wp14:sizeRelH>
            <wp14:sizeRelV relativeFrom="margin">
              <wp14:pctHeight>0</wp14:pctHeight>
            </wp14:sizeRelV>
          </wp:anchor>
        </w:drawing>
      </w:r>
    </w:p>
    <w:p w14:paraId="39C8BBA4" w14:textId="10044470" w:rsidR="007158CE" w:rsidRPr="00CA3906" w:rsidRDefault="007158CE" w:rsidP="00AE5D50">
      <w:pPr>
        <w:numPr>
          <w:ilvl w:val="0"/>
          <w:numId w:val="14"/>
        </w:numPr>
        <w:autoSpaceDE w:val="0"/>
        <w:autoSpaceDN w:val="0"/>
        <w:adjustRightInd w:val="0"/>
        <w:spacing w:after="160" w:line="276" w:lineRule="auto"/>
        <w:ind w:left="357" w:right="2977" w:hanging="357"/>
        <w:contextualSpacing/>
        <w:jc w:val="both"/>
        <w:rPr>
          <w:rFonts w:eastAsia="TimesNewRoman"/>
          <w:sz w:val="22"/>
          <w:szCs w:val="22"/>
          <w:lang w:val="hr-HR"/>
        </w:rPr>
      </w:pPr>
      <w:r w:rsidRPr="008A2C89">
        <w:rPr>
          <w:rFonts w:eastAsia="TimesNewRoman"/>
          <w:sz w:val="22"/>
          <w:szCs w:val="22"/>
          <w:lang w:val="hr-HR"/>
        </w:rPr>
        <w:t xml:space="preserve">Izvadite cilindar šprica iz podloge i provjerite da </w:t>
      </w:r>
      <w:r w:rsidRPr="00CA3906">
        <w:rPr>
          <w:rFonts w:eastAsia="TimesNewRoman"/>
          <w:sz w:val="22"/>
          <w:szCs w:val="22"/>
          <w:lang w:val="hr-HR"/>
        </w:rPr>
        <w:t>li je oštećen.</w:t>
      </w:r>
    </w:p>
    <w:p w14:paraId="64D3688E" w14:textId="77777777" w:rsidR="007158CE" w:rsidRPr="008A2C89" w:rsidRDefault="007A7366" w:rsidP="00AE5D50">
      <w:pPr>
        <w:numPr>
          <w:ilvl w:val="0"/>
          <w:numId w:val="14"/>
        </w:numPr>
        <w:autoSpaceDE w:val="0"/>
        <w:autoSpaceDN w:val="0"/>
        <w:adjustRightInd w:val="0"/>
        <w:spacing w:after="160" w:line="276" w:lineRule="auto"/>
        <w:ind w:left="284" w:right="2977" w:hanging="284"/>
        <w:contextualSpacing/>
        <w:jc w:val="both"/>
        <w:rPr>
          <w:rFonts w:eastAsia="TimesNewRoman"/>
          <w:sz w:val="22"/>
          <w:szCs w:val="22"/>
          <w:lang w:val="hr-HR"/>
        </w:rPr>
      </w:pPr>
      <w:r w:rsidRPr="008A2C89">
        <w:rPr>
          <w:rFonts w:eastAsia="TimesNewRoman"/>
          <w:sz w:val="22"/>
          <w:szCs w:val="22"/>
          <w:lang w:val="hr-HR"/>
        </w:rPr>
        <w:t xml:space="preserve"> </w:t>
      </w:r>
      <w:r w:rsidR="007158CE" w:rsidRPr="008A2C89">
        <w:rPr>
          <w:rFonts w:eastAsia="TimesNewRoman"/>
          <w:sz w:val="22"/>
          <w:szCs w:val="22"/>
          <w:lang w:val="hr-HR"/>
        </w:rPr>
        <w:t>Izvadite sigurnosnu iglu iz spoljašnjeg pakovanja.</w:t>
      </w:r>
      <w:r w:rsidR="007158CE" w:rsidRPr="00585C79">
        <w:rPr>
          <w:noProof/>
          <w:lang w:val="de-DE" w:eastAsia="en-GB"/>
        </w:rPr>
        <w:t xml:space="preserve"> </w:t>
      </w:r>
    </w:p>
    <w:p w14:paraId="1D5EF198" w14:textId="77777777" w:rsidR="007158CE" w:rsidRPr="008A2C89" w:rsidRDefault="007158CE" w:rsidP="00AE5D50">
      <w:pPr>
        <w:numPr>
          <w:ilvl w:val="0"/>
          <w:numId w:val="14"/>
        </w:numPr>
        <w:autoSpaceDE w:val="0"/>
        <w:autoSpaceDN w:val="0"/>
        <w:adjustRightInd w:val="0"/>
        <w:spacing w:after="160" w:line="276" w:lineRule="auto"/>
        <w:ind w:left="357" w:right="2977" w:hanging="357"/>
        <w:contextualSpacing/>
        <w:jc w:val="both"/>
        <w:rPr>
          <w:rFonts w:eastAsia="TimesNewRoman"/>
          <w:sz w:val="22"/>
          <w:szCs w:val="22"/>
          <w:lang w:val="hr-HR"/>
        </w:rPr>
      </w:pPr>
      <w:r w:rsidRPr="008A2C89">
        <w:rPr>
          <w:rFonts w:eastAsia="TimesNewRoman"/>
          <w:sz w:val="22"/>
          <w:szCs w:val="22"/>
          <w:lang w:val="hr-HR"/>
        </w:rPr>
        <w:t>Prije primjene, potrebno je provjeriti da li rastvor za parenteralnu</w:t>
      </w:r>
      <w:r w:rsidR="000D7DDB" w:rsidRPr="008A2C89">
        <w:rPr>
          <w:rFonts w:eastAsia="TimesNewRoman"/>
          <w:sz w:val="22"/>
          <w:szCs w:val="22"/>
          <w:lang w:val="hr-HR"/>
        </w:rPr>
        <w:t xml:space="preserve"> </w:t>
      </w:r>
      <w:r w:rsidRPr="008A2C89">
        <w:rPr>
          <w:rFonts w:eastAsia="TimesNewRoman"/>
          <w:sz w:val="22"/>
          <w:szCs w:val="22"/>
          <w:lang w:val="hr-HR"/>
        </w:rPr>
        <w:t>primjenu sadrži vidljive čestice i da li je promijenio boju.</w:t>
      </w:r>
    </w:p>
    <w:p w14:paraId="5E671E2C" w14:textId="77777777" w:rsidR="007158CE" w:rsidRPr="008A2C89" w:rsidRDefault="007158CE" w:rsidP="00AE5D50">
      <w:pPr>
        <w:numPr>
          <w:ilvl w:val="0"/>
          <w:numId w:val="14"/>
        </w:numPr>
        <w:autoSpaceDE w:val="0"/>
        <w:autoSpaceDN w:val="0"/>
        <w:adjustRightInd w:val="0"/>
        <w:spacing w:after="160" w:line="276" w:lineRule="auto"/>
        <w:ind w:left="357" w:right="2977" w:hanging="357"/>
        <w:contextualSpacing/>
        <w:jc w:val="both"/>
        <w:rPr>
          <w:rFonts w:eastAsia="TimesNewRoman"/>
          <w:sz w:val="22"/>
          <w:szCs w:val="22"/>
          <w:lang w:val="hr-HR"/>
        </w:rPr>
      </w:pPr>
      <w:r w:rsidRPr="008A2C89">
        <w:rPr>
          <w:rFonts w:eastAsia="TimesNewRoman"/>
          <w:sz w:val="22"/>
          <w:szCs w:val="22"/>
          <w:lang w:val="hr-HR"/>
        </w:rPr>
        <w:t>Uhvatite špric za rebrasti dio (C) uspravno prema gore.</w:t>
      </w:r>
    </w:p>
    <w:p w14:paraId="34FD628A" w14:textId="77777777" w:rsidR="007158CE" w:rsidRPr="008A2C89" w:rsidRDefault="007158CE" w:rsidP="00AE5D50">
      <w:pPr>
        <w:autoSpaceDE w:val="0"/>
        <w:autoSpaceDN w:val="0"/>
        <w:adjustRightInd w:val="0"/>
        <w:spacing w:line="276" w:lineRule="auto"/>
        <w:ind w:left="357" w:right="2977"/>
        <w:contextualSpacing/>
        <w:jc w:val="both"/>
        <w:rPr>
          <w:rFonts w:eastAsia="TimesNewRoman"/>
          <w:sz w:val="22"/>
          <w:szCs w:val="22"/>
          <w:lang w:val="hr-HR"/>
        </w:rPr>
      </w:pPr>
      <w:r w:rsidRPr="008A2C89">
        <w:rPr>
          <w:rFonts w:eastAsia="TimesNewRoman"/>
          <w:sz w:val="22"/>
          <w:szCs w:val="22"/>
          <w:lang w:val="hr-HR"/>
        </w:rPr>
        <w:t>Drugom rukom uhvatite zatvarač (A) i pažljivo okrenite u smjeru suprotnom od smjera kazaljke na satu dok se zatvarač ne odvoji i ne bude ga moguće skinuti (Slika 1).</w:t>
      </w:r>
    </w:p>
    <w:p w14:paraId="39576EE8" w14:textId="77777777" w:rsidR="007158CE" w:rsidRPr="008A2C89" w:rsidRDefault="007158CE" w:rsidP="00AE5D50">
      <w:pPr>
        <w:autoSpaceDE w:val="0"/>
        <w:autoSpaceDN w:val="0"/>
        <w:adjustRightInd w:val="0"/>
        <w:spacing w:line="259" w:lineRule="auto"/>
        <w:ind w:right="2977"/>
        <w:jc w:val="both"/>
        <w:rPr>
          <w:rFonts w:eastAsia="TimesNewRoman"/>
          <w:sz w:val="22"/>
          <w:szCs w:val="22"/>
          <w:lang w:val="hr-HR"/>
        </w:rPr>
      </w:pPr>
      <w:r w:rsidRPr="008A2C89">
        <w:rPr>
          <w:rFonts w:eastAsia="TimesNewRoman"/>
          <w:noProof/>
          <w:sz w:val="22"/>
          <w:szCs w:val="22"/>
        </w:rPr>
        <w:drawing>
          <wp:anchor distT="0" distB="0" distL="114300" distR="114300" simplePos="0" relativeHeight="251659264" behindDoc="0" locked="0" layoutInCell="1" allowOverlap="1" wp14:anchorId="67361338" wp14:editId="208C3E49">
            <wp:simplePos x="0" y="0"/>
            <wp:positionH relativeFrom="column">
              <wp:posOffset>3843020</wp:posOffset>
            </wp:positionH>
            <wp:positionV relativeFrom="paragraph">
              <wp:posOffset>60960</wp:posOffset>
            </wp:positionV>
            <wp:extent cx="2066925" cy="202057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66925" cy="2020570"/>
                    </a:xfrm>
                    <a:prstGeom prst="rect">
                      <a:avLst/>
                    </a:prstGeom>
                  </pic:spPr>
                </pic:pic>
              </a:graphicData>
            </a:graphic>
            <wp14:sizeRelH relativeFrom="margin">
              <wp14:pctWidth>0</wp14:pctWidth>
            </wp14:sizeRelH>
            <wp14:sizeRelV relativeFrom="margin">
              <wp14:pctHeight>0</wp14:pctHeight>
            </wp14:sizeRelV>
          </wp:anchor>
        </w:drawing>
      </w:r>
    </w:p>
    <w:p w14:paraId="6A4697B7" w14:textId="77777777" w:rsidR="007158CE" w:rsidRPr="008A2C89" w:rsidRDefault="007158CE" w:rsidP="00AE5D50">
      <w:pPr>
        <w:autoSpaceDE w:val="0"/>
        <w:autoSpaceDN w:val="0"/>
        <w:adjustRightInd w:val="0"/>
        <w:spacing w:line="259" w:lineRule="auto"/>
        <w:ind w:right="2977"/>
        <w:jc w:val="both"/>
        <w:rPr>
          <w:rFonts w:eastAsia="TimesNewRoman"/>
          <w:sz w:val="22"/>
          <w:szCs w:val="22"/>
          <w:lang w:val="hr-HR"/>
        </w:rPr>
      </w:pPr>
    </w:p>
    <w:p w14:paraId="313734BA" w14:textId="77777777" w:rsidR="007158CE" w:rsidRPr="00585C79" w:rsidRDefault="007158CE" w:rsidP="00AE5D50">
      <w:pPr>
        <w:tabs>
          <w:tab w:val="left" w:pos="540"/>
          <w:tab w:val="left" w:pos="569"/>
        </w:tabs>
        <w:ind w:right="2977"/>
        <w:jc w:val="both"/>
        <w:rPr>
          <w:b/>
          <w:bCs/>
          <w:sz w:val="22"/>
          <w:szCs w:val="22"/>
          <w:lang w:val="hr-HR"/>
        </w:rPr>
      </w:pPr>
    </w:p>
    <w:p w14:paraId="2DEE96F8" w14:textId="77777777" w:rsidR="007158CE" w:rsidRPr="00585C79" w:rsidRDefault="007158CE" w:rsidP="00AE5D50">
      <w:pPr>
        <w:numPr>
          <w:ilvl w:val="0"/>
          <w:numId w:val="14"/>
        </w:numPr>
        <w:autoSpaceDE w:val="0"/>
        <w:autoSpaceDN w:val="0"/>
        <w:adjustRightInd w:val="0"/>
        <w:spacing w:after="160" w:line="276" w:lineRule="auto"/>
        <w:ind w:left="284" w:right="2977" w:hanging="284"/>
        <w:contextualSpacing/>
        <w:jc w:val="both"/>
        <w:rPr>
          <w:b/>
          <w:bCs/>
          <w:sz w:val="22"/>
          <w:szCs w:val="22"/>
          <w:lang w:val="hr-HR"/>
        </w:rPr>
      </w:pPr>
      <w:r w:rsidRPr="008A2C89">
        <w:rPr>
          <w:rFonts w:eastAsia="TimesNewRoman"/>
          <w:sz w:val="22"/>
          <w:szCs w:val="22"/>
          <w:lang w:val="hr-HR"/>
        </w:rPr>
        <w:t>Skinite zatvarač (A)</w:t>
      </w:r>
      <w:r w:rsidR="004A63C5" w:rsidRPr="008A2C89">
        <w:rPr>
          <w:rFonts w:eastAsia="TimesNewRoman"/>
          <w:sz w:val="22"/>
          <w:szCs w:val="22"/>
          <w:lang w:val="hr-HR"/>
        </w:rPr>
        <w:t xml:space="preserve"> direktno</w:t>
      </w:r>
      <w:r w:rsidRPr="008A2C89">
        <w:rPr>
          <w:rFonts w:eastAsia="TimesNewRoman"/>
          <w:sz w:val="22"/>
          <w:szCs w:val="22"/>
          <w:lang w:val="hr-HR"/>
        </w:rPr>
        <w:t xml:space="preserve"> prema gore. Kako se ne bi narušila</w:t>
      </w:r>
      <w:r w:rsidRPr="00585C79">
        <w:rPr>
          <w:noProof/>
          <w:lang w:val="hr-HR" w:eastAsia="en-GB"/>
        </w:rPr>
        <w:t xml:space="preserve"> </w:t>
      </w:r>
      <w:r w:rsidR="004A63C5" w:rsidRPr="008A2C89">
        <w:rPr>
          <w:rFonts w:eastAsia="TimesNewRoman"/>
          <w:sz w:val="22"/>
          <w:szCs w:val="22"/>
          <w:lang w:val="hr-HR"/>
        </w:rPr>
        <w:t>s</w:t>
      </w:r>
      <w:r w:rsidRPr="008A2C89">
        <w:rPr>
          <w:rFonts w:eastAsia="TimesNewRoman"/>
          <w:sz w:val="22"/>
          <w:szCs w:val="22"/>
          <w:lang w:val="hr-HR"/>
        </w:rPr>
        <w:t>terilnost, NE DIRAJTE VRH ŠPRICA (Luer-Lock) (B)</w:t>
      </w:r>
      <w:r w:rsidR="004A63C5" w:rsidRPr="00585C79">
        <w:rPr>
          <w:b/>
          <w:bCs/>
          <w:sz w:val="22"/>
          <w:szCs w:val="22"/>
          <w:lang w:val="hr-HR"/>
        </w:rPr>
        <w:t xml:space="preserve"> </w:t>
      </w:r>
      <w:r w:rsidRPr="008A2C89">
        <w:rPr>
          <w:rFonts w:eastAsia="TimesNewRoman"/>
          <w:sz w:val="22"/>
          <w:szCs w:val="22"/>
          <w:lang w:val="hr-HR"/>
        </w:rPr>
        <w:t>(vidjeti Sliku 2).</w:t>
      </w:r>
    </w:p>
    <w:p w14:paraId="352261F0" w14:textId="77777777" w:rsidR="002F230C" w:rsidRPr="008A2C89" w:rsidRDefault="002F230C" w:rsidP="00AE5D50">
      <w:pPr>
        <w:autoSpaceDE w:val="0"/>
        <w:autoSpaceDN w:val="0"/>
        <w:adjustRightInd w:val="0"/>
        <w:spacing w:after="160" w:line="276" w:lineRule="auto"/>
        <w:ind w:left="357"/>
        <w:contextualSpacing/>
        <w:jc w:val="both"/>
        <w:rPr>
          <w:rFonts w:eastAsia="TimesNewRoman"/>
          <w:sz w:val="22"/>
          <w:szCs w:val="22"/>
          <w:lang w:val="hr-HR"/>
        </w:rPr>
      </w:pPr>
    </w:p>
    <w:p w14:paraId="031416B9" w14:textId="77777777" w:rsidR="002F230C" w:rsidRPr="008A2C89" w:rsidRDefault="002F230C" w:rsidP="007158CE">
      <w:pPr>
        <w:autoSpaceDE w:val="0"/>
        <w:autoSpaceDN w:val="0"/>
        <w:adjustRightInd w:val="0"/>
        <w:spacing w:after="160" w:line="276" w:lineRule="auto"/>
        <w:ind w:left="357"/>
        <w:contextualSpacing/>
        <w:rPr>
          <w:rFonts w:eastAsia="TimesNewRoman"/>
          <w:sz w:val="22"/>
          <w:szCs w:val="22"/>
          <w:lang w:val="hr-HR"/>
        </w:rPr>
      </w:pPr>
    </w:p>
    <w:p w14:paraId="34B86537" w14:textId="77777777" w:rsidR="002F230C" w:rsidRPr="008A2C89" w:rsidRDefault="002F230C" w:rsidP="007158CE">
      <w:pPr>
        <w:autoSpaceDE w:val="0"/>
        <w:autoSpaceDN w:val="0"/>
        <w:adjustRightInd w:val="0"/>
        <w:spacing w:after="160" w:line="276" w:lineRule="auto"/>
        <w:ind w:left="357"/>
        <w:contextualSpacing/>
        <w:rPr>
          <w:rFonts w:eastAsia="TimesNewRoman"/>
          <w:sz w:val="22"/>
          <w:szCs w:val="22"/>
          <w:lang w:val="hr-HR"/>
        </w:rPr>
      </w:pPr>
    </w:p>
    <w:p w14:paraId="210FB6B1" w14:textId="77777777" w:rsidR="004A63C5" w:rsidRPr="008A2C89" w:rsidRDefault="004A63C5" w:rsidP="007158CE">
      <w:pPr>
        <w:autoSpaceDE w:val="0"/>
        <w:autoSpaceDN w:val="0"/>
        <w:adjustRightInd w:val="0"/>
        <w:spacing w:after="160" w:line="276" w:lineRule="auto"/>
        <w:ind w:left="357"/>
        <w:contextualSpacing/>
        <w:rPr>
          <w:rFonts w:eastAsia="TimesNewRoman"/>
          <w:sz w:val="22"/>
          <w:szCs w:val="22"/>
          <w:lang w:val="hr-HR"/>
        </w:rPr>
      </w:pPr>
    </w:p>
    <w:p w14:paraId="72E06842" w14:textId="77777777" w:rsidR="004A63C5" w:rsidRPr="008A2C89" w:rsidRDefault="004A63C5" w:rsidP="007158CE">
      <w:pPr>
        <w:autoSpaceDE w:val="0"/>
        <w:autoSpaceDN w:val="0"/>
        <w:adjustRightInd w:val="0"/>
        <w:spacing w:after="160" w:line="276" w:lineRule="auto"/>
        <w:ind w:left="357"/>
        <w:contextualSpacing/>
        <w:rPr>
          <w:rFonts w:eastAsia="TimesNewRoman"/>
          <w:sz w:val="22"/>
          <w:szCs w:val="22"/>
          <w:lang w:val="hr-HR"/>
        </w:rPr>
      </w:pPr>
    </w:p>
    <w:p w14:paraId="260CA284" w14:textId="77777777" w:rsidR="004A63C5" w:rsidRPr="008A2C89" w:rsidRDefault="004A63C5" w:rsidP="007158CE">
      <w:pPr>
        <w:autoSpaceDE w:val="0"/>
        <w:autoSpaceDN w:val="0"/>
        <w:adjustRightInd w:val="0"/>
        <w:spacing w:after="160" w:line="276" w:lineRule="auto"/>
        <w:ind w:left="357"/>
        <w:contextualSpacing/>
        <w:rPr>
          <w:rFonts w:eastAsia="TimesNewRoman"/>
          <w:sz w:val="22"/>
          <w:szCs w:val="22"/>
          <w:lang w:val="hr-HR"/>
        </w:rPr>
      </w:pPr>
    </w:p>
    <w:p w14:paraId="5BC216D6" w14:textId="0EC22B12" w:rsidR="002F230C" w:rsidRPr="008A2C89" w:rsidRDefault="004A63C5" w:rsidP="007158CE">
      <w:pPr>
        <w:autoSpaceDE w:val="0"/>
        <w:autoSpaceDN w:val="0"/>
        <w:adjustRightInd w:val="0"/>
        <w:spacing w:after="160" w:line="276" w:lineRule="auto"/>
        <w:ind w:left="357"/>
        <w:contextualSpacing/>
        <w:rPr>
          <w:rFonts w:eastAsia="TimesNewRoman"/>
          <w:sz w:val="22"/>
          <w:szCs w:val="22"/>
          <w:lang w:val="hr-HR"/>
        </w:rPr>
      </w:pPr>
      <w:r w:rsidRPr="008A2C89">
        <w:rPr>
          <w:bCs/>
          <w:noProof/>
          <w:sz w:val="22"/>
          <w:szCs w:val="22"/>
        </w:rPr>
        <w:lastRenderedPageBreak/>
        <w:drawing>
          <wp:anchor distT="0" distB="0" distL="114300" distR="114300" simplePos="0" relativeHeight="251660288" behindDoc="0" locked="0" layoutInCell="1" allowOverlap="1" wp14:anchorId="3F3E426C" wp14:editId="52870326">
            <wp:simplePos x="0" y="0"/>
            <wp:positionH relativeFrom="column">
              <wp:posOffset>3966845</wp:posOffset>
            </wp:positionH>
            <wp:positionV relativeFrom="paragraph">
              <wp:posOffset>14605</wp:posOffset>
            </wp:positionV>
            <wp:extent cx="1714500" cy="170815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714500" cy="1708150"/>
                    </a:xfrm>
                    <a:prstGeom prst="rect">
                      <a:avLst/>
                    </a:prstGeom>
                  </pic:spPr>
                </pic:pic>
              </a:graphicData>
            </a:graphic>
            <wp14:sizeRelH relativeFrom="margin">
              <wp14:pctWidth>0</wp14:pctWidth>
            </wp14:sizeRelH>
            <wp14:sizeRelV relativeFrom="margin">
              <wp14:pctHeight>0</wp14:pctHeight>
            </wp14:sizeRelV>
          </wp:anchor>
        </w:drawing>
      </w:r>
    </w:p>
    <w:p w14:paraId="663F7C0E" w14:textId="49FB15B9" w:rsidR="002F230C" w:rsidRPr="00654B88" w:rsidRDefault="002F230C" w:rsidP="00AE5D50">
      <w:pPr>
        <w:numPr>
          <w:ilvl w:val="0"/>
          <w:numId w:val="14"/>
        </w:numPr>
        <w:autoSpaceDE w:val="0"/>
        <w:autoSpaceDN w:val="0"/>
        <w:adjustRightInd w:val="0"/>
        <w:spacing w:after="160" w:line="276" w:lineRule="auto"/>
        <w:ind w:left="284" w:hanging="284"/>
        <w:contextualSpacing/>
        <w:jc w:val="both"/>
        <w:rPr>
          <w:rFonts w:eastAsia="TimesNewRoman"/>
          <w:sz w:val="22"/>
          <w:szCs w:val="22"/>
          <w:lang w:val="hr-HR"/>
        </w:rPr>
      </w:pPr>
      <w:r w:rsidRPr="00654B88">
        <w:rPr>
          <w:rFonts w:eastAsia="TimesNewRoman"/>
          <w:sz w:val="22"/>
          <w:szCs w:val="22"/>
          <w:lang w:val="hr-HR"/>
        </w:rPr>
        <w:t>Nataknite sigurnosnu iglu na Luer-Lock i rotirajte dok igla ne bude čvrsto pričvršćena (vidjeti Sliku 3).</w:t>
      </w:r>
    </w:p>
    <w:p w14:paraId="5632EAA0" w14:textId="407D3F49" w:rsidR="002F230C" w:rsidRPr="00585C79" w:rsidRDefault="002F230C" w:rsidP="00AE5D50">
      <w:pPr>
        <w:numPr>
          <w:ilvl w:val="0"/>
          <w:numId w:val="14"/>
        </w:numPr>
        <w:autoSpaceDE w:val="0"/>
        <w:autoSpaceDN w:val="0"/>
        <w:adjustRightInd w:val="0"/>
        <w:spacing w:after="160" w:line="276" w:lineRule="auto"/>
        <w:ind w:left="284" w:hanging="284"/>
        <w:contextualSpacing/>
        <w:jc w:val="both"/>
        <w:rPr>
          <w:b/>
          <w:bCs/>
          <w:sz w:val="22"/>
          <w:szCs w:val="22"/>
          <w:lang w:val="hr-HR"/>
        </w:rPr>
      </w:pPr>
      <w:r w:rsidRPr="00654B88">
        <w:rPr>
          <w:rFonts w:eastAsia="TimesNewRoman"/>
          <w:sz w:val="22"/>
          <w:szCs w:val="22"/>
          <w:lang w:val="hr-HR"/>
        </w:rPr>
        <w:t>Provjerite da li je igla zaključana na L</w:t>
      </w:r>
      <w:r w:rsidR="004A63C5" w:rsidRPr="00654B88">
        <w:rPr>
          <w:rFonts w:eastAsia="TimesNewRoman"/>
          <w:sz w:val="22"/>
          <w:szCs w:val="22"/>
          <w:lang w:val="hr-HR"/>
        </w:rPr>
        <w:t>uer spojnicu</w:t>
      </w:r>
      <w:r w:rsidRPr="00654B88">
        <w:rPr>
          <w:rFonts w:eastAsia="TimesNewRoman"/>
          <w:sz w:val="22"/>
          <w:szCs w:val="22"/>
          <w:lang w:val="hr-HR"/>
        </w:rPr>
        <w:t xml:space="preserve"> prije nego</w:t>
      </w:r>
      <w:r w:rsidRPr="00585C79">
        <w:rPr>
          <w:b/>
          <w:bCs/>
          <w:sz w:val="22"/>
          <w:szCs w:val="22"/>
          <w:lang w:val="hr-HR"/>
        </w:rPr>
        <w:t xml:space="preserve"> </w:t>
      </w:r>
      <w:r w:rsidRPr="00654B88">
        <w:rPr>
          <w:rFonts w:eastAsia="TimesNewRoman"/>
          <w:sz w:val="22"/>
          <w:szCs w:val="22"/>
          <w:lang w:val="hr-HR"/>
        </w:rPr>
        <w:t>što je pomjerite iz vertikalnog položaja.</w:t>
      </w:r>
    </w:p>
    <w:p w14:paraId="7A5FDC68" w14:textId="77777777" w:rsidR="002F230C" w:rsidRPr="008A2C89" w:rsidRDefault="002F230C" w:rsidP="00AE5D50">
      <w:pPr>
        <w:numPr>
          <w:ilvl w:val="0"/>
          <w:numId w:val="14"/>
        </w:numPr>
        <w:autoSpaceDE w:val="0"/>
        <w:autoSpaceDN w:val="0"/>
        <w:adjustRightInd w:val="0"/>
        <w:spacing w:after="160" w:line="276" w:lineRule="auto"/>
        <w:ind w:left="284" w:hanging="284"/>
        <w:contextualSpacing/>
        <w:jc w:val="both"/>
        <w:rPr>
          <w:bCs/>
          <w:sz w:val="22"/>
          <w:szCs w:val="22"/>
        </w:rPr>
      </w:pPr>
      <w:r w:rsidRPr="008A2C89">
        <w:rPr>
          <w:bCs/>
          <w:sz w:val="22"/>
          <w:szCs w:val="22"/>
        </w:rPr>
        <w:t>Prenesite napunjeni špric do mjesta primjene.</w:t>
      </w:r>
    </w:p>
    <w:p w14:paraId="2DFB7968" w14:textId="1FF1AEA2" w:rsidR="004A63C5" w:rsidRPr="00654B88" w:rsidRDefault="004A63C5" w:rsidP="00AE5D50">
      <w:pPr>
        <w:numPr>
          <w:ilvl w:val="0"/>
          <w:numId w:val="14"/>
        </w:numPr>
        <w:autoSpaceDE w:val="0"/>
        <w:autoSpaceDN w:val="0"/>
        <w:adjustRightInd w:val="0"/>
        <w:spacing w:after="160" w:line="276" w:lineRule="auto"/>
        <w:ind w:left="284" w:hanging="284"/>
        <w:contextualSpacing/>
        <w:jc w:val="both"/>
        <w:rPr>
          <w:bCs/>
          <w:sz w:val="22"/>
          <w:szCs w:val="22"/>
        </w:rPr>
      </w:pPr>
      <w:r w:rsidRPr="00654B88">
        <w:rPr>
          <w:bCs/>
          <w:sz w:val="22"/>
          <w:szCs w:val="22"/>
        </w:rPr>
        <w:t xml:space="preserve">Povucite zaštitni zatvarač </w:t>
      </w:r>
      <w:proofErr w:type="gramStart"/>
      <w:r w:rsidRPr="00654B88">
        <w:rPr>
          <w:bCs/>
          <w:sz w:val="22"/>
          <w:szCs w:val="22"/>
        </w:rPr>
        <w:t>sa</w:t>
      </w:r>
      <w:proofErr w:type="gramEnd"/>
      <w:r w:rsidRPr="00654B88">
        <w:rPr>
          <w:bCs/>
          <w:sz w:val="22"/>
          <w:szCs w:val="22"/>
        </w:rPr>
        <w:t xml:space="preserve"> igle direktno, kako ne bi</w:t>
      </w:r>
      <w:r w:rsidR="00654B88">
        <w:rPr>
          <w:bCs/>
          <w:sz w:val="22"/>
          <w:szCs w:val="22"/>
        </w:rPr>
        <w:t>ste</w:t>
      </w:r>
      <w:r w:rsidRPr="00654B88">
        <w:rPr>
          <w:bCs/>
          <w:sz w:val="22"/>
          <w:szCs w:val="22"/>
          <w:lang w:val="en-GB"/>
        </w:rPr>
        <w:t xml:space="preserve"> </w:t>
      </w:r>
      <w:r w:rsidRPr="00654B88">
        <w:rPr>
          <w:bCs/>
          <w:sz w:val="22"/>
          <w:szCs w:val="22"/>
        </w:rPr>
        <w:t>oštetili vrh igle.</w:t>
      </w:r>
    </w:p>
    <w:p w14:paraId="236D52DD" w14:textId="77777777" w:rsidR="004A63C5" w:rsidRPr="008A2C89" w:rsidRDefault="004A63C5" w:rsidP="00AE5D50">
      <w:pPr>
        <w:autoSpaceDE w:val="0"/>
        <w:autoSpaceDN w:val="0"/>
        <w:adjustRightInd w:val="0"/>
        <w:spacing w:after="160" w:line="276" w:lineRule="auto"/>
        <w:ind w:left="284"/>
        <w:contextualSpacing/>
        <w:jc w:val="both"/>
        <w:rPr>
          <w:bCs/>
          <w:sz w:val="22"/>
          <w:szCs w:val="22"/>
        </w:rPr>
      </w:pPr>
    </w:p>
    <w:p w14:paraId="53532AA6" w14:textId="77777777" w:rsidR="004A63C5" w:rsidRPr="008A2C89" w:rsidRDefault="004A63C5" w:rsidP="00AE5D50">
      <w:pPr>
        <w:autoSpaceDE w:val="0"/>
        <w:autoSpaceDN w:val="0"/>
        <w:adjustRightInd w:val="0"/>
        <w:spacing w:after="160" w:line="276" w:lineRule="auto"/>
        <w:contextualSpacing/>
        <w:jc w:val="both"/>
        <w:rPr>
          <w:b/>
          <w:bCs/>
          <w:sz w:val="22"/>
          <w:szCs w:val="22"/>
        </w:rPr>
      </w:pPr>
      <w:r w:rsidRPr="008A2C89">
        <w:rPr>
          <w:noProof/>
        </w:rPr>
        <w:drawing>
          <wp:anchor distT="0" distB="0" distL="114300" distR="114300" simplePos="0" relativeHeight="251661312" behindDoc="0" locked="0" layoutInCell="1" allowOverlap="1" wp14:anchorId="2090A172" wp14:editId="678E67AE">
            <wp:simplePos x="0" y="0"/>
            <wp:positionH relativeFrom="column">
              <wp:posOffset>3950335</wp:posOffset>
            </wp:positionH>
            <wp:positionV relativeFrom="paragraph">
              <wp:posOffset>95250</wp:posOffset>
            </wp:positionV>
            <wp:extent cx="1711960" cy="1322705"/>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1960" cy="1322705"/>
                    </a:xfrm>
                    <a:prstGeom prst="rect">
                      <a:avLst/>
                    </a:prstGeom>
                    <a:noFill/>
                  </pic:spPr>
                </pic:pic>
              </a:graphicData>
            </a:graphic>
            <wp14:sizeRelH relativeFrom="margin">
              <wp14:pctWidth>0</wp14:pctWidth>
            </wp14:sizeRelH>
            <wp14:sizeRelV relativeFrom="margin">
              <wp14:pctHeight>0</wp14:pctHeight>
            </wp14:sizeRelV>
          </wp:anchor>
        </w:drawing>
      </w:r>
    </w:p>
    <w:p w14:paraId="38980B0E" w14:textId="77777777" w:rsidR="004A63C5" w:rsidRPr="008A2C89" w:rsidRDefault="004A63C5" w:rsidP="00AE5D50">
      <w:pPr>
        <w:numPr>
          <w:ilvl w:val="0"/>
          <w:numId w:val="15"/>
        </w:numPr>
        <w:autoSpaceDE w:val="0"/>
        <w:autoSpaceDN w:val="0"/>
        <w:adjustRightInd w:val="0"/>
        <w:spacing w:after="160" w:line="276" w:lineRule="auto"/>
        <w:ind w:left="357" w:hanging="357"/>
        <w:contextualSpacing/>
        <w:jc w:val="both"/>
        <w:rPr>
          <w:rFonts w:eastAsia="TimesNewRoman"/>
          <w:sz w:val="22"/>
          <w:szCs w:val="22"/>
          <w:lang w:val="hr-HR"/>
        </w:rPr>
      </w:pPr>
      <w:r w:rsidRPr="008A2C89">
        <w:rPr>
          <w:rFonts w:eastAsia="TimesNewRoman"/>
          <w:sz w:val="22"/>
          <w:szCs w:val="22"/>
          <w:lang w:val="hr-HR"/>
        </w:rPr>
        <w:t>Istisnite višak vazduha iz šprica.</w:t>
      </w:r>
    </w:p>
    <w:p w14:paraId="299F655C" w14:textId="303AD1D8" w:rsidR="004A63C5" w:rsidRPr="00654B88" w:rsidRDefault="004A63C5" w:rsidP="00AE5D50">
      <w:pPr>
        <w:numPr>
          <w:ilvl w:val="0"/>
          <w:numId w:val="15"/>
        </w:numPr>
        <w:autoSpaceDE w:val="0"/>
        <w:autoSpaceDN w:val="0"/>
        <w:adjustRightInd w:val="0"/>
        <w:spacing w:after="160" w:line="276" w:lineRule="auto"/>
        <w:ind w:left="357" w:hanging="357"/>
        <w:contextualSpacing/>
        <w:jc w:val="both"/>
        <w:rPr>
          <w:rFonts w:eastAsia="TimesNewRoman"/>
          <w:sz w:val="22"/>
          <w:szCs w:val="22"/>
          <w:lang w:val="hr-HR"/>
        </w:rPr>
      </w:pPr>
      <w:r w:rsidRPr="00654B88">
        <w:rPr>
          <w:rFonts w:eastAsia="TimesNewRoman"/>
          <w:sz w:val="22"/>
          <w:szCs w:val="22"/>
          <w:lang w:val="hr-HR"/>
        </w:rPr>
        <w:t>Primijenite sporom intramuskularnom injekcijom</w:t>
      </w:r>
      <w:r w:rsidRPr="00585C79">
        <w:rPr>
          <w:rFonts w:eastAsia="TimesNewRoman"/>
          <w:sz w:val="22"/>
          <w:szCs w:val="22"/>
          <w:lang w:val="hr-HR"/>
        </w:rPr>
        <w:t xml:space="preserve"> </w:t>
      </w:r>
      <w:r w:rsidRPr="00654B88">
        <w:rPr>
          <w:rFonts w:eastAsia="TimesNewRoman"/>
          <w:sz w:val="22"/>
          <w:szCs w:val="22"/>
          <w:lang w:val="hr-HR"/>
        </w:rPr>
        <w:t>(1-2 minuta po injekciji) u glutealni mišić. Radi lakše</w:t>
      </w:r>
      <w:r w:rsidR="00654B88" w:rsidRPr="00654B88">
        <w:rPr>
          <w:rFonts w:eastAsia="TimesNewRoman"/>
          <w:sz w:val="22"/>
          <w:szCs w:val="22"/>
          <w:lang w:val="hr-HR"/>
        </w:rPr>
        <w:t xml:space="preserve"> </w:t>
      </w:r>
      <w:r w:rsidRPr="00654B88">
        <w:rPr>
          <w:rFonts w:eastAsia="TimesNewRoman"/>
          <w:sz w:val="22"/>
          <w:szCs w:val="22"/>
          <w:lang w:val="hr-HR"/>
        </w:rPr>
        <w:t>primjene, kosi otvor vrha igle okrenut je prema ručici</w:t>
      </w:r>
      <w:r w:rsidR="00654B88">
        <w:rPr>
          <w:rFonts w:eastAsia="TimesNewRoman"/>
          <w:sz w:val="22"/>
          <w:szCs w:val="22"/>
          <w:lang w:val="hr-HR"/>
        </w:rPr>
        <w:t xml:space="preserve"> </w:t>
      </w:r>
      <w:r w:rsidRPr="00654B88">
        <w:rPr>
          <w:rFonts w:eastAsia="TimesNewRoman"/>
          <w:sz w:val="22"/>
          <w:szCs w:val="22"/>
          <w:lang w:val="hr-HR"/>
        </w:rPr>
        <w:t>poluge (vidjeti Sliku 4).</w:t>
      </w:r>
    </w:p>
    <w:p w14:paraId="63004918" w14:textId="77777777" w:rsidR="004A63C5" w:rsidRPr="008A2C89" w:rsidRDefault="004A63C5" w:rsidP="00AE5D50">
      <w:pPr>
        <w:autoSpaceDE w:val="0"/>
        <w:autoSpaceDN w:val="0"/>
        <w:adjustRightInd w:val="0"/>
        <w:spacing w:after="160" w:line="276" w:lineRule="auto"/>
        <w:ind w:left="357"/>
        <w:contextualSpacing/>
        <w:jc w:val="both"/>
        <w:rPr>
          <w:rFonts w:eastAsia="TimesNewRoman"/>
          <w:sz w:val="22"/>
          <w:szCs w:val="22"/>
          <w:lang w:val="hr-HR"/>
        </w:rPr>
      </w:pPr>
    </w:p>
    <w:p w14:paraId="1D011349" w14:textId="77777777" w:rsidR="004A63C5" w:rsidRPr="00585C79" w:rsidRDefault="004A63C5" w:rsidP="00AE5D50">
      <w:pPr>
        <w:autoSpaceDE w:val="0"/>
        <w:autoSpaceDN w:val="0"/>
        <w:adjustRightInd w:val="0"/>
        <w:spacing w:after="160" w:line="276" w:lineRule="auto"/>
        <w:ind w:left="357"/>
        <w:contextualSpacing/>
        <w:jc w:val="both"/>
        <w:rPr>
          <w:b/>
          <w:bCs/>
          <w:sz w:val="22"/>
          <w:szCs w:val="22"/>
          <w:lang w:val="hr-HR"/>
        </w:rPr>
      </w:pPr>
    </w:p>
    <w:p w14:paraId="4D4D8AC5" w14:textId="77777777" w:rsidR="00CA3906" w:rsidRPr="00585C79" w:rsidRDefault="00CA3906" w:rsidP="00AE5D50">
      <w:pPr>
        <w:autoSpaceDE w:val="0"/>
        <w:autoSpaceDN w:val="0"/>
        <w:adjustRightInd w:val="0"/>
        <w:spacing w:after="160" w:line="276" w:lineRule="auto"/>
        <w:ind w:left="357"/>
        <w:contextualSpacing/>
        <w:jc w:val="both"/>
        <w:rPr>
          <w:b/>
          <w:bCs/>
          <w:sz w:val="22"/>
          <w:szCs w:val="22"/>
          <w:lang w:val="hr-HR"/>
        </w:rPr>
      </w:pPr>
    </w:p>
    <w:p w14:paraId="32D18AB3" w14:textId="77777777" w:rsidR="004A63C5" w:rsidRPr="00AE5D50" w:rsidRDefault="00654B88" w:rsidP="00AE5D50">
      <w:pPr>
        <w:autoSpaceDE w:val="0"/>
        <w:autoSpaceDN w:val="0"/>
        <w:adjustRightInd w:val="0"/>
        <w:spacing w:after="160" w:line="276" w:lineRule="auto"/>
        <w:ind w:left="5760" w:firstLine="720"/>
        <w:contextualSpacing/>
        <w:jc w:val="both"/>
        <w:rPr>
          <w:bCs/>
          <w:szCs w:val="22"/>
        </w:rPr>
      </w:pPr>
      <w:r w:rsidRPr="00AE5D50">
        <w:rPr>
          <w:rFonts w:eastAsiaTheme="minorHAnsi"/>
          <w:noProof/>
          <w:szCs w:val="22"/>
        </w:rPr>
        <w:drawing>
          <wp:anchor distT="0" distB="0" distL="114300" distR="114300" simplePos="0" relativeHeight="251663360" behindDoc="1" locked="0" layoutInCell="1" allowOverlap="1" wp14:anchorId="5D2C732C" wp14:editId="0D4B4D95">
            <wp:simplePos x="0" y="0"/>
            <wp:positionH relativeFrom="column">
              <wp:posOffset>4014952</wp:posOffset>
            </wp:positionH>
            <wp:positionV relativeFrom="paragraph">
              <wp:posOffset>175083</wp:posOffset>
            </wp:positionV>
            <wp:extent cx="1581150" cy="1327785"/>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11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00CA3906" w:rsidRPr="00AE5D50">
        <w:rPr>
          <w:bCs/>
          <w:szCs w:val="22"/>
        </w:rPr>
        <w:t>Slika 5</w:t>
      </w:r>
    </w:p>
    <w:p w14:paraId="14823E8F" w14:textId="78F88384" w:rsidR="004A63C5" w:rsidRPr="008A2C89" w:rsidRDefault="004A63C5" w:rsidP="00AE5D50">
      <w:pPr>
        <w:numPr>
          <w:ilvl w:val="0"/>
          <w:numId w:val="16"/>
        </w:numPr>
        <w:autoSpaceDE w:val="0"/>
        <w:autoSpaceDN w:val="0"/>
        <w:adjustRightInd w:val="0"/>
        <w:spacing w:after="160" w:line="276" w:lineRule="auto"/>
        <w:ind w:left="357" w:right="2977" w:hanging="357"/>
        <w:contextualSpacing/>
        <w:jc w:val="both"/>
        <w:rPr>
          <w:rFonts w:eastAsia="TimesNewRoman"/>
          <w:sz w:val="22"/>
          <w:szCs w:val="22"/>
          <w:lang w:val="hr-HR"/>
        </w:rPr>
      </w:pPr>
      <w:r w:rsidRPr="008A2C89">
        <w:rPr>
          <w:rFonts w:eastAsia="TimesNewRoman"/>
          <w:sz w:val="22"/>
          <w:szCs w:val="22"/>
          <w:lang w:val="hr-HR"/>
        </w:rPr>
        <w:t xml:space="preserve">Nakon injekcije, odmah jednim prstom gurnite ručicu </w:t>
      </w:r>
      <w:r w:rsidR="000D7DDB" w:rsidRPr="00654B88">
        <w:rPr>
          <w:rFonts w:eastAsia="TimesNewRoman"/>
          <w:sz w:val="22"/>
          <w:szCs w:val="22"/>
          <w:lang w:val="hr-HR"/>
        </w:rPr>
        <w:t>aktivacione</w:t>
      </w:r>
      <w:r w:rsidRPr="00654B88">
        <w:rPr>
          <w:rFonts w:eastAsia="TimesNewRoman"/>
          <w:sz w:val="22"/>
          <w:szCs w:val="22"/>
          <w:lang w:val="hr-HR"/>
        </w:rPr>
        <w:t xml:space="preserve"> poluge kako biste aktivirali mehanizam za</w:t>
      </w:r>
      <w:r w:rsidR="00654B88">
        <w:rPr>
          <w:rFonts w:eastAsia="TimesNewRoman"/>
          <w:sz w:val="22"/>
          <w:szCs w:val="22"/>
          <w:lang w:val="hr-HR"/>
        </w:rPr>
        <w:t xml:space="preserve"> </w:t>
      </w:r>
      <w:r w:rsidRPr="008A2C89">
        <w:rPr>
          <w:rFonts w:eastAsia="TimesNewRoman"/>
          <w:sz w:val="22"/>
          <w:szCs w:val="22"/>
          <w:lang w:val="hr-HR"/>
        </w:rPr>
        <w:t>zaštitu igle (vidjeti Sliku 5).</w:t>
      </w:r>
    </w:p>
    <w:p w14:paraId="072F4F69" w14:textId="028A49D7" w:rsidR="004A63C5" w:rsidRPr="008A2C89" w:rsidRDefault="004A63C5" w:rsidP="00AE5D50">
      <w:pPr>
        <w:autoSpaceDE w:val="0"/>
        <w:autoSpaceDN w:val="0"/>
        <w:adjustRightInd w:val="0"/>
        <w:spacing w:line="259" w:lineRule="auto"/>
        <w:ind w:left="357" w:right="2977"/>
        <w:contextualSpacing/>
        <w:jc w:val="both"/>
        <w:rPr>
          <w:rFonts w:eastAsia="TimesNewRoman"/>
          <w:sz w:val="22"/>
          <w:szCs w:val="22"/>
          <w:lang w:val="hr-HR"/>
        </w:rPr>
      </w:pPr>
      <w:r w:rsidRPr="008A2C89">
        <w:rPr>
          <w:rFonts w:eastAsia="TimesNewRoman"/>
          <w:sz w:val="22"/>
          <w:szCs w:val="22"/>
          <w:lang w:val="hr-HR"/>
        </w:rPr>
        <w:t>NAPOMENA: Aktivirajte mehanizam sa iglom okrenutom</w:t>
      </w:r>
      <w:r w:rsidR="00654B88">
        <w:rPr>
          <w:rFonts w:eastAsia="TimesNewRoman"/>
          <w:sz w:val="22"/>
          <w:szCs w:val="22"/>
          <w:lang w:val="hr-HR"/>
        </w:rPr>
        <w:t xml:space="preserve"> </w:t>
      </w:r>
      <w:r w:rsidRPr="008A2C89">
        <w:rPr>
          <w:rFonts w:eastAsia="TimesNewRoman"/>
          <w:sz w:val="22"/>
          <w:szCs w:val="22"/>
          <w:lang w:val="hr-HR"/>
        </w:rPr>
        <w:t>od sebe i drugih. Morate čuti klik, a zatim pregledati da li je</w:t>
      </w:r>
      <w:r w:rsidR="00654B88">
        <w:rPr>
          <w:rFonts w:eastAsia="TimesNewRoman"/>
          <w:sz w:val="22"/>
          <w:szCs w:val="22"/>
          <w:lang w:val="hr-HR"/>
        </w:rPr>
        <w:t xml:space="preserve"> </w:t>
      </w:r>
      <w:r w:rsidRPr="008A2C89">
        <w:rPr>
          <w:rFonts w:eastAsia="TimesNewRoman"/>
          <w:sz w:val="22"/>
          <w:szCs w:val="22"/>
          <w:lang w:val="hr-HR"/>
        </w:rPr>
        <w:t>vrh igle potpuno pokriven.</w:t>
      </w:r>
    </w:p>
    <w:p w14:paraId="3D063341" w14:textId="77777777" w:rsidR="0072020E" w:rsidRPr="00585C79" w:rsidRDefault="0072020E" w:rsidP="00AE5D50">
      <w:pPr>
        <w:tabs>
          <w:tab w:val="left" w:pos="540"/>
          <w:tab w:val="left" w:pos="569"/>
        </w:tabs>
        <w:jc w:val="both"/>
        <w:rPr>
          <w:bCs/>
          <w:sz w:val="22"/>
          <w:szCs w:val="22"/>
          <w:lang w:val="hr-HR"/>
        </w:rPr>
      </w:pPr>
    </w:p>
    <w:p w14:paraId="31E922B9" w14:textId="77777777" w:rsidR="004A63C5" w:rsidRPr="00585C79" w:rsidRDefault="004A63C5" w:rsidP="00AE5D50">
      <w:pPr>
        <w:tabs>
          <w:tab w:val="left" w:pos="540"/>
          <w:tab w:val="left" w:pos="569"/>
        </w:tabs>
        <w:jc w:val="both"/>
        <w:rPr>
          <w:bCs/>
          <w:sz w:val="22"/>
          <w:szCs w:val="22"/>
          <w:lang w:val="hr-HR"/>
        </w:rPr>
      </w:pPr>
    </w:p>
    <w:p w14:paraId="57E5F271" w14:textId="77777777" w:rsidR="004A63C5" w:rsidRPr="008A2C89" w:rsidRDefault="004A63C5">
      <w:pPr>
        <w:autoSpaceDE w:val="0"/>
        <w:autoSpaceDN w:val="0"/>
        <w:adjustRightInd w:val="0"/>
        <w:spacing w:line="259" w:lineRule="auto"/>
        <w:jc w:val="both"/>
        <w:rPr>
          <w:rFonts w:eastAsia="TimesNewRoman"/>
          <w:sz w:val="22"/>
          <w:szCs w:val="22"/>
          <w:u w:val="single"/>
          <w:lang w:val="hr-HR"/>
        </w:rPr>
      </w:pPr>
      <w:r w:rsidRPr="008A2C89">
        <w:rPr>
          <w:rFonts w:eastAsia="TimesNewRoman"/>
          <w:sz w:val="22"/>
          <w:szCs w:val="22"/>
          <w:u w:val="single"/>
          <w:lang w:val="hr-HR"/>
        </w:rPr>
        <w:t>Odlaganje</w:t>
      </w:r>
    </w:p>
    <w:p w14:paraId="2B92ADB9" w14:textId="77777777" w:rsidR="004A63C5" w:rsidRPr="008A2C89" w:rsidRDefault="004A63C5">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 xml:space="preserve">Napunjeni špricevi su namijenjeni </w:t>
      </w:r>
      <w:r w:rsidRPr="008A2C89">
        <w:rPr>
          <w:rFonts w:eastAsia="TimesNewRoman,Bold"/>
          <w:b/>
          <w:bCs/>
          <w:sz w:val="22"/>
          <w:szCs w:val="22"/>
          <w:lang w:val="hr-HR"/>
        </w:rPr>
        <w:t xml:space="preserve">isključivo </w:t>
      </w:r>
      <w:r w:rsidRPr="008A2C89">
        <w:rPr>
          <w:rFonts w:eastAsia="TimesNewRoman"/>
          <w:sz w:val="22"/>
          <w:szCs w:val="22"/>
          <w:lang w:val="hr-HR"/>
        </w:rPr>
        <w:t>za jednokratnu primjenu.</w:t>
      </w:r>
    </w:p>
    <w:p w14:paraId="351F4F6D" w14:textId="77777777" w:rsidR="004A63C5" w:rsidRPr="008A2C89" w:rsidRDefault="004A63C5">
      <w:pPr>
        <w:autoSpaceDE w:val="0"/>
        <w:autoSpaceDN w:val="0"/>
        <w:adjustRightInd w:val="0"/>
        <w:spacing w:line="259" w:lineRule="auto"/>
        <w:jc w:val="both"/>
        <w:rPr>
          <w:rFonts w:eastAsia="TimesNewRoman"/>
          <w:sz w:val="22"/>
          <w:szCs w:val="22"/>
          <w:lang w:val="hr-HR"/>
        </w:rPr>
      </w:pPr>
      <w:r w:rsidRPr="008A2C89">
        <w:rPr>
          <w:rFonts w:eastAsia="TimesNewRoman"/>
          <w:sz w:val="22"/>
          <w:szCs w:val="22"/>
          <w:lang w:val="hr-HR"/>
        </w:rPr>
        <w:t xml:space="preserve">Ovaj lijek može predstavljati </w:t>
      </w:r>
      <w:r w:rsidR="0086242D" w:rsidRPr="008A2C89">
        <w:rPr>
          <w:rFonts w:eastAsia="TimesNewRoman"/>
          <w:sz w:val="22"/>
          <w:szCs w:val="22"/>
          <w:lang w:val="hr-HR"/>
        </w:rPr>
        <w:t xml:space="preserve">rizik za vodenu okolinu. </w:t>
      </w:r>
      <w:r w:rsidRPr="008A2C89">
        <w:rPr>
          <w:rFonts w:eastAsia="TimesNewRoman"/>
          <w:sz w:val="22"/>
          <w:szCs w:val="22"/>
          <w:lang w:val="hr-HR"/>
        </w:rPr>
        <w:t>Neiskorišćenu količinu lijeka ili otpadni materijal uklonit</w:t>
      </w:r>
      <w:r w:rsidR="0086242D" w:rsidRPr="008A2C89">
        <w:rPr>
          <w:rFonts w:eastAsia="TimesNewRoman"/>
          <w:sz w:val="22"/>
          <w:szCs w:val="22"/>
          <w:lang w:val="hr-HR"/>
        </w:rPr>
        <w:t>i u skladu sa važećim propisima (vidjeti dio 5.3).</w:t>
      </w:r>
    </w:p>
    <w:p w14:paraId="0D36CB70" w14:textId="77777777" w:rsidR="004A63C5" w:rsidRPr="00585C79" w:rsidRDefault="004A63C5" w:rsidP="00AE5D50">
      <w:pPr>
        <w:tabs>
          <w:tab w:val="left" w:pos="540"/>
          <w:tab w:val="left" w:pos="569"/>
        </w:tabs>
        <w:jc w:val="both"/>
        <w:rPr>
          <w:bCs/>
          <w:sz w:val="22"/>
          <w:szCs w:val="22"/>
          <w:lang w:val="hr-HR"/>
        </w:rPr>
      </w:pPr>
    </w:p>
    <w:p w14:paraId="0A273C11" w14:textId="77777777" w:rsidR="00CA3906" w:rsidRPr="00585C79" w:rsidRDefault="00CA3906" w:rsidP="00AE5D50">
      <w:pPr>
        <w:tabs>
          <w:tab w:val="left" w:pos="540"/>
          <w:tab w:val="left" w:pos="569"/>
        </w:tabs>
        <w:jc w:val="both"/>
        <w:rPr>
          <w:bCs/>
          <w:sz w:val="22"/>
          <w:szCs w:val="22"/>
          <w:lang w:val="hr-HR"/>
        </w:rPr>
      </w:pPr>
    </w:p>
    <w:p w14:paraId="1E380A61" w14:textId="77777777" w:rsidR="00F8570A" w:rsidRPr="008A2C89" w:rsidRDefault="0072020E" w:rsidP="00480FB1">
      <w:pPr>
        <w:tabs>
          <w:tab w:val="left" w:pos="540"/>
          <w:tab w:val="left" w:pos="569"/>
        </w:tabs>
        <w:rPr>
          <w:b/>
          <w:bCs/>
          <w:sz w:val="22"/>
          <w:szCs w:val="22"/>
        </w:rPr>
      </w:pPr>
      <w:r w:rsidRPr="008A2C89">
        <w:rPr>
          <w:b/>
          <w:bCs/>
          <w:sz w:val="22"/>
          <w:szCs w:val="22"/>
        </w:rPr>
        <w:t xml:space="preserve">7. </w:t>
      </w:r>
      <w:r w:rsidR="00480FB1" w:rsidRPr="008A2C89">
        <w:rPr>
          <w:b/>
          <w:bCs/>
          <w:sz w:val="22"/>
          <w:szCs w:val="22"/>
        </w:rPr>
        <w:tab/>
      </w:r>
      <w:r w:rsidRPr="008A2C89">
        <w:rPr>
          <w:b/>
          <w:bCs/>
          <w:sz w:val="22"/>
          <w:szCs w:val="22"/>
        </w:rPr>
        <w:t>NOSILAC DOZVOLE</w:t>
      </w:r>
      <w:r w:rsidR="00483928" w:rsidRPr="008A2C89">
        <w:rPr>
          <w:b/>
          <w:bCs/>
          <w:sz w:val="22"/>
          <w:szCs w:val="22"/>
        </w:rPr>
        <w:t xml:space="preserve"> </w:t>
      </w:r>
    </w:p>
    <w:p w14:paraId="66F2F989" w14:textId="77777777" w:rsidR="00C61BE0" w:rsidRPr="008A2C89" w:rsidRDefault="00C61BE0" w:rsidP="00480FB1">
      <w:pPr>
        <w:tabs>
          <w:tab w:val="left" w:pos="540"/>
          <w:tab w:val="left" w:pos="569"/>
        </w:tabs>
        <w:rPr>
          <w:bCs/>
          <w:sz w:val="22"/>
          <w:szCs w:val="22"/>
        </w:rPr>
      </w:pPr>
    </w:p>
    <w:p w14:paraId="125BF5DB" w14:textId="77777777" w:rsidR="0086242D" w:rsidRPr="008A2C89" w:rsidRDefault="0086242D" w:rsidP="0086242D">
      <w:pPr>
        <w:tabs>
          <w:tab w:val="left" w:pos="540"/>
          <w:tab w:val="left" w:pos="569"/>
        </w:tabs>
        <w:spacing w:line="259" w:lineRule="auto"/>
        <w:rPr>
          <w:rFonts w:eastAsia="Calibri"/>
          <w:spacing w:val="-2"/>
          <w:sz w:val="22"/>
          <w:szCs w:val="22"/>
          <w:lang w:val="hr-HR"/>
        </w:rPr>
      </w:pPr>
      <w:r w:rsidRPr="008A2C89">
        <w:rPr>
          <w:rFonts w:eastAsia="Calibri"/>
          <w:spacing w:val="-2"/>
          <w:sz w:val="22"/>
          <w:szCs w:val="22"/>
          <w:lang w:val="hr-HR"/>
        </w:rPr>
        <w:t xml:space="preserve">Evropa Lek Pharma d.o.o. Podgorica, </w:t>
      </w:r>
    </w:p>
    <w:p w14:paraId="6CF39A6A" w14:textId="77777777" w:rsidR="0086242D" w:rsidRPr="00585C79" w:rsidRDefault="0086242D" w:rsidP="0086242D">
      <w:pPr>
        <w:tabs>
          <w:tab w:val="left" w:pos="540"/>
          <w:tab w:val="left" w:pos="569"/>
        </w:tabs>
        <w:spacing w:line="259" w:lineRule="auto"/>
        <w:rPr>
          <w:rFonts w:eastAsiaTheme="minorHAnsi"/>
          <w:b/>
          <w:bCs/>
          <w:sz w:val="22"/>
          <w:szCs w:val="22"/>
          <w:lang w:val="hr-HR"/>
        </w:rPr>
      </w:pPr>
      <w:r w:rsidRPr="008A2C89">
        <w:rPr>
          <w:rFonts w:eastAsia="Calibri"/>
          <w:spacing w:val="-2"/>
          <w:sz w:val="22"/>
          <w:szCs w:val="22"/>
          <w:lang w:val="sv-SE"/>
        </w:rPr>
        <w:t>Kritskog odreda 4/1, 81000 Podgorica, Crna Gora</w:t>
      </w:r>
      <w:r w:rsidRPr="00585C79">
        <w:rPr>
          <w:rFonts w:eastAsiaTheme="minorHAnsi"/>
          <w:b/>
          <w:bCs/>
          <w:sz w:val="22"/>
          <w:szCs w:val="22"/>
          <w:lang w:val="hr-HR"/>
        </w:rPr>
        <w:tab/>
      </w:r>
    </w:p>
    <w:p w14:paraId="5877B5C3" w14:textId="77777777" w:rsidR="00C37FD7" w:rsidRPr="00585C79" w:rsidRDefault="00C37FD7" w:rsidP="00480FB1">
      <w:pPr>
        <w:tabs>
          <w:tab w:val="left" w:pos="540"/>
          <w:tab w:val="left" w:pos="569"/>
        </w:tabs>
        <w:rPr>
          <w:bCs/>
          <w:sz w:val="22"/>
          <w:szCs w:val="22"/>
          <w:lang w:val="hr-HR"/>
        </w:rPr>
      </w:pPr>
    </w:p>
    <w:p w14:paraId="0384F15B" w14:textId="77777777" w:rsidR="00CA3906" w:rsidRPr="00585C79" w:rsidRDefault="00CA3906" w:rsidP="00480FB1">
      <w:pPr>
        <w:tabs>
          <w:tab w:val="left" w:pos="540"/>
          <w:tab w:val="left" w:pos="569"/>
        </w:tabs>
        <w:rPr>
          <w:bCs/>
          <w:sz w:val="22"/>
          <w:szCs w:val="22"/>
          <w:lang w:val="hr-HR"/>
        </w:rPr>
      </w:pPr>
    </w:p>
    <w:p w14:paraId="1E2BD8AC" w14:textId="77777777" w:rsidR="0072020E" w:rsidRPr="00585C79" w:rsidRDefault="0072020E" w:rsidP="00480FB1">
      <w:pPr>
        <w:tabs>
          <w:tab w:val="left" w:pos="540"/>
          <w:tab w:val="left" w:pos="569"/>
        </w:tabs>
        <w:rPr>
          <w:b/>
          <w:bCs/>
          <w:sz w:val="22"/>
          <w:szCs w:val="22"/>
          <w:lang w:val="hr-HR"/>
        </w:rPr>
      </w:pPr>
      <w:r w:rsidRPr="00585C79">
        <w:rPr>
          <w:b/>
          <w:bCs/>
          <w:sz w:val="22"/>
          <w:szCs w:val="22"/>
          <w:lang w:val="hr-HR"/>
        </w:rPr>
        <w:t xml:space="preserve">8. </w:t>
      </w:r>
      <w:r w:rsidR="00480FB1" w:rsidRPr="00585C79">
        <w:rPr>
          <w:b/>
          <w:bCs/>
          <w:sz w:val="22"/>
          <w:szCs w:val="22"/>
          <w:lang w:val="hr-HR"/>
        </w:rPr>
        <w:tab/>
      </w:r>
      <w:r w:rsidRPr="00585C79">
        <w:rPr>
          <w:b/>
          <w:bCs/>
          <w:sz w:val="22"/>
          <w:szCs w:val="22"/>
          <w:lang w:val="hr-HR"/>
        </w:rPr>
        <w:t>BROJ DOZVOLE</w:t>
      </w:r>
      <w:r w:rsidR="008A6D43" w:rsidRPr="00585C79">
        <w:rPr>
          <w:b/>
          <w:bCs/>
          <w:sz w:val="22"/>
          <w:szCs w:val="22"/>
          <w:lang w:val="hr-HR"/>
        </w:rPr>
        <w:t xml:space="preserve"> ZA STAVLJANJE LIJEKA U PROMET</w:t>
      </w:r>
    </w:p>
    <w:p w14:paraId="13240332" w14:textId="77777777" w:rsidR="0072020E" w:rsidRPr="00585C79" w:rsidRDefault="0072020E" w:rsidP="00480FB1">
      <w:pPr>
        <w:tabs>
          <w:tab w:val="left" w:pos="540"/>
          <w:tab w:val="left" w:pos="569"/>
        </w:tabs>
        <w:rPr>
          <w:bCs/>
          <w:sz w:val="22"/>
          <w:szCs w:val="22"/>
          <w:lang w:val="hr-HR"/>
        </w:rPr>
      </w:pPr>
    </w:p>
    <w:p w14:paraId="679B5E4B" w14:textId="77777777" w:rsidR="0086242D" w:rsidRPr="008A2C89" w:rsidRDefault="0086242D" w:rsidP="0086242D">
      <w:pPr>
        <w:tabs>
          <w:tab w:val="left" w:pos="540"/>
          <w:tab w:val="left" w:pos="569"/>
        </w:tabs>
        <w:rPr>
          <w:bCs/>
          <w:sz w:val="22"/>
          <w:szCs w:val="22"/>
        </w:rPr>
      </w:pPr>
      <w:r w:rsidRPr="008A2C89">
        <w:rPr>
          <w:bCs/>
          <w:sz w:val="22"/>
          <w:szCs w:val="22"/>
        </w:rPr>
        <w:t>Fulvestrant Pliva, rastvor za injekciju u napunjenom injekcionom špricu, 250 mg/5 ml, napunjeni injekcioni špric, 1 x 5 ml: 2030/18/166 - 3815</w:t>
      </w:r>
    </w:p>
    <w:p w14:paraId="4E7D47E0" w14:textId="77777777" w:rsidR="0086242D" w:rsidRPr="008A2C89" w:rsidRDefault="0086242D" w:rsidP="0086242D">
      <w:pPr>
        <w:tabs>
          <w:tab w:val="left" w:pos="540"/>
          <w:tab w:val="left" w:pos="569"/>
        </w:tabs>
        <w:rPr>
          <w:bCs/>
          <w:sz w:val="22"/>
          <w:szCs w:val="22"/>
        </w:rPr>
      </w:pPr>
    </w:p>
    <w:p w14:paraId="373B340B" w14:textId="77777777" w:rsidR="0086242D" w:rsidRPr="008A2C89" w:rsidRDefault="0086242D" w:rsidP="0086242D">
      <w:pPr>
        <w:tabs>
          <w:tab w:val="left" w:pos="540"/>
          <w:tab w:val="left" w:pos="569"/>
        </w:tabs>
        <w:rPr>
          <w:bCs/>
          <w:sz w:val="22"/>
          <w:szCs w:val="22"/>
        </w:rPr>
      </w:pPr>
      <w:r w:rsidRPr="008A2C89">
        <w:rPr>
          <w:bCs/>
          <w:sz w:val="22"/>
          <w:szCs w:val="22"/>
        </w:rPr>
        <w:t>Fulvestrant Pliva, rastvor za injekciju u napunjenom injekcionom špricu, 250 mg/5 ml, napunjeni injekcioni špric, 2 x 5 ml: 2030/18/167 - 3816</w:t>
      </w:r>
    </w:p>
    <w:p w14:paraId="75485166" w14:textId="77777777" w:rsidR="00F45F77" w:rsidRDefault="00F45F77" w:rsidP="00480FB1">
      <w:pPr>
        <w:tabs>
          <w:tab w:val="left" w:pos="540"/>
          <w:tab w:val="left" w:pos="569"/>
        </w:tabs>
        <w:rPr>
          <w:bCs/>
          <w:sz w:val="22"/>
          <w:szCs w:val="22"/>
        </w:rPr>
      </w:pPr>
    </w:p>
    <w:p w14:paraId="7267BA3A" w14:textId="77777777" w:rsidR="00CA3906" w:rsidRPr="008A2C89" w:rsidRDefault="00CA3906" w:rsidP="00480FB1">
      <w:pPr>
        <w:tabs>
          <w:tab w:val="left" w:pos="540"/>
          <w:tab w:val="left" w:pos="569"/>
        </w:tabs>
        <w:rPr>
          <w:bCs/>
          <w:sz w:val="22"/>
          <w:szCs w:val="22"/>
        </w:rPr>
      </w:pPr>
    </w:p>
    <w:p w14:paraId="10602CCC" w14:textId="77777777" w:rsidR="0072020E" w:rsidRPr="008A2C89" w:rsidRDefault="0072020E" w:rsidP="00480FB1">
      <w:pPr>
        <w:tabs>
          <w:tab w:val="left" w:pos="540"/>
          <w:tab w:val="left" w:pos="569"/>
        </w:tabs>
        <w:rPr>
          <w:b/>
          <w:bCs/>
          <w:sz w:val="22"/>
          <w:szCs w:val="22"/>
        </w:rPr>
      </w:pPr>
      <w:r w:rsidRPr="008A2C89">
        <w:rPr>
          <w:b/>
          <w:bCs/>
          <w:sz w:val="22"/>
          <w:szCs w:val="22"/>
        </w:rPr>
        <w:t xml:space="preserve">9. </w:t>
      </w:r>
      <w:r w:rsidR="00480FB1" w:rsidRPr="008A2C89">
        <w:rPr>
          <w:b/>
          <w:bCs/>
          <w:sz w:val="22"/>
          <w:szCs w:val="22"/>
        </w:rPr>
        <w:tab/>
      </w:r>
      <w:r w:rsidRPr="008A2C89">
        <w:rPr>
          <w:b/>
          <w:bCs/>
          <w:sz w:val="22"/>
          <w:szCs w:val="22"/>
        </w:rPr>
        <w:t xml:space="preserve">DATUM </w:t>
      </w:r>
      <w:r w:rsidR="00C05DF8" w:rsidRPr="008A2C89">
        <w:rPr>
          <w:b/>
          <w:bCs/>
          <w:sz w:val="22"/>
          <w:szCs w:val="22"/>
        </w:rPr>
        <w:t xml:space="preserve">PRVE </w:t>
      </w:r>
      <w:r w:rsidR="008A6D43" w:rsidRPr="008A2C89">
        <w:rPr>
          <w:b/>
          <w:bCs/>
          <w:sz w:val="22"/>
          <w:szCs w:val="22"/>
        </w:rPr>
        <w:t>DOZVOLE</w:t>
      </w:r>
      <w:r w:rsidR="00C05DF8" w:rsidRPr="008A2C89">
        <w:rPr>
          <w:b/>
          <w:bCs/>
          <w:sz w:val="22"/>
          <w:szCs w:val="22"/>
        </w:rPr>
        <w:t>/OBNOVE DOZVOLE</w:t>
      </w:r>
      <w:r w:rsidR="008A6D43" w:rsidRPr="008A2C89">
        <w:rPr>
          <w:b/>
          <w:bCs/>
          <w:sz w:val="22"/>
          <w:szCs w:val="22"/>
        </w:rPr>
        <w:t xml:space="preserve"> ZA STAVLJANJE LIJEKA U PROMET</w:t>
      </w:r>
    </w:p>
    <w:p w14:paraId="54A34CF9" w14:textId="77777777" w:rsidR="0086242D" w:rsidRPr="008A2C89" w:rsidRDefault="0086242D" w:rsidP="00480FB1">
      <w:pPr>
        <w:tabs>
          <w:tab w:val="left" w:pos="540"/>
          <w:tab w:val="left" w:pos="569"/>
        </w:tabs>
        <w:rPr>
          <w:b/>
          <w:bCs/>
          <w:sz w:val="22"/>
          <w:szCs w:val="22"/>
        </w:rPr>
      </w:pPr>
    </w:p>
    <w:p w14:paraId="17CCD582" w14:textId="77777777" w:rsidR="0086242D" w:rsidRPr="008A2C89" w:rsidRDefault="0086242D" w:rsidP="0086242D">
      <w:pPr>
        <w:spacing w:line="259" w:lineRule="auto"/>
        <w:rPr>
          <w:rFonts w:eastAsiaTheme="minorHAnsi"/>
          <w:bCs/>
          <w:sz w:val="22"/>
          <w:szCs w:val="22"/>
        </w:rPr>
      </w:pPr>
      <w:r w:rsidRPr="008A2C89">
        <w:rPr>
          <w:rFonts w:eastAsiaTheme="minorHAnsi"/>
          <w:bCs/>
          <w:sz w:val="22"/>
          <w:szCs w:val="22"/>
        </w:rPr>
        <w:t xml:space="preserve">Fulvestrant Pliva, rastvor za injekciju u napunjenom injekcionom špricu, 250 mg/5 ml, napunjeni injekcioni špric, 1 x 5 ml: 01.03.2018. </w:t>
      </w:r>
      <w:proofErr w:type="gramStart"/>
      <w:r w:rsidRPr="008A2C89">
        <w:rPr>
          <w:rFonts w:eastAsiaTheme="minorHAnsi"/>
          <w:bCs/>
          <w:sz w:val="22"/>
          <w:szCs w:val="22"/>
        </w:rPr>
        <w:t>godine</w:t>
      </w:r>
      <w:proofErr w:type="gramEnd"/>
    </w:p>
    <w:p w14:paraId="2827A908" w14:textId="77777777" w:rsidR="0086242D" w:rsidRPr="008A2C89" w:rsidRDefault="0086242D" w:rsidP="0086242D">
      <w:pPr>
        <w:spacing w:line="259" w:lineRule="auto"/>
        <w:rPr>
          <w:rFonts w:eastAsiaTheme="minorHAnsi"/>
          <w:bCs/>
          <w:sz w:val="22"/>
          <w:szCs w:val="22"/>
        </w:rPr>
      </w:pPr>
    </w:p>
    <w:p w14:paraId="148C525A" w14:textId="77777777" w:rsidR="0086242D" w:rsidRPr="008A2C89" w:rsidRDefault="0086242D" w:rsidP="0086242D">
      <w:pPr>
        <w:tabs>
          <w:tab w:val="left" w:pos="540"/>
          <w:tab w:val="left" w:pos="569"/>
        </w:tabs>
        <w:spacing w:line="259" w:lineRule="auto"/>
        <w:rPr>
          <w:rFonts w:eastAsiaTheme="minorHAnsi"/>
          <w:bCs/>
          <w:sz w:val="22"/>
          <w:szCs w:val="22"/>
        </w:rPr>
      </w:pPr>
      <w:r w:rsidRPr="008A2C89">
        <w:rPr>
          <w:rFonts w:eastAsiaTheme="minorHAnsi"/>
          <w:bCs/>
          <w:sz w:val="22"/>
          <w:szCs w:val="22"/>
        </w:rPr>
        <w:lastRenderedPageBreak/>
        <w:t xml:space="preserve">Fulvestrant Pliva, rastvor za injekciju u napunjenom injekcionom špricu, 250 mg/5 ml, napunjeni injekcioni špric, 2 x 5 ml: 01.03.2018. </w:t>
      </w:r>
      <w:proofErr w:type="gramStart"/>
      <w:r w:rsidRPr="008A2C89">
        <w:rPr>
          <w:rFonts w:eastAsiaTheme="minorHAnsi"/>
          <w:bCs/>
          <w:sz w:val="22"/>
          <w:szCs w:val="22"/>
        </w:rPr>
        <w:t>godine</w:t>
      </w:r>
      <w:proofErr w:type="gramEnd"/>
    </w:p>
    <w:p w14:paraId="6640143E" w14:textId="77777777" w:rsidR="0072020E" w:rsidRPr="008A2C89" w:rsidRDefault="0072020E" w:rsidP="00480FB1">
      <w:pPr>
        <w:tabs>
          <w:tab w:val="left" w:pos="540"/>
          <w:tab w:val="left" w:pos="569"/>
        </w:tabs>
        <w:rPr>
          <w:bCs/>
          <w:sz w:val="22"/>
          <w:szCs w:val="22"/>
        </w:rPr>
      </w:pPr>
    </w:p>
    <w:p w14:paraId="43558EA7" w14:textId="77777777" w:rsidR="00836B35" w:rsidRPr="008A2C89" w:rsidRDefault="00836B35" w:rsidP="00480FB1">
      <w:pPr>
        <w:tabs>
          <w:tab w:val="left" w:pos="540"/>
          <w:tab w:val="left" w:pos="569"/>
        </w:tabs>
        <w:rPr>
          <w:bCs/>
          <w:sz w:val="22"/>
          <w:szCs w:val="22"/>
        </w:rPr>
      </w:pPr>
    </w:p>
    <w:p w14:paraId="444E675F" w14:textId="77777777" w:rsidR="003F6A59" w:rsidRPr="008A2C89" w:rsidRDefault="0072020E" w:rsidP="00C05DF8">
      <w:pPr>
        <w:tabs>
          <w:tab w:val="left" w:pos="540"/>
          <w:tab w:val="left" w:pos="569"/>
        </w:tabs>
        <w:ind w:left="540" w:hanging="540"/>
        <w:rPr>
          <w:bCs/>
          <w:sz w:val="22"/>
          <w:szCs w:val="22"/>
        </w:rPr>
      </w:pPr>
      <w:r w:rsidRPr="008A2C89">
        <w:rPr>
          <w:b/>
          <w:bCs/>
          <w:sz w:val="22"/>
          <w:szCs w:val="22"/>
        </w:rPr>
        <w:t xml:space="preserve">10. </w:t>
      </w:r>
      <w:r w:rsidR="00480FB1" w:rsidRPr="008A2C89">
        <w:rPr>
          <w:b/>
          <w:bCs/>
          <w:sz w:val="22"/>
          <w:szCs w:val="22"/>
        </w:rPr>
        <w:tab/>
      </w:r>
      <w:r w:rsidR="002846DB" w:rsidRPr="008A2C89">
        <w:rPr>
          <w:b/>
          <w:bCs/>
          <w:sz w:val="22"/>
          <w:szCs w:val="22"/>
        </w:rPr>
        <w:t>D</w:t>
      </w:r>
      <w:r w:rsidR="00EC2532" w:rsidRPr="008A2C89">
        <w:rPr>
          <w:b/>
          <w:bCs/>
          <w:sz w:val="22"/>
          <w:szCs w:val="22"/>
        </w:rPr>
        <w:t xml:space="preserve">ATUM REVIZIJE TEKSTA </w:t>
      </w:r>
    </w:p>
    <w:p w14:paraId="0EE08507" w14:textId="77777777" w:rsidR="003F6A59" w:rsidRPr="008A2C89" w:rsidRDefault="003F6A59" w:rsidP="00480FB1">
      <w:pPr>
        <w:tabs>
          <w:tab w:val="left" w:pos="540"/>
          <w:tab w:val="left" w:pos="569"/>
        </w:tabs>
        <w:rPr>
          <w:bCs/>
          <w:sz w:val="22"/>
          <w:szCs w:val="22"/>
        </w:rPr>
      </w:pPr>
    </w:p>
    <w:p w14:paraId="565C0507" w14:textId="0E3F687E" w:rsidR="008A6D43" w:rsidRPr="00786071" w:rsidRDefault="00CA3906" w:rsidP="00480FB1">
      <w:pPr>
        <w:tabs>
          <w:tab w:val="left" w:pos="540"/>
          <w:tab w:val="left" w:pos="569"/>
        </w:tabs>
        <w:rPr>
          <w:bCs/>
          <w:sz w:val="22"/>
          <w:szCs w:val="22"/>
        </w:rPr>
      </w:pPr>
      <w:r>
        <w:rPr>
          <w:bCs/>
          <w:sz w:val="22"/>
          <w:szCs w:val="22"/>
        </w:rPr>
        <w:t>Septembar</w:t>
      </w:r>
      <w:r w:rsidR="007A7366" w:rsidRPr="008A2C89">
        <w:rPr>
          <w:bCs/>
          <w:sz w:val="22"/>
          <w:szCs w:val="22"/>
        </w:rPr>
        <w:t>, 2023</w:t>
      </w:r>
      <w:r w:rsidR="0086242D" w:rsidRPr="008A2C89">
        <w:rPr>
          <w:bCs/>
          <w:sz w:val="22"/>
          <w:szCs w:val="22"/>
        </w:rPr>
        <w:t xml:space="preserve">. </w:t>
      </w:r>
      <w:proofErr w:type="gramStart"/>
      <w:r w:rsidR="0086242D" w:rsidRPr="008A2C89">
        <w:rPr>
          <w:bCs/>
          <w:sz w:val="22"/>
          <w:szCs w:val="22"/>
        </w:rPr>
        <w:t>godine</w:t>
      </w:r>
      <w:proofErr w:type="gramEnd"/>
    </w:p>
    <w:p w14:paraId="2339D32F" w14:textId="77777777" w:rsidR="003F6A59" w:rsidRPr="00786071" w:rsidRDefault="003F6A59" w:rsidP="00DE3F5C">
      <w:pPr>
        <w:rPr>
          <w:sz w:val="22"/>
          <w:szCs w:val="22"/>
          <w:lang w:val="pl-PL"/>
        </w:rPr>
      </w:pPr>
      <w:bookmarkStart w:id="0" w:name="_GoBack"/>
      <w:bookmarkEnd w:id="0"/>
    </w:p>
    <w:sectPr w:rsidR="003F6A59" w:rsidRPr="00786071" w:rsidSect="006B5404">
      <w:footerReference w:type="default" r:id="rId2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786CF" w14:textId="77777777" w:rsidR="00D10545" w:rsidRDefault="00D10545">
      <w:r>
        <w:separator/>
      </w:r>
    </w:p>
  </w:endnote>
  <w:endnote w:type="continuationSeparator" w:id="0">
    <w:p w14:paraId="639A0FF0" w14:textId="77777777" w:rsidR="00D10545" w:rsidRDefault="00D1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Yu Gothic UI"/>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1349C" w14:textId="6A0C5B56" w:rsidR="00DA43EF" w:rsidRPr="00B23F69" w:rsidRDefault="00DA43EF"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85C79">
      <w:rPr>
        <w:noProof/>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85C79">
      <w:rPr>
        <w:noProof/>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CE98C" w14:textId="77777777" w:rsidR="00D10545" w:rsidRDefault="00D10545">
      <w:r>
        <w:separator/>
      </w:r>
    </w:p>
  </w:footnote>
  <w:footnote w:type="continuationSeparator" w:id="0">
    <w:p w14:paraId="2FD34F27" w14:textId="77777777" w:rsidR="00D10545" w:rsidRDefault="00D10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pt;height:13.6pt;visibility:visible" o:bullet="t">
        <v:imagedata r:id="rId1" o:title="BT_1000x858px"/>
      </v:shape>
    </w:pict>
  </w:numPicBullet>
  <w:abstractNum w:abstractNumId="0" w15:restartNumberingAfterBreak="0">
    <w:nsid w:val="01A538FF"/>
    <w:multiLevelType w:val="hybridMultilevel"/>
    <w:tmpl w:val="7C0A2A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F1926"/>
    <w:multiLevelType w:val="hybridMultilevel"/>
    <w:tmpl w:val="E294F9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CC43E52"/>
    <w:multiLevelType w:val="hybridMultilevel"/>
    <w:tmpl w:val="594E6D02"/>
    <w:lvl w:ilvl="0" w:tplc="474CA62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6F07549"/>
    <w:multiLevelType w:val="hybridMultilevel"/>
    <w:tmpl w:val="8BE40B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69401EA"/>
    <w:multiLevelType w:val="hybridMultilevel"/>
    <w:tmpl w:val="5F28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
  </w:num>
  <w:num w:numId="4">
    <w:abstractNumId w:val="11"/>
  </w:num>
  <w:num w:numId="5">
    <w:abstractNumId w:val="5"/>
  </w:num>
  <w:num w:numId="6">
    <w:abstractNumId w:val="2"/>
  </w:num>
  <w:num w:numId="7">
    <w:abstractNumId w:val="9"/>
  </w:num>
  <w:num w:numId="8">
    <w:abstractNumId w:val="4"/>
  </w:num>
  <w:num w:numId="9">
    <w:abstractNumId w:val="8"/>
  </w:num>
  <w:num w:numId="10">
    <w:abstractNumId w:val="15"/>
  </w:num>
  <w:num w:numId="11">
    <w:abstractNumId w:val="6"/>
  </w:num>
  <w:num w:numId="12">
    <w:abstractNumId w:val="13"/>
  </w:num>
  <w:num w:numId="13">
    <w:abstractNumId w:val="10"/>
  </w:num>
  <w:num w:numId="14">
    <w:abstractNumId w:val="0"/>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37946"/>
    <w:rsid w:val="00046A09"/>
    <w:rsid w:val="00057E35"/>
    <w:rsid w:val="00076726"/>
    <w:rsid w:val="00080303"/>
    <w:rsid w:val="00096FD5"/>
    <w:rsid w:val="000A3F58"/>
    <w:rsid w:val="000D2343"/>
    <w:rsid w:val="000D24E4"/>
    <w:rsid w:val="000D3449"/>
    <w:rsid w:val="000D3ADD"/>
    <w:rsid w:val="000D425A"/>
    <w:rsid w:val="000D60CC"/>
    <w:rsid w:val="000D7DDB"/>
    <w:rsid w:val="000E2084"/>
    <w:rsid w:val="000E6F55"/>
    <w:rsid w:val="000F1A7D"/>
    <w:rsid w:val="000F77FA"/>
    <w:rsid w:val="00107BF7"/>
    <w:rsid w:val="00126F53"/>
    <w:rsid w:val="0014766D"/>
    <w:rsid w:val="001536CC"/>
    <w:rsid w:val="001A3FBA"/>
    <w:rsid w:val="001A5518"/>
    <w:rsid w:val="001B1C6A"/>
    <w:rsid w:val="001B2949"/>
    <w:rsid w:val="001C1263"/>
    <w:rsid w:val="001C1417"/>
    <w:rsid w:val="001E0C74"/>
    <w:rsid w:val="001E390B"/>
    <w:rsid w:val="001F42FB"/>
    <w:rsid w:val="001F719A"/>
    <w:rsid w:val="002031B3"/>
    <w:rsid w:val="00215931"/>
    <w:rsid w:val="00224C91"/>
    <w:rsid w:val="00227BDB"/>
    <w:rsid w:val="00234CB1"/>
    <w:rsid w:val="002352F8"/>
    <w:rsid w:val="00245242"/>
    <w:rsid w:val="002510A5"/>
    <w:rsid w:val="00254A0A"/>
    <w:rsid w:val="00266046"/>
    <w:rsid w:val="00270E2D"/>
    <w:rsid w:val="002846DB"/>
    <w:rsid w:val="00284CCD"/>
    <w:rsid w:val="0029559A"/>
    <w:rsid w:val="002C6637"/>
    <w:rsid w:val="002E0135"/>
    <w:rsid w:val="002E37A5"/>
    <w:rsid w:val="002F0918"/>
    <w:rsid w:val="002F230C"/>
    <w:rsid w:val="00303069"/>
    <w:rsid w:val="00310F03"/>
    <w:rsid w:val="003247D2"/>
    <w:rsid w:val="003445C1"/>
    <w:rsid w:val="00354A3F"/>
    <w:rsid w:val="00355B61"/>
    <w:rsid w:val="00362686"/>
    <w:rsid w:val="00371510"/>
    <w:rsid w:val="00396DFD"/>
    <w:rsid w:val="003A2EB0"/>
    <w:rsid w:val="003A7059"/>
    <w:rsid w:val="003B648D"/>
    <w:rsid w:val="003B7A36"/>
    <w:rsid w:val="003C17AB"/>
    <w:rsid w:val="003C7823"/>
    <w:rsid w:val="003E1DCC"/>
    <w:rsid w:val="003F11A1"/>
    <w:rsid w:val="003F6A59"/>
    <w:rsid w:val="004065C8"/>
    <w:rsid w:val="004109FA"/>
    <w:rsid w:val="00411B4B"/>
    <w:rsid w:val="00415BEE"/>
    <w:rsid w:val="00427F85"/>
    <w:rsid w:val="00436F42"/>
    <w:rsid w:val="004378B4"/>
    <w:rsid w:val="00447C19"/>
    <w:rsid w:val="00451314"/>
    <w:rsid w:val="00452E9D"/>
    <w:rsid w:val="004534C7"/>
    <w:rsid w:val="004671AA"/>
    <w:rsid w:val="00480FB1"/>
    <w:rsid w:val="00483928"/>
    <w:rsid w:val="00496152"/>
    <w:rsid w:val="004A63C5"/>
    <w:rsid w:val="004B0B0A"/>
    <w:rsid w:val="004B28FB"/>
    <w:rsid w:val="004C331F"/>
    <w:rsid w:val="004D6103"/>
    <w:rsid w:val="004E3079"/>
    <w:rsid w:val="004E3BCE"/>
    <w:rsid w:val="004E70AD"/>
    <w:rsid w:val="004F0E97"/>
    <w:rsid w:val="00501DD1"/>
    <w:rsid w:val="00515C21"/>
    <w:rsid w:val="00530BD7"/>
    <w:rsid w:val="00545CD2"/>
    <w:rsid w:val="005476F3"/>
    <w:rsid w:val="00564690"/>
    <w:rsid w:val="005660F7"/>
    <w:rsid w:val="00572527"/>
    <w:rsid w:val="00573E40"/>
    <w:rsid w:val="00576348"/>
    <w:rsid w:val="00585C79"/>
    <w:rsid w:val="005A0B2E"/>
    <w:rsid w:val="005A134F"/>
    <w:rsid w:val="005A23D2"/>
    <w:rsid w:val="005A36CB"/>
    <w:rsid w:val="005B49B8"/>
    <w:rsid w:val="005C0741"/>
    <w:rsid w:val="005C5EF4"/>
    <w:rsid w:val="005E2E0B"/>
    <w:rsid w:val="005E7A7D"/>
    <w:rsid w:val="005F28CA"/>
    <w:rsid w:val="00602457"/>
    <w:rsid w:val="0060668B"/>
    <w:rsid w:val="00644FC3"/>
    <w:rsid w:val="00646BD1"/>
    <w:rsid w:val="00654B88"/>
    <w:rsid w:val="006561C2"/>
    <w:rsid w:val="00671CB3"/>
    <w:rsid w:val="00674BAF"/>
    <w:rsid w:val="00681992"/>
    <w:rsid w:val="00682200"/>
    <w:rsid w:val="00692BF6"/>
    <w:rsid w:val="006A1497"/>
    <w:rsid w:val="006A31E5"/>
    <w:rsid w:val="006B0BD1"/>
    <w:rsid w:val="006B1DE8"/>
    <w:rsid w:val="006B5404"/>
    <w:rsid w:val="006D20A5"/>
    <w:rsid w:val="006D37BF"/>
    <w:rsid w:val="006E5C2C"/>
    <w:rsid w:val="006F5D54"/>
    <w:rsid w:val="006F76B8"/>
    <w:rsid w:val="00702E22"/>
    <w:rsid w:val="0070326A"/>
    <w:rsid w:val="007158CE"/>
    <w:rsid w:val="0072020E"/>
    <w:rsid w:val="007674F8"/>
    <w:rsid w:val="00786071"/>
    <w:rsid w:val="007A3ECB"/>
    <w:rsid w:val="007A7366"/>
    <w:rsid w:val="007B5234"/>
    <w:rsid w:val="007C5D71"/>
    <w:rsid w:val="007D7BB3"/>
    <w:rsid w:val="00817896"/>
    <w:rsid w:val="00824AB9"/>
    <w:rsid w:val="008317F2"/>
    <w:rsid w:val="008360C2"/>
    <w:rsid w:val="00836B35"/>
    <w:rsid w:val="00843BDE"/>
    <w:rsid w:val="008614CB"/>
    <w:rsid w:val="0086242D"/>
    <w:rsid w:val="00862888"/>
    <w:rsid w:val="00865CF7"/>
    <w:rsid w:val="0087349C"/>
    <w:rsid w:val="0087588C"/>
    <w:rsid w:val="0089705C"/>
    <w:rsid w:val="008A2C89"/>
    <w:rsid w:val="008A2CC3"/>
    <w:rsid w:val="008A6D43"/>
    <w:rsid w:val="008B491E"/>
    <w:rsid w:val="008C1A28"/>
    <w:rsid w:val="008C2E98"/>
    <w:rsid w:val="008E49BD"/>
    <w:rsid w:val="008E4AF5"/>
    <w:rsid w:val="008E53E9"/>
    <w:rsid w:val="008E5771"/>
    <w:rsid w:val="008F34AA"/>
    <w:rsid w:val="008F4ACF"/>
    <w:rsid w:val="00905963"/>
    <w:rsid w:val="00924166"/>
    <w:rsid w:val="009338F8"/>
    <w:rsid w:val="00940B9B"/>
    <w:rsid w:val="0095676E"/>
    <w:rsid w:val="00956983"/>
    <w:rsid w:val="00963B2A"/>
    <w:rsid w:val="00963CF0"/>
    <w:rsid w:val="00964BB1"/>
    <w:rsid w:val="009775D9"/>
    <w:rsid w:val="00997175"/>
    <w:rsid w:val="009A1847"/>
    <w:rsid w:val="009B062A"/>
    <w:rsid w:val="009E1F96"/>
    <w:rsid w:val="009E7C6F"/>
    <w:rsid w:val="009F1793"/>
    <w:rsid w:val="009F2D23"/>
    <w:rsid w:val="00A00303"/>
    <w:rsid w:val="00A01D69"/>
    <w:rsid w:val="00A02335"/>
    <w:rsid w:val="00A260EC"/>
    <w:rsid w:val="00A46C9A"/>
    <w:rsid w:val="00A55B4E"/>
    <w:rsid w:val="00A619F3"/>
    <w:rsid w:val="00A62A73"/>
    <w:rsid w:val="00A87FF6"/>
    <w:rsid w:val="00AA080E"/>
    <w:rsid w:val="00AA0A3B"/>
    <w:rsid w:val="00AA2763"/>
    <w:rsid w:val="00AA33B6"/>
    <w:rsid w:val="00AB50CA"/>
    <w:rsid w:val="00AB6D64"/>
    <w:rsid w:val="00AC53CE"/>
    <w:rsid w:val="00AD2193"/>
    <w:rsid w:val="00AD3149"/>
    <w:rsid w:val="00AE5D50"/>
    <w:rsid w:val="00AF2AC7"/>
    <w:rsid w:val="00AF32DB"/>
    <w:rsid w:val="00AF74CE"/>
    <w:rsid w:val="00B208DB"/>
    <w:rsid w:val="00B23F69"/>
    <w:rsid w:val="00B25DCD"/>
    <w:rsid w:val="00B60619"/>
    <w:rsid w:val="00B66A70"/>
    <w:rsid w:val="00B67366"/>
    <w:rsid w:val="00B711E8"/>
    <w:rsid w:val="00B80EE1"/>
    <w:rsid w:val="00B84135"/>
    <w:rsid w:val="00BC6A59"/>
    <w:rsid w:val="00C04D34"/>
    <w:rsid w:val="00C05DF8"/>
    <w:rsid w:val="00C06864"/>
    <w:rsid w:val="00C10F54"/>
    <w:rsid w:val="00C23D8D"/>
    <w:rsid w:val="00C37AA3"/>
    <w:rsid w:val="00C37FD7"/>
    <w:rsid w:val="00C43419"/>
    <w:rsid w:val="00C44CF3"/>
    <w:rsid w:val="00C455CF"/>
    <w:rsid w:val="00C61BE0"/>
    <w:rsid w:val="00C661E8"/>
    <w:rsid w:val="00C6707E"/>
    <w:rsid w:val="00C70B0E"/>
    <w:rsid w:val="00C717B2"/>
    <w:rsid w:val="00C773CA"/>
    <w:rsid w:val="00C83785"/>
    <w:rsid w:val="00C85F21"/>
    <w:rsid w:val="00C94C0D"/>
    <w:rsid w:val="00CA1FEB"/>
    <w:rsid w:val="00CA3906"/>
    <w:rsid w:val="00CC63F8"/>
    <w:rsid w:val="00CD4F85"/>
    <w:rsid w:val="00CD6F02"/>
    <w:rsid w:val="00CE246D"/>
    <w:rsid w:val="00CF07A0"/>
    <w:rsid w:val="00CF3E03"/>
    <w:rsid w:val="00D0082A"/>
    <w:rsid w:val="00D07D33"/>
    <w:rsid w:val="00D10545"/>
    <w:rsid w:val="00D21455"/>
    <w:rsid w:val="00D47634"/>
    <w:rsid w:val="00D709B3"/>
    <w:rsid w:val="00D81C03"/>
    <w:rsid w:val="00DA2ED6"/>
    <w:rsid w:val="00DA43EF"/>
    <w:rsid w:val="00DA6AD6"/>
    <w:rsid w:val="00DB76B8"/>
    <w:rsid w:val="00DC2EA1"/>
    <w:rsid w:val="00DD6AAF"/>
    <w:rsid w:val="00DE3F5C"/>
    <w:rsid w:val="00DF1D20"/>
    <w:rsid w:val="00E21324"/>
    <w:rsid w:val="00E246B9"/>
    <w:rsid w:val="00E31FEA"/>
    <w:rsid w:val="00E45169"/>
    <w:rsid w:val="00E47787"/>
    <w:rsid w:val="00E51C30"/>
    <w:rsid w:val="00E64180"/>
    <w:rsid w:val="00E74AEE"/>
    <w:rsid w:val="00E84A37"/>
    <w:rsid w:val="00E868E5"/>
    <w:rsid w:val="00E9237A"/>
    <w:rsid w:val="00E939FA"/>
    <w:rsid w:val="00EA5765"/>
    <w:rsid w:val="00EA7EEB"/>
    <w:rsid w:val="00EC2532"/>
    <w:rsid w:val="00ED7812"/>
    <w:rsid w:val="00EE0ADA"/>
    <w:rsid w:val="00EF3B86"/>
    <w:rsid w:val="00F317E9"/>
    <w:rsid w:val="00F34554"/>
    <w:rsid w:val="00F45F77"/>
    <w:rsid w:val="00F5167F"/>
    <w:rsid w:val="00F52258"/>
    <w:rsid w:val="00F8570A"/>
    <w:rsid w:val="00F91C7B"/>
    <w:rsid w:val="00FD34B6"/>
    <w:rsid w:val="00FD36ED"/>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6168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Default">
    <w:name w:val="Default"/>
    <w:rsid w:val="001B2949"/>
    <w:pPr>
      <w:autoSpaceDE w:val="0"/>
      <w:autoSpaceDN w:val="0"/>
      <w:adjustRightInd w:val="0"/>
    </w:pPr>
    <w:rPr>
      <w:color w:val="000000"/>
      <w:sz w:val="24"/>
      <w:szCs w:val="24"/>
      <w:lang w:val="en-GB"/>
    </w:rPr>
  </w:style>
  <w:style w:type="paragraph" w:styleId="ListParagraph">
    <w:name w:val="List Paragraph"/>
    <w:basedOn w:val="Normal"/>
    <w:uiPriority w:val="34"/>
    <w:qFormat/>
    <w:rsid w:val="007158CE"/>
    <w:pPr>
      <w:ind w:left="720"/>
      <w:contextualSpacing/>
    </w:pPr>
  </w:style>
  <w:style w:type="paragraph" w:styleId="Revision">
    <w:name w:val="Revision"/>
    <w:hidden/>
    <w:uiPriority w:val="99"/>
    <w:semiHidden/>
    <w:rsid w:val="00AE5D5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primaryreporting.who-umc.org/ME"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5490B-5021-4805-8E7D-24122B91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7947</Words>
  <Characters>45299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53140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4</cp:revision>
  <dcterms:created xsi:type="dcterms:W3CDTF">2023-10-02T10:44:00Z</dcterms:created>
  <dcterms:modified xsi:type="dcterms:W3CDTF">2023-10-03T07:47:00Z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