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1ED5A" w14:textId="77777777" w:rsidR="001A5518" w:rsidRPr="003F267F" w:rsidRDefault="001A5518" w:rsidP="001A5518">
      <w:pPr>
        <w:rPr>
          <w:b/>
          <w:bCs/>
          <w:i/>
          <w:iCs/>
          <w:sz w:val="22"/>
          <w:szCs w:val="22"/>
          <w:u w:val="single"/>
          <w:lang w:val="sr-Latn-ME"/>
        </w:rPr>
      </w:pPr>
    </w:p>
    <w:p w14:paraId="25F1ED5B" w14:textId="77777777" w:rsidR="00F91C7B" w:rsidRPr="003F267F" w:rsidRDefault="00F91C7B" w:rsidP="001A5518">
      <w:pPr>
        <w:rPr>
          <w:b/>
          <w:bCs/>
          <w:i/>
          <w:iCs/>
          <w:sz w:val="22"/>
          <w:szCs w:val="22"/>
          <w:u w:val="single"/>
          <w:lang w:val="sr-Latn-ME"/>
        </w:rPr>
      </w:pPr>
    </w:p>
    <w:p w14:paraId="25F1ED5C" w14:textId="77777777" w:rsidR="002510A5" w:rsidRPr="003F267F" w:rsidRDefault="002510A5" w:rsidP="002510A5">
      <w:pPr>
        <w:jc w:val="center"/>
        <w:rPr>
          <w:b/>
          <w:bCs/>
          <w:iCs/>
          <w:sz w:val="22"/>
          <w:szCs w:val="22"/>
          <w:u w:val="single"/>
          <w:lang w:val="sr-Latn-ME"/>
        </w:rPr>
      </w:pPr>
      <w:r w:rsidRPr="003F267F">
        <w:rPr>
          <w:b/>
          <w:bCs/>
          <w:iCs/>
          <w:sz w:val="22"/>
          <w:szCs w:val="22"/>
          <w:u w:val="single"/>
          <w:lang w:val="sr-Latn-ME"/>
        </w:rPr>
        <w:t>SAŽETAK KARAKTERISTIKA LIJEKA</w:t>
      </w:r>
    </w:p>
    <w:p w14:paraId="25F1ED5E" w14:textId="77777777" w:rsidR="003C17AB" w:rsidRPr="003F267F" w:rsidRDefault="003C17AB" w:rsidP="00CA1FEB">
      <w:pPr>
        <w:rPr>
          <w:sz w:val="22"/>
          <w:szCs w:val="22"/>
          <w:lang w:val="sr-Latn-ME"/>
        </w:rPr>
      </w:pPr>
    </w:p>
    <w:p w14:paraId="25F1ED60" w14:textId="77777777" w:rsidR="003C17AB" w:rsidRPr="003F267F" w:rsidRDefault="003C17AB" w:rsidP="00F5167F">
      <w:pPr>
        <w:tabs>
          <w:tab w:val="left" w:pos="540"/>
          <w:tab w:val="left" w:pos="569"/>
        </w:tabs>
        <w:rPr>
          <w:noProof/>
          <w:sz w:val="22"/>
          <w:szCs w:val="22"/>
          <w:lang w:val="sr-Latn-ME"/>
        </w:rPr>
      </w:pPr>
    </w:p>
    <w:p w14:paraId="25F1ED61" w14:textId="77777777" w:rsidR="00C37FD7" w:rsidRPr="003F267F" w:rsidRDefault="00C37FD7" w:rsidP="00F5167F">
      <w:pPr>
        <w:tabs>
          <w:tab w:val="left" w:pos="540"/>
          <w:tab w:val="left" w:pos="569"/>
        </w:tabs>
        <w:rPr>
          <w:bCs/>
          <w:sz w:val="22"/>
          <w:szCs w:val="22"/>
          <w:lang w:val="sr-Latn-ME"/>
        </w:rPr>
      </w:pPr>
    </w:p>
    <w:p w14:paraId="25F1ED62"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1.</w:t>
      </w:r>
      <w:r w:rsidR="00F5167F" w:rsidRPr="003F267F">
        <w:rPr>
          <w:b/>
          <w:bCs/>
          <w:sz w:val="22"/>
          <w:szCs w:val="22"/>
          <w:lang w:val="sr-Latn-ME"/>
        </w:rPr>
        <w:tab/>
      </w:r>
      <w:r w:rsidR="002846DB" w:rsidRPr="003F267F">
        <w:rPr>
          <w:b/>
          <w:bCs/>
          <w:sz w:val="22"/>
          <w:szCs w:val="22"/>
          <w:lang w:val="sr-Latn-ME"/>
        </w:rPr>
        <w:t xml:space="preserve">NAZIV </w:t>
      </w:r>
      <w:r w:rsidRPr="003F267F">
        <w:rPr>
          <w:b/>
          <w:bCs/>
          <w:sz w:val="22"/>
          <w:szCs w:val="22"/>
          <w:lang w:val="sr-Latn-ME"/>
        </w:rPr>
        <w:t>LIJEKA</w:t>
      </w:r>
    </w:p>
    <w:p w14:paraId="25F1ED63" w14:textId="77777777" w:rsidR="00EC2532" w:rsidRPr="003F267F" w:rsidRDefault="00EC2532" w:rsidP="00307DA5">
      <w:pPr>
        <w:jc w:val="both"/>
        <w:rPr>
          <w:sz w:val="22"/>
          <w:szCs w:val="22"/>
          <w:lang w:val="sr-Latn-ME"/>
        </w:rPr>
      </w:pPr>
    </w:p>
    <w:p w14:paraId="459309E0" w14:textId="64FE205D" w:rsidR="00513393" w:rsidRPr="003F267F" w:rsidRDefault="00513393">
      <w:pPr>
        <w:pStyle w:val="Header"/>
        <w:tabs>
          <w:tab w:val="left" w:pos="284"/>
        </w:tabs>
        <w:jc w:val="both"/>
        <w:rPr>
          <w:b/>
          <w:sz w:val="22"/>
          <w:szCs w:val="22"/>
          <w:lang w:val="sr-Latn-ME"/>
        </w:rPr>
      </w:pPr>
      <w:r w:rsidRPr="003F267F">
        <w:rPr>
          <w:sz w:val="22"/>
          <w:szCs w:val="22"/>
          <w:lang w:val="sr-Latn-ME"/>
        </w:rPr>
        <w:t xml:space="preserve">Fenolip, 160 mg,  kapsula, tvrda </w:t>
      </w:r>
    </w:p>
    <w:p w14:paraId="3121C6C8" w14:textId="77777777" w:rsidR="00E514B5" w:rsidRPr="003F267F" w:rsidRDefault="00E514B5" w:rsidP="00307DA5">
      <w:pPr>
        <w:jc w:val="both"/>
        <w:rPr>
          <w:bCs/>
          <w:sz w:val="22"/>
          <w:szCs w:val="22"/>
          <w:lang w:val="sr-Latn-ME"/>
        </w:rPr>
      </w:pPr>
    </w:p>
    <w:p w14:paraId="25F1ED67" w14:textId="667DA37B" w:rsidR="006D20A5" w:rsidRPr="003F267F" w:rsidRDefault="006D20A5" w:rsidP="00307DA5">
      <w:pPr>
        <w:jc w:val="both"/>
        <w:rPr>
          <w:sz w:val="22"/>
          <w:szCs w:val="22"/>
          <w:lang w:val="sr-Latn-ME"/>
        </w:rPr>
      </w:pPr>
      <w:r w:rsidRPr="003F267F">
        <w:rPr>
          <w:sz w:val="22"/>
          <w:szCs w:val="22"/>
          <w:lang w:val="sr-Latn-ME"/>
        </w:rPr>
        <w:t>INN:</w:t>
      </w:r>
      <w:r w:rsidR="000E6BB1" w:rsidRPr="003F267F">
        <w:rPr>
          <w:lang w:val="sr-Latn-ME"/>
        </w:rPr>
        <w:t xml:space="preserve"> </w:t>
      </w:r>
      <w:r w:rsidR="000E6BB1" w:rsidRPr="003F267F">
        <w:rPr>
          <w:sz w:val="22"/>
          <w:szCs w:val="22"/>
          <w:lang w:val="sr-Latn-ME"/>
        </w:rPr>
        <w:t>fenofibrat</w:t>
      </w:r>
    </w:p>
    <w:p w14:paraId="7CF59CF7" w14:textId="77777777" w:rsidR="007F6435" w:rsidRPr="003F267F" w:rsidRDefault="007F6435" w:rsidP="00307DA5">
      <w:pPr>
        <w:jc w:val="both"/>
        <w:rPr>
          <w:bCs/>
          <w:sz w:val="22"/>
          <w:szCs w:val="22"/>
          <w:lang w:val="sr-Latn-ME"/>
        </w:rPr>
      </w:pPr>
    </w:p>
    <w:p w14:paraId="25F1ED68" w14:textId="77777777" w:rsidR="00530BD7" w:rsidRPr="003F267F" w:rsidRDefault="00530BD7" w:rsidP="00307DA5">
      <w:pPr>
        <w:jc w:val="both"/>
        <w:rPr>
          <w:bCs/>
          <w:sz w:val="22"/>
          <w:szCs w:val="22"/>
          <w:lang w:val="sr-Latn-ME"/>
        </w:rPr>
      </w:pPr>
    </w:p>
    <w:p w14:paraId="25F1ED69"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2. </w:t>
      </w:r>
      <w:r w:rsidR="00F5167F" w:rsidRPr="003F267F">
        <w:rPr>
          <w:b/>
          <w:bCs/>
          <w:sz w:val="22"/>
          <w:szCs w:val="22"/>
          <w:lang w:val="sr-Latn-ME"/>
        </w:rPr>
        <w:tab/>
      </w:r>
      <w:r w:rsidRPr="003F267F">
        <w:rPr>
          <w:b/>
          <w:bCs/>
          <w:sz w:val="22"/>
          <w:szCs w:val="22"/>
          <w:lang w:val="sr-Latn-ME"/>
        </w:rPr>
        <w:t>KVALITATIVNI I KVANTITATIVNI SASTAV</w:t>
      </w:r>
    </w:p>
    <w:p w14:paraId="25F1ED6A" w14:textId="77777777" w:rsidR="005A0B2E" w:rsidRPr="003F267F" w:rsidRDefault="005A0B2E" w:rsidP="00307DA5">
      <w:pPr>
        <w:jc w:val="both"/>
        <w:rPr>
          <w:sz w:val="22"/>
          <w:szCs w:val="22"/>
          <w:lang w:val="sr-Latn-ME"/>
        </w:rPr>
      </w:pPr>
    </w:p>
    <w:p w14:paraId="4D5DF464" w14:textId="3F8B839E" w:rsidR="0071547B" w:rsidRPr="003F267F" w:rsidRDefault="0071547B">
      <w:pPr>
        <w:pStyle w:val="Header"/>
        <w:tabs>
          <w:tab w:val="left" w:pos="284"/>
        </w:tabs>
        <w:jc w:val="both"/>
        <w:rPr>
          <w:sz w:val="22"/>
          <w:szCs w:val="22"/>
          <w:lang w:val="sr-Latn-ME"/>
        </w:rPr>
      </w:pPr>
      <w:r w:rsidRPr="003F267F">
        <w:rPr>
          <w:sz w:val="22"/>
          <w:szCs w:val="22"/>
          <w:lang w:val="sr-Latn-ME"/>
        </w:rPr>
        <w:t>Jedna kapsula, tvrda sadrži 160 mg fenofibrata.</w:t>
      </w:r>
    </w:p>
    <w:p w14:paraId="4550C744" w14:textId="77777777" w:rsidR="0071547B" w:rsidRPr="003F267F" w:rsidRDefault="0071547B" w:rsidP="00307DA5">
      <w:pPr>
        <w:jc w:val="both"/>
        <w:rPr>
          <w:sz w:val="22"/>
          <w:szCs w:val="22"/>
          <w:lang w:val="sr-Latn-ME"/>
        </w:rPr>
      </w:pPr>
    </w:p>
    <w:p w14:paraId="25F1ED6B" w14:textId="2EB36853" w:rsidR="0003793F" w:rsidRPr="003F267F" w:rsidRDefault="0003793F" w:rsidP="00307DA5">
      <w:pPr>
        <w:jc w:val="both"/>
        <w:rPr>
          <w:sz w:val="22"/>
          <w:szCs w:val="22"/>
          <w:lang w:val="sr-Latn-ME"/>
        </w:rPr>
      </w:pPr>
      <w:r w:rsidRPr="003F267F">
        <w:rPr>
          <w:sz w:val="22"/>
          <w:szCs w:val="22"/>
          <w:lang w:val="sr-Latn-ME"/>
        </w:rPr>
        <w:t>Za spisak svih ekscipijenasa, pogledati dio 6.1.</w:t>
      </w:r>
    </w:p>
    <w:p w14:paraId="33B60B79" w14:textId="77777777" w:rsidR="007F6435" w:rsidRPr="003F267F" w:rsidRDefault="007F6435" w:rsidP="00307DA5">
      <w:pPr>
        <w:jc w:val="both"/>
        <w:rPr>
          <w:sz w:val="22"/>
          <w:szCs w:val="22"/>
          <w:lang w:val="sr-Latn-ME"/>
        </w:rPr>
      </w:pPr>
    </w:p>
    <w:p w14:paraId="25F1ED6D" w14:textId="77777777" w:rsidR="00C37FD7" w:rsidRPr="003F267F" w:rsidRDefault="00C37FD7" w:rsidP="00307DA5">
      <w:pPr>
        <w:jc w:val="both"/>
        <w:rPr>
          <w:sz w:val="22"/>
          <w:szCs w:val="22"/>
          <w:lang w:val="sr-Latn-ME"/>
        </w:rPr>
      </w:pPr>
    </w:p>
    <w:p w14:paraId="25F1ED6E"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3. </w:t>
      </w:r>
      <w:r w:rsidR="00F5167F" w:rsidRPr="003F267F">
        <w:rPr>
          <w:b/>
          <w:bCs/>
          <w:sz w:val="22"/>
          <w:szCs w:val="22"/>
          <w:lang w:val="sr-Latn-ME"/>
        </w:rPr>
        <w:tab/>
      </w:r>
      <w:r w:rsidRPr="003F267F">
        <w:rPr>
          <w:b/>
          <w:bCs/>
          <w:sz w:val="22"/>
          <w:szCs w:val="22"/>
          <w:lang w:val="sr-Latn-ME"/>
        </w:rPr>
        <w:t>FARMACEUTSKI OBLIK</w:t>
      </w:r>
      <w:r w:rsidR="009F2D23" w:rsidRPr="003F267F">
        <w:rPr>
          <w:b/>
          <w:bCs/>
          <w:sz w:val="22"/>
          <w:szCs w:val="22"/>
          <w:lang w:val="sr-Latn-ME"/>
        </w:rPr>
        <w:t xml:space="preserve"> </w:t>
      </w:r>
    </w:p>
    <w:p w14:paraId="25F1ED6F" w14:textId="21FC5298" w:rsidR="00411B4B" w:rsidRPr="003F267F" w:rsidRDefault="00411B4B" w:rsidP="00307DA5">
      <w:pPr>
        <w:jc w:val="both"/>
        <w:rPr>
          <w:bCs/>
          <w:sz w:val="22"/>
          <w:szCs w:val="22"/>
          <w:lang w:val="sr-Latn-ME"/>
        </w:rPr>
      </w:pPr>
    </w:p>
    <w:p w14:paraId="60C1B2DA" w14:textId="77777777" w:rsidR="005E2B5F" w:rsidRPr="003F267F" w:rsidRDefault="005E2B5F">
      <w:pPr>
        <w:pStyle w:val="Header"/>
        <w:tabs>
          <w:tab w:val="left" w:pos="284"/>
        </w:tabs>
        <w:jc w:val="both"/>
        <w:rPr>
          <w:sz w:val="22"/>
          <w:szCs w:val="22"/>
          <w:lang w:val="sr-Latn-ME"/>
        </w:rPr>
      </w:pPr>
      <w:r w:rsidRPr="003F267F">
        <w:rPr>
          <w:sz w:val="22"/>
          <w:szCs w:val="22"/>
          <w:lang w:val="sr-Latn-ME"/>
        </w:rPr>
        <w:t>Kapsula, tvrda.</w:t>
      </w:r>
    </w:p>
    <w:p w14:paraId="01F73F13" w14:textId="1BFB5A0B" w:rsidR="005E2B5F" w:rsidRPr="003F267F" w:rsidRDefault="005E2B5F">
      <w:pPr>
        <w:jc w:val="both"/>
        <w:rPr>
          <w:sz w:val="22"/>
          <w:szCs w:val="22"/>
          <w:lang w:val="sr-Latn-ME"/>
        </w:rPr>
      </w:pPr>
      <w:r w:rsidRPr="003F267F">
        <w:rPr>
          <w:sz w:val="22"/>
          <w:szCs w:val="22"/>
          <w:lang w:val="sr-Latn-ME"/>
        </w:rPr>
        <w:t>Tvrde želatinske kapsule veličine 0, sa kapicom zelene boje i tijelom narandžaste boje. Kapsule su punjene voštanom masom bijelo-bež boje.</w:t>
      </w:r>
    </w:p>
    <w:p w14:paraId="14BA1344" w14:textId="77777777" w:rsidR="007F6435" w:rsidRPr="003F267F" w:rsidRDefault="007F6435">
      <w:pPr>
        <w:jc w:val="both"/>
        <w:rPr>
          <w:sz w:val="22"/>
          <w:szCs w:val="22"/>
          <w:lang w:val="sr-Latn-ME"/>
        </w:rPr>
      </w:pPr>
    </w:p>
    <w:p w14:paraId="25F1ED70" w14:textId="77777777" w:rsidR="00EC2532" w:rsidRPr="003F267F" w:rsidRDefault="00EC2532" w:rsidP="00307DA5">
      <w:pPr>
        <w:jc w:val="both"/>
        <w:rPr>
          <w:bCs/>
          <w:sz w:val="22"/>
          <w:szCs w:val="22"/>
          <w:lang w:val="sr-Latn-ME"/>
        </w:rPr>
      </w:pPr>
    </w:p>
    <w:p w14:paraId="25F1ED71"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4. </w:t>
      </w:r>
      <w:r w:rsidR="00480FB1" w:rsidRPr="003F267F">
        <w:rPr>
          <w:b/>
          <w:bCs/>
          <w:sz w:val="22"/>
          <w:szCs w:val="22"/>
          <w:lang w:val="sr-Latn-ME"/>
        </w:rPr>
        <w:tab/>
      </w:r>
      <w:r w:rsidRPr="003F267F">
        <w:rPr>
          <w:b/>
          <w:bCs/>
          <w:sz w:val="22"/>
          <w:szCs w:val="22"/>
          <w:lang w:val="sr-Latn-ME"/>
        </w:rPr>
        <w:t>KLINIČKI PODACI</w:t>
      </w:r>
    </w:p>
    <w:p w14:paraId="25F1ED72" w14:textId="77777777" w:rsidR="00CD6F02" w:rsidRPr="003F267F" w:rsidRDefault="00CD6F02" w:rsidP="00307DA5">
      <w:pPr>
        <w:tabs>
          <w:tab w:val="left" w:pos="540"/>
          <w:tab w:val="left" w:pos="569"/>
        </w:tabs>
        <w:jc w:val="both"/>
        <w:rPr>
          <w:bCs/>
          <w:sz w:val="22"/>
          <w:szCs w:val="22"/>
          <w:lang w:val="sr-Latn-ME"/>
        </w:rPr>
      </w:pPr>
    </w:p>
    <w:p w14:paraId="25F1ED73"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4.1. </w:t>
      </w:r>
      <w:r w:rsidR="00480FB1" w:rsidRPr="003F267F">
        <w:rPr>
          <w:b/>
          <w:bCs/>
          <w:sz w:val="22"/>
          <w:szCs w:val="22"/>
          <w:lang w:val="sr-Latn-ME"/>
        </w:rPr>
        <w:tab/>
      </w:r>
      <w:r w:rsidRPr="003F267F">
        <w:rPr>
          <w:b/>
          <w:bCs/>
          <w:sz w:val="22"/>
          <w:szCs w:val="22"/>
          <w:lang w:val="sr-Latn-ME"/>
        </w:rPr>
        <w:t>Terapijske indikacije</w:t>
      </w:r>
    </w:p>
    <w:p w14:paraId="25F1ED74" w14:textId="534A8D1F" w:rsidR="00411B4B" w:rsidRPr="003F267F" w:rsidRDefault="00411B4B" w:rsidP="00307DA5">
      <w:pPr>
        <w:tabs>
          <w:tab w:val="left" w:pos="540"/>
          <w:tab w:val="left" w:pos="569"/>
        </w:tabs>
        <w:jc w:val="both"/>
        <w:rPr>
          <w:bCs/>
          <w:sz w:val="22"/>
          <w:szCs w:val="22"/>
          <w:lang w:val="sr-Latn-ME"/>
        </w:rPr>
      </w:pPr>
    </w:p>
    <w:p w14:paraId="2A4C819D" w14:textId="0E73A1D2" w:rsidR="00105587" w:rsidRPr="003F267F" w:rsidRDefault="00105587">
      <w:pPr>
        <w:pStyle w:val="Header"/>
        <w:tabs>
          <w:tab w:val="left" w:pos="284"/>
        </w:tabs>
        <w:jc w:val="both"/>
        <w:rPr>
          <w:sz w:val="22"/>
          <w:szCs w:val="22"/>
          <w:lang w:val="sr-Latn-ME"/>
        </w:rPr>
      </w:pPr>
      <w:r w:rsidRPr="003F267F">
        <w:rPr>
          <w:bCs/>
          <w:sz w:val="22"/>
          <w:szCs w:val="22"/>
          <w:lang w:val="sr-Latn-ME"/>
        </w:rPr>
        <w:t>Lijek Fenolip</w:t>
      </w:r>
      <w:r w:rsidRPr="003F267F">
        <w:rPr>
          <w:sz w:val="22"/>
          <w:szCs w:val="22"/>
          <w:lang w:val="sr-Latn-ME"/>
        </w:rPr>
        <w:t xml:space="preserve"> je indikovan kao dodatak dijeti i drugim nemedikame</w:t>
      </w:r>
      <w:r w:rsidR="00307DA5" w:rsidRPr="003F267F">
        <w:rPr>
          <w:sz w:val="22"/>
          <w:szCs w:val="22"/>
          <w:lang w:val="sr-Latn-ME"/>
        </w:rPr>
        <w:t>n</w:t>
      </w:r>
      <w:r w:rsidRPr="003F267F">
        <w:rPr>
          <w:sz w:val="22"/>
          <w:szCs w:val="22"/>
          <w:lang w:val="sr-Latn-ME"/>
        </w:rPr>
        <w:t>toznim mjerama (npr. vježbanju, smanjenju tjelesne mase) u sljedećim slučajevima:</w:t>
      </w:r>
    </w:p>
    <w:p w14:paraId="541524FF" w14:textId="27F50C63" w:rsidR="00105587" w:rsidRPr="003F267F" w:rsidRDefault="00105587">
      <w:pPr>
        <w:pStyle w:val="Header"/>
        <w:tabs>
          <w:tab w:val="left" w:pos="284"/>
        </w:tabs>
        <w:jc w:val="both"/>
        <w:rPr>
          <w:sz w:val="22"/>
          <w:szCs w:val="22"/>
          <w:lang w:val="sr-Latn-ME"/>
        </w:rPr>
      </w:pPr>
      <w:r w:rsidRPr="003F267F">
        <w:rPr>
          <w:sz w:val="22"/>
          <w:szCs w:val="22"/>
          <w:lang w:val="sr-Latn-ME"/>
        </w:rPr>
        <w:t>- terapija teške hipertrigliceridemije sa ili bez smanjene vrijednosti HDL holesterola;</w:t>
      </w:r>
    </w:p>
    <w:p w14:paraId="4A3936FC" w14:textId="7EE8E969" w:rsidR="00105587" w:rsidRPr="003F267F" w:rsidRDefault="00105587">
      <w:pPr>
        <w:pStyle w:val="Header"/>
        <w:tabs>
          <w:tab w:val="left" w:pos="284"/>
        </w:tabs>
        <w:jc w:val="both"/>
        <w:rPr>
          <w:sz w:val="22"/>
          <w:szCs w:val="22"/>
          <w:lang w:val="sr-Latn-ME"/>
        </w:rPr>
      </w:pPr>
      <w:r w:rsidRPr="003F267F">
        <w:rPr>
          <w:sz w:val="22"/>
          <w:szCs w:val="22"/>
          <w:lang w:val="sr-Latn-ME"/>
        </w:rPr>
        <w:t>- mješovita hiperlipidemija, kada je terapija statinima kontraindikovana ili se ne podnosi;</w:t>
      </w:r>
    </w:p>
    <w:p w14:paraId="0FFF2E0D" w14:textId="77777777" w:rsidR="00105587" w:rsidRPr="003F267F" w:rsidRDefault="00105587">
      <w:pPr>
        <w:pStyle w:val="Header"/>
        <w:tabs>
          <w:tab w:val="left" w:pos="284"/>
        </w:tabs>
        <w:jc w:val="both"/>
        <w:rPr>
          <w:sz w:val="22"/>
          <w:szCs w:val="22"/>
          <w:lang w:val="sr-Latn-ME"/>
        </w:rPr>
      </w:pPr>
      <w:r w:rsidRPr="003F267F">
        <w:rPr>
          <w:sz w:val="22"/>
          <w:szCs w:val="22"/>
          <w:lang w:val="sr-Latn-ME"/>
        </w:rPr>
        <w:t>- mješovita hiperlipidemija kod pacijenata sa visokim rizikom od pojave kardiovaskularnih bolesti, kao dodatak terapiji statinima, kada vrijednosti triglicerida i HDL holesterola nijesu adekvatno kontrolisane.</w:t>
      </w:r>
    </w:p>
    <w:p w14:paraId="6E14AD62" w14:textId="77777777" w:rsidR="00105587" w:rsidRPr="003F267F" w:rsidRDefault="00105587" w:rsidP="00307DA5">
      <w:pPr>
        <w:tabs>
          <w:tab w:val="left" w:pos="540"/>
          <w:tab w:val="left" w:pos="569"/>
        </w:tabs>
        <w:jc w:val="both"/>
        <w:rPr>
          <w:bCs/>
          <w:sz w:val="22"/>
          <w:szCs w:val="22"/>
          <w:lang w:val="sr-Latn-ME"/>
        </w:rPr>
      </w:pPr>
    </w:p>
    <w:p w14:paraId="25F1ED75"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4.2. </w:t>
      </w:r>
      <w:r w:rsidR="00480FB1" w:rsidRPr="003F267F">
        <w:rPr>
          <w:b/>
          <w:bCs/>
          <w:sz w:val="22"/>
          <w:szCs w:val="22"/>
          <w:lang w:val="sr-Latn-ME"/>
        </w:rPr>
        <w:tab/>
      </w:r>
      <w:r w:rsidRPr="003F267F">
        <w:rPr>
          <w:b/>
          <w:bCs/>
          <w:sz w:val="22"/>
          <w:szCs w:val="22"/>
          <w:lang w:val="sr-Latn-ME"/>
        </w:rPr>
        <w:t>Doziranje i način primjene</w:t>
      </w:r>
    </w:p>
    <w:p w14:paraId="25F1ED76" w14:textId="77777777" w:rsidR="0072020E" w:rsidRPr="003F267F" w:rsidRDefault="0072020E" w:rsidP="00307DA5">
      <w:pPr>
        <w:tabs>
          <w:tab w:val="left" w:pos="540"/>
          <w:tab w:val="left" w:pos="569"/>
        </w:tabs>
        <w:jc w:val="both"/>
        <w:rPr>
          <w:bCs/>
          <w:sz w:val="22"/>
          <w:szCs w:val="22"/>
          <w:lang w:val="sr-Latn-ME"/>
        </w:rPr>
      </w:pPr>
    </w:p>
    <w:p w14:paraId="04D0188F" w14:textId="77777777" w:rsidR="00714833" w:rsidRPr="003F267F" w:rsidRDefault="00714833">
      <w:pPr>
        <w:tabs>
          <w:tab w:val="center" w:pos="4536"/>
          <w:tab w:val="right" w:pos="9072"/>
        </w:tabs>
        <w:jc w:val="both"/>
        <w:rPr>
          <w:b/>
          <w:sz w:val="22"/>
          <w:szCs w:val="22"/>
          <w:lang w:val="sr-Latn-ME"/>
        </w:rPr>
      </w:pPr>
      <w:r w:rsidRPr="003F267F">
        <w:rPr>
          <w:sz w:val="22"/>
          <w:szCs w:val="22"/>
          <w:lang w:val="sr-Latn-ME"/>
        </w:rPr>
        <w:t>Dijetetski režim započet prije početka terapije treba nastaviti. Odgovor na terapiju treba pratiti određivanjem vrijednosti lipida u serumu. Ukoliko se odgovarajući odgovor ne postigne nakon nekoliko mjeseci, treba razmotriti uvođenje dodatne ili druge vrste terapije.</w:t>
      </w:r>
      <w:r w:rsidRPr="003F267F">
        <w:rPr>
          <w:b/>
          <w:sz w:val="22"/>
          <w:szCs w:val="22"/>
          <w:lang w:val="sr-Latn-ME"/>
        </w:rPr>
        <w:t xml:space="preserve"> </w:t>
      </w:r>
    </w:p>
    <w:p w14:paraId="435FC8A8" w14:textId="77777777" w:rsidR="00714833" w:rsidRPr="003F267F" w:rsidRDefault="00714833" w:rsidP="00307DA5">
      <w:pPr>
        <w:tabs>
          <w:tab w:val="left" w:pos="540"/>
          <w:tab w:val="left" w:pos="569"/>
        </w:tabs>
        <w:jc w:val="both"/>
        <w:rPr>
          <w:bCs/>
          <w:sz w:val="22"/>
          <w:szCs w:val="22"/>
          <w:u w:val="single"/>
          <w:lang w:val="sr-Latn-ME"/>
        </w:rPr>
      </w:pPr>
    </w:p>
    <w:p w14:paraId="25F1ED77" w14:textId="597D9F94" w:rsidR="00452E9D" w:rsidRPr="003F267F" w:rsidRDefault="00452E9D" w:rsidP="00307DA5">
      <w:pPr>
        <w:tabs>
          <w:tab w:val="left" w:pos="540"/>
          <w:tab w:val="left" w:pos="569"/>
        </w:tabs>
        <w:jc w:val="both"/>
        <w:rPr>
          <w:bCs/>
          <w:sz w:val="22"/>
          <w:szCs w:val="22"/>
          <w:u w:val="single"/>
          <w:lang w:val="sr-Latn-ME"/>
        </w:rPr>
      </w:pPr>
      <w:r w:rsidRPr="003F267F">
        <w:rPr>
          <w:bCs/>
          <w:sz w:val="22"/>
          <w:szCs w:val="22"/>
          <w:u w:val="single"/>
          <w:lang w:val="sr-Latn-ME"/>
        </w:rPr>
        <w:t>Doziranje</w:t>
      </w:r>
    </w:p>
    <w:p w14:paraId="3396EC2A" w14:textId="77777777" w:rsidR="009E3BAA" w:rsidRPr="003F267F" w:rsidRDefault="009E3BAA">
      <w:pPr>
        <w:pStyle w:val="Header"/>
        <w:jc w:val="both"/>
        <w:rPr>
          <w:sz w:val="22"/>
          <w:szCs w:val="22"/>
          <w:lang w:val="sr-Latn-ME"/>
        </w:rPr>
      </w:pPr>
      <w:r w:rsidRPr="003F267F">
        <w:rPr>
          <w:i/>
          <w:sz w:val="22"/>
          <w:szCs w:val="22"/>
          <w:lang w:val="sr-Latn-ME"/>
        </w:rPr>
        <w:t>Odrasli:</w:t>
      </w:r>
      <w:r w:rsidRPr="003F267F">
        <w:rPr>
          <w:sz w:val="22"/>
          <w:szCs w:val="22"/>
          <w:lang w:val="sr-Latn-ME"/>
        </w:rPr>
        <w:t xml:space="preserve"> </w:t>
      </w:r>
    </w:p>
    <w:p w14:paraId="3FEEDF39" w14:textId="24F80BE1" w:rsidR="009E3BAA" w:rsidRPr="003F267F" w:rsidRDefault="009E3BAA">
      <w:pPr>
        <w:pStyle w:val="Header"/>
        <w:jc w:val="both"/>
        <w:rPr>
          <w:sz w:val="22"/>
          <w:szCs w:val="22"/>
          <w:lang w:val="sr-Latn-ME"/>
        </w:rPr>
      </w:pPr>
      <w:r w:rsidRPr="003F267F">
        <w:rPr>
          <w:sz w:val="22"/>
          <w:szCs w:val="22"/>
          <w:lang w:val="sr-Latn-ME"/>
        </w:rPr>
        <w:t xml:space="preserve">Preporučena doza je jedna kapsula, tvrda sa 160 mg fenofibrata jednom dnevno. </w:t>
      </w:r>
    </w:p>
    <w:p w14:paraId="49F670FD" w14:textId="77777777" w:rsidR="009E3BAA" w:rsidRPr="003F267F" w:rsidRDefault="009E3BAA">
      <w:pPr>
        <w:pStyle w:val="Header"/>
        <w:jc w:val="both"/>
        <w:rPr>
          <w:sz w:val="22"/>
          <w:szCs w:val="22"/>
          <w:lang w:val="sr-Latn-ME"/>
        </w:rPr>
      </w:pPr>
    </w:p>
    <w:p w14:paraId="0E59673D" w14:textId="77777777" w:rsidR="009E3BAA" w:rsidRPr="003F267F" w:rsidRDefault="009E3BAA">
      <w:pPr>
        <w:tabs>
          <w:tab w:val="center" w:pos="4536"/>
          <w:tab w:val="right" w:pos="9072"/>
        </w:tabs>
        <w:jc w:val="both"/>
        <w:rPr>
          <w:b/>
          <w:bCs/>
          <w:sz w:val="22"/>
          <w:szCs w:val="22"/>
          <w:lang w:val="sr-Latn-ME"/>
        </w:rPr>
      </w:pPr>
      <w:r w:rsidRPr="003F267F">
        <w:rPr>
          <w:b/>
          <w:bCs/>
          <w:sz w:val="22"/>
          <w:szCs w:val="22"/>
          <w:lang w:val="sr-Latn-ME"/>
        </w:rPr>
        <w:t>Stariji pacijenti (≥ 65 godina starosti)</w:t>
      </w:r>
    </w:p>
    <w:p w14:paraId="16DA5406" w14:textId="2DCB4074" w:rsidR="009E3BAA" w:rsidRPr="003F267F" w:rsidRDefault="009E3BAA">
      <w:pPr>
        <w:tabs>
          <w:tab w:val="center" w:pos="4536"/>
          <w:tab w:val="right" w:pos="9072"/>
        </w:tabs>
        <w:jc w:val="both"/>
        <w:rPr>
          <w:bCs/>
          <w:sz w:val="22"/>
          <w:szCs w:val="22"/>
          <w:lang w:val="sr-Latn-ME"/>
        </w:rPr>
      </w:pPr>
      <w:r w:rsidRPr="003F267F">
        <w:rPr>
          <w:bCs/>
          <w:sz w:val="22"/>
          <w:szCs w:val="22"/>
          <w:lang w:val="sr-Latn-ME"/>
        </w:rPr>
        <w:t>Nije potrebno prilagođavanje doze. Preporučuje se uobičajena doza, osim kod smanjene funkcije bubrega sa procijenjenom brzinom glomerularne filtracije &lt; 60 m</w:t>
      </w:r>
      <w:r w:rsidR="00E02002" w:rsidRPr="003F267F">
        <w:rPr>
          <w:bCs/>
          <w:sz w:val="22"/>
          <w:szCs w:val="22"/>
          <w:lang w:val="sr-Latn-ME"/>
        </w:rPr>
        <w:t>l</w:t>
      </w:r>
      <w:r w:rsidRPr="003F267F">
        <w:rPr>
          <w:bCs/>
          <w:sz w:val="22"/>
          <w:szCs w:val="22"/>
          <w:lang w:val="sr-Latn-ME"/>
        </w:rPr>
        <w:t>/min/1</w:t>
      </w:r>
      <w:r w:rsidR="0092198E" w:rsidRPr="003F267F">
        <w:rPr>
          <w:bCs/>
          <w:sz w:val="22"/>
          <w:szCs w:val="22"/>
          <w:lang w:val="sr-Latn-ME"/>
        </w:rPr>
        <w:t>,</w:t>
      </w:r>
      <w:r w:rsidRPr="003F267F">
        <w:rPr>
          <w:bCs/>
          <w:sz w:val="22"/>
          <w:szCs w:val="22"/>
          <w:lang w:val="sr-Latn-ME"/>
        </w:rPr>
        <w:t>73 m</w:t>
      </w:r>
      <w:r w:rsidRPr="003F267F">
        <w:rPr>
          <w:bCs/>
          <w:sz w:val="22"/>
          <w:szCs w:val="22"/>
          <w:vertAlign w:val="superscript"/>
          <w:lang w:val="sr-Latn-ME"/>
        </w:rPr>
        <w:t>2</w:t>
      </w:r>
      <w:r w:rsidRPr="003F267F">
        <w:rPr>
          <w:bCs/>
          <w:sz w:val="22"/>
          <w:szCs w:val="22"/>
          <w:lang w:val="sr-Latn-ME"/>
        </w:rPr>
        <w:t xml:space="preserve"> (vidjeti odjeljak </w:t>
      </w:r>
      <w:r w:rsidRPr="003F267F">
        <w:rPr>
          <w:bCs/>
          <w:i/>
          <w:sz w:val="22"/>
          <w:szCs w:val="22"/>
          <w:lang w:val="sr-Latn-ME"/>
        </w:rPr>
        <w:t>Pacijenti sa oštećenjem funkcije bubrega</w:t>
      </w:r>
      <w:r w:rsidRPr="003F267F">
        <w:rPr>
          <w:bCs/>
          <w:sz w:val="22"/>
          <w:szCs w:val="22"/>
          <w:lang w:val="sr-Latn-ME"/>
        </w:rPr>
        <w:t>).</w:t>
      </w:r>
    </w:p>
    <w:p w14:paraId="50D61AE2" w14:textId="77777777" w:rsidR="009E3BAA" w:rsidRPr="003F267F" w:rsidRDefault="009E3BAA">
      <w:pPr>
        <w:pStyle w:val="Header"/>
        <w:jc w:val="both"/>
        <w:rPr>
          <w:sz w:val="22"/>
          <w:szCs w:val="22"/>
          <w:lang w:val="sr-Latn-ME"/>
        </w:rPr>
      </w:pPr>
    </w:p>
    <w:p w14:paraId="40D22C7D" w14:textId="7A7CB8FE" w:rsidR="009E3BAA" w:rsidRPr="003F267F" w:rsidRDefault="009E3BAA">
      <w:pPr>
        <w:pStyle w:val="Header"/>
        <w:jc w:val="both"/>
        <w:rPr>
          <w:sz w:val="22"/>
          <w:szCs w:val="22"/>
          <w:lang w:val="sr-Latn-ME"/>
        </w:rPr>
      </w:pPr>
      <w:r w:rsidRPr="003F267F">
        <w:rPr>
          <w:i/>
          <w:sz w:val="22"/>
          <w:szCs w:val="22"/>
          <w:lang w:val="sr-Latn-ME"/>
        </w:rPr>
        <w:t>Pacijenti sa oštećenjem funkcije bubrega:</w:t>
      </w:r>
    </w:p>
    <w:p w14:paraId="5A018FD3" w14:textId="77777777" w:rsidR="009E3BAA" w:rsidRPr="003F267F" w:rsidRDefault="009E3BAA">
      <w:pPr>
        <w:pStyle w:val="Header"/>
        <w:jc w:val="both"/>
        <w:rPr>
          <w:sz w:val="22"/>
          <w:szCs w:val="22"/>
          <w:lang w:val="sr-Latn-ME"/>
        </w:rPr>
      </w:pPr>
    </w:p>
    <w:p w14:paraId="08F77862" w14:textId="69745CE2" w:rsidR="009E3BAA" w:rsidRPr="003F267F" w:rsidRDefault="009E3BAA">
      <w:pPr>
        <w:pStyle w:val="Header"/>
        <w:jc w:val="both"/>
        <w:rPr>
          <w:sz w:val="22"/>
          <w:szCs w:val="22"/>
          <w:lang w:val="sr-Latn-ME"/>
        </w:rPr>
      </w:pPr>
      <w:r w:rsidRPr="003F267F">
        <w:rPr>
          <w:sz w:val="22"/>
          <w:szCs w:val="22"/>
          <w:lang w:val="sr-Latn-ME"/>
        </w:rPr>
        <w:t>Fenofibrat se ne smije primjenjivati u slučaju teškog oštećenja bubrega, definisanog procijenjenom brzinom glomerularne filtracije &lt;</w:t>
      </w:r>
      <w:r w:rsidR="00E02002" w:rsidRPr="003F267F">
        <w:rPr>
          <w:sz w:val="22"/>
          <w:szCs w:val="22"/>
          <w:lang w:val="sr-Latn-ME"/>
        </w:rPr>
        <w:t xml:space="preserve"> </w:t>
      </w:r>
      <w:r w:rsidRPr="003F267F">
        <w:rPr>
          <w:sz w:val="22"/>
          <w:szCs w:val="22"/>
          <w:lang w:val="sr-Latn-ME"/>
        </w:rPr>
        <w:t>30 m</w:t>
      </w:r>
      <w:r w:rsidR="00E02002" w:rsidRPr="003F267F">
        <w:rPr>
          <w:sz w:val="22"/>
          <w:szCs w:val="22"/>
          <w:lang w:val="sr-Latn-ME"/>
        </w:rPr>
        <w:t>l</w:t>
      </w:r>
      <w:r w:rsidRPr="003F267F">
        <w:rPr>
          <w:sz w:val="22"/>
          <w:szCs w:val="22"/>
          <w:lang w:val="sr-Latn-ME"/>
        </w:rPr>
        <w:t>/min na 1,73 m</w:t>
      </w:r>
      <w:r w:rsidRPr="003F267F">
        <w:rPr>
          <w:sz w:val="22"/>
          <w:szCs w:val="22"/>
          <w:vertAlign w:val="superscript"/>
          <w:lang w:val="sr-Latn-ME"/>
        </w:rPr>
        <w:t>2</w:t>
      </w:r>
      <w:r w:rsidRPr="003F267F">
        <w:rPr>
          <w:sz w:val="22"/>
          <w:szCs w:val="22"/>
          <w:lang w:val="sr-Latn-ME"/>
        </w:rPr>
        <w:t xml:space="preserve">. </w:t>
      </w:r>
    </w:p>
    <w:p w14:paraId="18D1FC34" w14:textId="44F18B53" w:rsidR="009E3BAA" w:rsidRPr="003F267F" w:rsidRDefault="009E3BAA">
      <w:pPr>
        <w:tabs>
          <w:tab w:val="center" w:pos="4536"/>
          <w:tab w:val="right" w:pos="9072"/>
        </w:tabs>
        <w:jc w:val="both"/>
        <w:rPr>
          <w:sz w:val="22"/>
          <w:szCs w:val="22"/>
          <w:lang w:val="sr-Latn-ME"/>
        </w:rPr>
      </w:pPr>
      <w:r w:rsidRPr="003F267F">
        <w:rPr>
          <w:sz w:val="22"/>
          <w:szCs w:val="22"/>
          <w:lang w:val="sr-Latn-ME"/>
        </w:rPr>
        <w:lastRenderedPageBreak/>
        <w:t>U slučaju procijenjene brzine glomerularne filtracije između 30 i 59 m</w:t>
      </w:r>
      <w:r w:rsidR="00E02002" w:rsidRPr="003F267F">
        <w:rPr>
          <w:sz w:val="22"/>
          <w:szCs w:val="22"/>
          <w:lang w:val="sr-Latn-ME"/>
        </w:rPr>
        <w:t>l</w:t>
      </w:r>
      <w:r w:rsidRPr="003F267F">
        <w:rPr>
          <w:sz w:val="22"/>
          <w:szCs w:val="22"/>
          <w:lang w:val="sr-Latn-ME"/>
        </w:rPr>
        <w:t>/min na 1,73 m</w:t>
      </w:r>
      <w:r w:rsidRPr="003F267F">
        <w:rPr>
          <w:sz w:val="22"/>
          <w:szCs w:val="22"/>
          <w:vertAlign w:val="superscript"/>
          <w:lang w:val="sr-Latn-ME"/>
        </w:rPr>
        <w:t>2</w:t>
      </w:r>
      <w:r w:rsidRPr="003F267F">
        <w:rPr>
          <w:sz w:val="22"/>
          <w:szCs w:val="22"/>
          <w:lang w:val="sr-Latn-ME"/>
        </w:rPr>
        <w:t xml:space="preserve">, doza fenofibrata ne smije da bude veća od 100 mg jednom dnevno u standardnom obliku, odnosno </w:t>
      </w:r>
      <w:r w:rsidR="007F6435" w:rsidRPr="003F267F">
        <w:rPr>
          <w:sz w:val="22"/>
          <w:szCs w:val="22"/>
          <w:lang w:val="sr-Latn-ME"/>
        </w:rPr>
        <w:t>6</w:t>
      </w:r>
      <w:r w:rsidRPr="003F267F">
        <w:rPr>
          <w:sz w:val="22"/>
          <w:szCs w:val="22"/>
          <w:lang w:val="sr-Latn-ME"/>
        </w:rPr>
        <w:t>7 mg jednom dnevno u mikronizovanom obliku.</w:t>
      </w:r>
    </w:p>
    <w:p w14:paraId="4AC51DFF" w14:textId="3FA19CD1" w:rsidR="009E3BAA" w:rsidRPr="003F267F" w:rsidRDefault="009E3BAA">
      <w:pPr>
        <w:pStyle w:val="Header"/>
        <w:jc w:val="both"/>
        <w:rPr>
          <w:sz w:val="22"/>
          <w:szCs w:val="22"/>
          <w:lang w:val="sr-Latn-ME"/>
        </w:rPr>
      </w:pPr>
      <w:r w:rsidRPr="003F267F">
        <w:rPr>
          <w:sz w:val="22"/>
          <w:szCs w:val="22"/>
          <w:lang w:val="sr-Latn-ME"/>
        </w:rPr>
        <w:t>Ako se tokom praćenja, procijenjena brzina glomerularne filtracije neprestano smanjuje do &lt;</w:t>
      </w:r>
      <w:r w:rsidR="00E02002" w:rsidRPr="003F267F">
        <w:rPr>
          <w:sz w:val="22"/>
          <w:szCs w:val="22"/>
          <w:lang w:val="sr-Latn-ME"/>
        </w:rPr>
        <w:t xml:space="preserve"> </w:t>
      </w:r>
      <w:r w:rsidRPr="003F267F">
        <w:rPr>
          <w:sz w:val="22"/>
          <w:szCs w:val="22"/>
          <w:lang w:val="sr-Latn-ME"/>
        </w:rPr>
        <w:t>30 m</w:t>
      </w:r>
      <w:r w:rsidR="00E02002" w:rsidRPr="003F267F">
        <w:rPr>
          <w:sz w:val="22"/>
          <w:szCs w:val="22"/>
          <w:lang w:val="sr-Latn-ME"/>
        </w:rPr>
        <w:t>l</w:t>
      </w:r>
      <w:r w:rsidRPr="003F267F">
        <w:rPr>
          <w:sz w:val="22"/>
          <w:szCs w:val="22"/>
          <w:lang w:val="sr-Latn-ME"/>
        </w:rPr>
        <w:t>/min na 1</w:t>
      </w:r>
      <w:r w:rsidR="009E1376" w:rsidRPr="003F267F">
        <w:rPr>
          <w:sz w:val="22"/>
          <w:szCs w:val="22"/>
          <w:lang w:val="sr-Latn-ME"/>
        </w:rPr>
        <w:t>,</w:t>
      </w:r>
      <w:r w:rsidRPr="003F267F">
        <w:rPr>
          <w:sz w:val="22"/>
          <w:szCs w:val="22"/>
          <w:lang w:val="sr-Latn-ME"/>
        </w:rPr>
        <w:t>73 m</w:t>
      </w:r>
      <w:r w:rsidRPr="003F267F">
        <w:rPr>
          <w:sz w:val="22"/>
          <w:szCs w:val="22"/>
          <w:vertAlign w:val="superscript"/>
          <w:lang w:val="sr-Latn-ME"/>
        </w:rPr>
        <w:t>2</w:t>
      </w:r>
      <w:r w:rsidRPr="003F267F">
        <w:rPr>
          <w:sz w:val="22"/>
          <w:szCs w:val="22"/>
          <w:lang w:val="sr-Latn-ME"/>
        </w:rPr>
        <w:t>, primjenu fenofibrata treba obustaviti.</w:t>
      </w:r>
    </w:p>
    <w:p w14:paraId="071CA7F1" w14:textId="77777777" w:rsidR="009E3BAA" w:rsidRPr="003F267F" w:rsidRDefault="009E3BAA">
      <w:pPr>
        <w:pStyle w:val="Header"/>
        <w:jc w:val="both"/>
        <w:rPr>
          <w:i/>
          <w:sz w:val="22"/>
          <w:szCs w:val="22"/>
          <w:lang w:val="sr-Latn-ME"/>
        </w:rPr>
      </w:pPr>
    </w:p>
    <w:p w14:paraId="71637608" w14:textId="75D86719" w:rsidR="009E3BAA" w:rsidRPr="003F267F" w:rsidRDefault="009E3BAA">
      <w:pPr>
        <w:pStyle w:val="Header"/>
        <w:jc w:val="both"/>
        <w:rPr>
          <w:sz w:val="22"/>
          <w:szCs w:val="22"/>
          <w:lang w:val="sr-Latn-ME"/>
        </w:rPr>
      </w:pPr>
      <w:r w:rsidRPr="003F267F">
        <w:rPr>
          <w:i/>
          <w:sz w:val="22"/>
          <w:szCs w:val="22"/>
          <w:lang w:val="sr-Latn-ME"/>
        </w:rPr>
        <w:t>Pacijenti sa oštećenjem funkcije jetre:</w:t>
      </w:r>
      <w:r w:rsidRPr="003F267F">
        <w:rPr>
          <w:sz w:val="22"/>
          <w:szCs w:val="22"/>
          <w:lang w:val="sr-Latn-ME"/>
        </w:rPr>
        <w:t xml:space="preserve"> </w:t>
      </w:r>
    </w:p>
    <w:p w14:paraId="0FB3F490" w14:textId="77777777" w:rsidR="009E3BAA" w:rsidRPr="003F267F" w:rsidRDefault="009E3BAA">
      <w:pPr>
        <w:tabs>
          <w:tab w:val="center" w:pos="4536"/>
          <w:tab w:val="right" w:pos="9072"/>
        </w:tabs>
        <w:jc w:val="both"/>
        <w:rPr>
          <w:sz w:val="22"/>
          <w:szCs w:val="22"/>
          <w:lang w:val="sr-Latn-ME"/>
        </w:rPr>
      </w:pPr>
      <w:r w:rsidRPr="003F267F">
        <w:rPr>
          <w:sz w:val="22"/>
          <w:szCs w:val="22"/>
          <w:lang w:val="sr-Latn-ME"/>
        </w:rPr>
        <w:t>Zbog nedovoljno podataka, upotreba fenofibrata se ne preporučuje kod pacijenata sa oštećenjem funkcije jetre.</w:t>
      </w:r>
    </w:p>
    <w:p w14:paraId="4BF5CF42" w14:textId="77777777" w:rsidR="009E3BAA" w:rsidRPr="003F267F" w:rsidRDefault="009E3BAA">
      <w:pPr>
        <w:pStyle w:val="Header"/>
        <w:jc w:val="both"/>
        <w:rPr>
          <w:i/>
          <w:sz w:val="22"/>
          <w:szCs w:val="22"/>
          <w:lang w:val="sr-Latn-ME"/>
        </w:rPr>
      </w:pPr>
    </w:p>
    <w:p w14:paraId="301CE7AD" w14:textId="77777777" w:rsidR="009E3BAA" w:rsidRPr="003F267F" w:rsidRDefault="009E3BAA">
      <w:pPr>
        <w:pStyle w:val="Header"/>
        <w:jc w:val="both"/>
        <w:rPr>
          <w:sz w:val="22"/>
          <w:szCs w:val="22"/>
          <w:lang w:val="sr-Latn-ME"/>
        </w:rPr>
      </w:pPr>
      <w:r w:rsidRPr="003F267F">
        <w:rPr>
          <w:i/>
          <w:sz w:val="22"/>
          <w:szCs w:val="22"/>
          <w:lang w:val="sr-Latn-ME"/>
        </w:rPr>
        <w:t>Pedijatrijska populacija:</w:t>
      </w:r>
      <w:r w:rsidRPr="003F267F">
        <w:rPr>
          <w:sz w:val="22"/>
          <w:szCs w:val="22"/>
          <w:lang w:val="sr-Latn-ME"/>
        </w:rPr>
        <w:t xml:space="preserve"> </w:t>
      </w:r>
    </w:p>
    <w:p w14:paraId="5FF0A360" w14:textId="4084AB9A" w:rsidR="009E3BAA" w:rsidRPr="003F267F" w:rsidRDefault="009E3BAA">
      <w:pPr>
        <w:pStyle w:val="Header"/>
        <w:jc w:val="both"/>
        <w:rPr>
          <w:sz w:val="22"/>
          <w:szCs w:val="22"/>
          <w:lang w:val="sr-Latn-ME"/>
        </w:rPr>
      </w:pPr>
      <w:r w:rsidRPr="003F267F">
        <w:rPr>
          <w:sz w:val="22"/>
          <w:szCs w:val="22"/>
          <w:lang w:val="sr-Latn-ME"/>
        </w:rPr>
        <w:t>Bezbjednost i efikasnost fenofibrata kod djece i adolescenata mlađih od 18 godina nije utvrđena. Nema dostupnih podataka. Zbog toga, upotreba fenofibrata se ne preporučuje kod pedijatrijske populacije mlađe od 18 godina.</w:t>
      </w:r>
    </w:p>
    <w:p w14:paraId="25F1ED78" w14:textId="77777777" w:rsidR="00452E9D" w:rsidRPr="003F267F" w:rsidRDefault="00452E9D" w:rsidP="00307DA5">
      <w:pPr>
        <w:tabs>
          <w:tab w:val="left" w:pos="540"/>
          <w:tab w:val="left" w:pos="569"/>
        </w:tabs>
        <w:jc w:val="both"/>
        <w:rPr>
          <w:bCs/>
          <w:sz w:val="22"/>
          <w:szCs w:val="22"/>
          <w:u w:val="single"/>
          <w:lang w:val="sr-Latn-ME"/>
        </w:rPr>
      </w:pPr>
    </w:p>
    <w:p w14:paraId="25F1ED79" w14:textId="77777777" w:rsidR="00452E9D" w:rsidRPr="003F267F" w:rsidRDefault="00452E9D" w:rsidP="00307DA5">
      <w:pPr>
        <w:tabs>
          <w:tab w:val="left" w:pos="540"/>
          <w:tab w:val="left" w:pos="569"/>
        </w:tabs>
        <w:jc w:val="both"/>
        <w:rPr>
          <w:bCs/>
          <w:sz w:val="22"/>
          <w:szCs w:val="22"/>
          <w:u w:val="single"/>
          <w:lang w:val="sr-Latn-ME"/>
        </w:rPr>
      </w:pPr>
      <w:r w:rsidRPr="003F267F">
        <w:rPr>
          <w:bCs/>
          <w:sz w:val="22"/>
          <w:szCs w:val="22"/>
          <w:u w:val="single"/>
          <w:lang w:val="sr-Latn-ME"/>
        </w:rPr>
        <w:t>Način primjene</w:t>
      </w:r>
    </w:p>
    <w:p w14:paraId="46B5932A" w14:textId="77777777" w:rsidR="00C76E07" w:rsidRPr="003F267F" w:rsidRDefault="00C76E07">
      <w:pPr>
        <w:pStyle w:val="Header"/>
        <w:jc w:val="both"/>
        <w:rPr>
          <w:b/>
          <w:bCs/>
          <w:sz w:val="22"/>
          <w:szCs w:val="22"/>
          <w:lang w:val="sr-Latn-ME"/>
        </w:rPr>
      </w:pPr>
      <w:r w:rsidRPr="003F267F">
        <w:rPr>
          <w:sz w:val="22"/>
          <w:szCs w:val="22"/>
          <w:lang w:val="sr-Latn-ME"/>
        </w:rPr>
        <w:t xml:space="preserve">Kapsulu treba progutati cijelu, tokom jela. </w:t>
      </w:r>
    </w:p>
    <w:p w14:paraId="25F1ED7A" w14:textId="77777777" w:rsidR="00452E9D" w:rsidRPr="003F267F" w:rsidRDefault="00452E9D" w:rsidP="00307DA5">
      <w:pPr>
        <w:tabs>
          <w:tab w:val="left" w:pos="540"/>
          <w:tab w:val="left" w:pos="569"/>
        </w:tabs>
        <w:jc w:val="both"/>
        <w:rPr>
          <w:bCs/>
          <w:sz w:val="22"/>
          <w:szCs w:val="22"/>
          <w:lang w:val="sr-Latn-ME"/>
        </w:rPr>
      </w:pPr>
    </w:p>
    <w:p w14:paraId="25F1ED7B"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4.3. </w:t>
      </w:r>
      <w:r w:rsidR="00480FB1" w:rsidRPr="003F267F">
        <w:rPr>
          <w:b/>
          <w:bCs/>
          <w:sz w:val="22"/>
          <w:szCs w:val="22"/>
          <w:lang w:val="sr-Latn-ME"/>
        </w:rPr>
        <w:tab/>
      </w:r>
      <w:r w:rsidRPr="003F267F">
        <w:rPr>
          <w:b/>
          <w:bCs/>
          <w:sz w:val="22"/>
          <w:szCs w:val="22"/>
          <w:lang w:val="sr-Latn-ME"/>
        </w:rPr>
        <w:t>Kontraindikacije</w:t>
      </w:r>
    </w:p>
    <w:p w14:paraId="25F1ED7C" w14:textId="5996F03B" w:rsidR="0072020E" w:rsidRPr="003F267F" w:rsidRDefault="0072020E" w:rsidP="00307DA5">
      <w:pPr>
        <w:tabs>
          <w:tab w:val="left" w:pos="540"/>
          <w:tab w:val="left" w:pos="569"/>
        </w:tabs>
        <w:jc w:val="both"/>
        <w:rPr>
          <w:bCs/>
          <w:sz w:val="22"/>
          <w:szCs w:val="22"/>
          <w:lang w:val="sr-Latn-ME"/>
        </w:rPr>
      </w:pPr>
    </w:p>
    <w:p w14:paraId="04BCA065" w14:textId="77777777" w:rsidR="000A6C70" w:rsidRPr="003F267F" w:rsidRDefault="000A6C70">
      <w:pPr>
        <w:jc w:val="both"/>
        <w:rPr>
          <w:sz w:val="22"/>
          <w:szCs w:val="22"/>
          <w:lang w:val="sr-Latn-ME"/>
        </w:rPr>
      </w:pPr>
      <w:r w:rsidRPr="003F267F">
        <w:rPr>
          <w:sz w:val="22"/>
          <w:szCs w:val="22"/>
          <w:lang w:val="sr-Latn-ME"/>
        </w:rPr>
        <w:t>- preosjetljivost na aktivnu supstancu ili na bilo koju od pomoćnih supstanci navedenih u odjeljku 6.1,</w:t>
      </w:r>
    </w:p>
    <w:p w14:paraId="5361E9E1" w14:textId="2B129A35" w:rsidR="000A6C70" w:rsidRPr="003F267F" w:rsidRDefault="000A6C70">
      <w:pPr>
        <w:pStyle w:val="Header"/>
        <w:tabs>
          <w:tab w:val="left" w:pos="284"/>
        </w:tabs>
        <w:jc w:val="both"/>
        <w:rPr>
          <w:sz w:val="22"/>
          <w:szCs w:val="22"/>
          <w:lang w:val="sr-Latn-ME"/>
        </w:rPr>
      </w:pPr>
      <w:r w:rsidRPr="003F267F">
        <w:rPr>
          <w:sz w:val="22"/>
          <w:szCs w:val="22"/>
          <w:lang w:val="sr-Latn-ME"/>
        </w:rPr>
        <w:t>- insuficijencija jetre (uključujući bilijarnu cirozu i neobjašnjivi uporni poremećaj funkcije jetre),</w:t>
      </w:r>
    </w:p>
    <w:p w14:paraId="6E563680" w14:textId="77777777" w:rsidR="000A6C70" w:rsidRPr="003F267F" w:rsidRDefault="000A6C70">
      <w:pPr>
        <w:pStyle w:val="Header"/>
        <w:tabs>
          <w:tab w:val="left" w:pos="284"/>
        </w:tabs>
        <w:jc w:val="both"/>
        <w:rPr>
          <w:sz w:val="22"/>
          <w:szCs w:val="22"/>
          <w:lang w:val="sr-Latn-ME"/>
        </w:rPr>
      </w:pPr>
      <w:r w:rsidRPr="003F267F">
        <w:rPr>
          <w:sz w:val="22"/>
          <w:szCs w:val="22"/>
          <w:lang w:val="sr-Latn-ME"/>
        </w:rPr>
        <w:t>- poznata oboljenja žučne kese,</w:t>
      </w:r>
    </w:p>
    <w:p w14:paraId="7C75BD90" w14:textId="768F471E" w:rsidR="000A6C70" w:rsidRPr="003F267F" w:rsidRDefault="000A6C70">
      <w:pPr>
        <w:pStyle w:val="Header"/>
        <w:tabs>
          <w:tab w:val="left" w:pos="284"/>
        </w:tabs>
        <w:jc w:val="both"/>
        <w:rPr>
          <w:sz w:val="22"/>
          <w:szCs w:val="22"/>
          <w:lang w:val="sr-Latn-ME"/>
        </w:rPr>
      </w:pPr>
      <w:r w:rsidRPr="003F267F">
        <w:rPr>
          <w:sz w:val="22"/>
          <w:szCs w:val="22"/>
          <w:lang w:val="sr-Latn-ME"/>
        </w:rPr>
        <w:t>- teška insuficijencija bubrega (procijenjena brzina glomerularne filtracije &lt; 30 m</w:t>
      </w:r>
      <w:r w:rsidR="00E02002" w:rsidRPr="003F267F">
        <w:rPr>
          <w:sz w:val="22"/>
          <w:szCs w:val="22"/>
          <w:lang w:val="sr-Latn-ME"/>
        </w:rPr>
        <w:t>l</w:t>
      </w:r>
      <w:r w:rsidRPr="003F267F">
        <w:rPr>
          <w:sz w:val="22"/>
          <w:szCs w:val="22"/>
          <w:lang w:val="sr-Latn-ME"/>
        </w:rPr>
        <w:t>/min/1</w:t>
      </w:r>
      <w:r w:rsidR="009E1376" w:rsidRPr="003F267F">
        <w:rPr>
          <w:sz w:val="22"/>
          <w:szCs w:val="22"/>
          <w:lang w:val="sr-Latn-ME"/>
        </w:rPr>
        <w:t>,</w:t>
      </w:r>
      <w:r w:rsidRPr="003F267F">
        <w:rPr>
          <w:sz w:val="22"/>
          <w:szCs w:val="22"/>
          <w:lang w:val="sr-Latn-ME"/>
        </w:rPr>
        <w:t>73 m</w:t>
      </w:r>
      <w:r w:rsidRPr="003F267F">
        <w:rPr>
          <w:sz w:val="22"/>
          <w:szCs w:val="22"/>
          <w:vertAlign w:val="superscript"/>
          <w:lang w:val="sr-Latn-ME"/>
        </w:rPr>
        <w:t>2</w:t>
      </w:r>
      <w:r w:rsidRPr="003F267F">
        <w:rPr>
          <w:sz w:val="22"/>
          <w:szCs w:val="22"/>
          <w:lang w:val="sr-Latn-ME"/>
        </w:rPr>
        <w:t>),</w:t>
      </w:r>
    </w:p>
    <w:p w14:paraId="2905A335" w14:textId="77777777" w:rsidR="000A6C70" w:rsidRPr="003F267F" w:rsidRDefault="000A6C70">
      <w:pPr>
        <w:pStyle w:val="Header"/>
        <w:tabs>
          <w:tab w:val="left" w:pos="284"/>
        </w:tabs>
        <w:jc w:val="both"/>
        <w:rPr>
          <w:sz w:val="22"/>
          <w:szCs w:val="22"/>
          <w:lang w:val="sr-Latn-ME"/>
        </w:rPr>
      </w:pPr>
      <w:r w:rsidRPr="003F267F">
        <w:rPr>
          <w:sz w:val="22"/>
          <w:szCs w:val="22"/>
          <w:lang w:val="sr-Latn-ME"/>
        </w:rPr>
        <w:t>- hronični ili akutni pankreatitis, osim akutnog pankreatitisa usljed teške hipertrigliceridemije,</w:t>
      </w:r>
    </w:p>
    <w:p w14:paraId="5853041D" w14:textId="71A84873" w:rsidR="000A6C70" w:rsidRPr="003F267F" w:rsidRDefault="000A6C70">
      <w:pPr>
        <w:pStyle w:val="Header"/>
        <w:tabs>
          <w:tab w:val="left" w:pos="284"/>
        </w:tabs>
        <w:jc w:val="both"/>
        <w:rPr>
          <w:sz w:val="22"/>
          <w:szCs w:val="22"/>
          <w:lang w:val="sr-Latn-ME"/>
        </w:rPr>
      </w:pPr>
      <w:r w:rsidRPr="003F267F">
        <w:rPr>
          <w:sz w:val="22"/>
          <w:szCs w:val="22"/>
          <w:lang w:val="sr-Latn-ME"/>
        </w:rPr>
        <w:t>- poznata fotoalergija ili fototoksična reakcija tokom primjene fibrata ili ketoprofena</w:t>
      </w:r>
      <w:r w:rsidR="006A05EE" w:rsidRPr="003F267F">
        <w:rPr>
          <w:sz w:val="22"/>
          <w:szCs w:val="22"/>
          <w:lang w:val="sr-Latn-ME"/>
        </w:rPr>
        <w:t>.</w:t>
      </w:r>
    </w:p>
    <w:p w14:paraId="0E8AFA9A" w14:textId="77777777" w:rsidR="000A6C70" w:rsidRPr="003F267F" w:rsidRDefault="000A6C70" w:rsidP="00307DA5">
      <w:pPr>
        <w:tabs>
          <w:tab w:val="left" w:pos="540"/>
          <w:tab w:val="left" w:pos="569"/>
        </w:tabs>
        <w:jc w:val="both"/>
        <w:rPr>
          <w:bCs/>
          <w:sz w:val="22"/>
          <w:szCs w:val="22"/>
          <w:lang w:val="sr-Latn-ME"/>
        </w:rPr>
      </w:pPr>
    </w:p>
    <w:p w14:paraId="25F1ED7D" w14:textId="77777777" w:rsidR="00411B4B" w:rsidRPr="003F267F" w:rsidRDefault="00411B4B" w:rsidP="00307DA5">
      <w:pPr>
        <w:tabs>
          <w:tab w:val="left" w:pos="540"/>
          <w:tab w:val="left" w:pos="569"/>
        </w:tabs>
        <w:jc w:val="both"/>
        <w:rPr>
          <w:b/>
          <w:bCs/>
          <w:sz w:val="22"/>
          <w:szCs w:val="22"/>
          <w:lang w:val="sr-Latn-ME"/>
        </w:rPr>
      </w:pPr>
      <w:r w:rsidRPr="003F267F">
        <w:rPr>
          <w:b/>
          <w:bCs/>
          <w:sz w:val="22"/>
          <w:szCs w:val="22"/>
          <w:lang w:val="sr-Latn-ME"/>
        </w:rPr>
        <w:t xml:space="preserve">4.4. </w:t>
      </w:r>
      <w:r w:rsidR="00480FB1" w:rsidRPr="003F267F">
        <w:rPr>
          <w:b/>
          <w:bCs/>
          <w:sz w:val="22"/>
          <w:szCs w:val="22"/>
          <w:lang w:val="sr-Latn-ME"/>
        </w:rPr>
        <w:tab/>
      </w:r>
      <w:r w:rsidRPr="003F267F">
        <w:rPr>
          <w:b/>
          <w:bCs/>
          <w:sz w:val="22"/>
          <w:szCs w:val="22"/>
          <w:lang w:val="sr-Latn-ME"/>
        </w:rPr>
        <w:t>Posebna upozorenja i mjere opreza pri upotrebi lijeka</w:t>
      </w:r>
    </w:p>
    <w:p w14:paraId="25F1ED7E" w14:textId="77777777" w:rsidR="0072020E" w:rsidRPr="003F267F" w:rsidRDefault="0072020E" w:rsidP="00307DA5">
      <w:pPr>
        <w:tabs>
          <w:tab w:val="left" w:pos="540"/>
          <w:tab w:val="left" w:pos="569"/>
        </w:tabs>
        <w:jc w:val="both"/>
        <w:rPr>
          <w:bCs/>
          <w:sz w:val="22"/>
          <w:szCs w:val="22"/>
          <w:lang w:val="sr-Latn-ME"/>
        </w:rPr>
      </w:pPr>
    </w:p>
    <w:p w14:paraId="2764A0C9" w14:textId="5DA93C57" w:rsidR="00060720" w:rsidRPr="003F267F" w:rsidRDefault="00060720">
      <w:pPr>
        <w:jc w:val="both"/>
        <w:rPr>
          <w:bCs/>
          <w:sz w:val="22"/>
          <w:szCs w:val="22"/>
          <w:u w:val="single"/>
          <w:lang w:val="sr-Latn-ME"/>
        </w:rPr>
      </w:pPr>
      <w:r w:rsidRPr="003F267F">
        <w:rPr>
          <w:bCs/>
          <w:sz w:val="22"/>
          <w:szCs w:val="22"/>
          <w:u w:val="single"/>
          <w:lang w:val="sr-Latn-ME"/>
        </w:rPr>
        <w:t>Sekundarni uzroci hiperlipidemije</w:t>
      </w:r>
      <w:r w:rsidR="007F6435" w:rsidRPr="003F267F">
        <w:rPr>
          <w:bCs/>
          <w:sz w:val="22"/>
          <w:szCs w:val="22"/>
          <w:u w:val="single"/>
          <w:lang w:val="sr-Latn-ME"/>
        </w:rPr>
        <w:t>:</w:t>
      </w:r>
      <w:r w:rsidRPr="003F267F">
        <w:rPr>
          <w:bCs/>
          <w:sz w:val="22"/>
          <w:szCs w:val="22"/>
          <w:u w:val="single"/>
          <w:lang w:val="sr-Latn-ME"/>
        </w:rPr>
        <w:t xml:space="preserve"> </w:t>
      </w:r>
    </w:p>
    <w:p w14:paraId="5A78FC16" w14:textId="6619505F" w:rsidR="00060720" w:rsidRPr="003F267F" w:rsidRDefault="00060720">
      <w:pPr>
        <w:jc w:val="both"/>
        <w:rPr>
          <w:bCs/>
          <w:sz w:val="22"/>
          <w:szCs w:val="22"/>
          <w:lang w:val="sr-Latn-ME"/>
        </w:rPr>
      </w:pPr>
      <w:r w:rsidRPr="003F267F">
        <w:rPr>
          <w:bCs/>
          <w:sz w:val="22"/>
          <w:szCs w:val="22"/>
          <w:lang w:val="sr-Latn-ME"/>
        </w:rPr>
        <w:t>Sekundarni uzroci hiperholesterolemije, kao što su nekontrolisani dijabetes melitus tip 2, hipotireoidizam, nefrotski sindrom, disproteinemija, opstruktivna bolest jetre ili alkoholizam, treba da budu adekvatno liječeni prije razmatranja primjene fenofibrata. Sekundarni uzroci hiperholesterolemije povezani sa primjenom ljekova primjećeni su sa diureticima, beta-blokatorima, estrogenima, progestagenima, kombinovanim oralnim kontraceptivima, imunosupresivima i inhibitorima proteaze. U ovim slučajevima treba utvrditi da li je hiperlipidemija primarnog ili sekundarnog tipa (moguće povećanje vrijednosti lipida u krvi uzrokovano ovim ljekovima).</w:t>
      </w:r>
    </w:p>
    <w:p w14:paraId="6E6BB341" w14:textId="77777777" w:rsidR="00060720" w:rsidRPr="003F267F" w:rsidRDefault="00060720">
      <w:pPr>
        <w:pStyle w:val="Header"/>
        <w:jc w:val="both"/>
        <w:rPr>
          <w:bCs/>
          <w:i/>
          <w:sz w:val="22"/>
          <w:szCs w:val="22"/>
          <w:lang w:val="sr-Latn-ME"/>
        </w:rPr>
      </w:pPr>
    </w:p>
    <w:p w14:paraId="34C8A798" w14:textId="184A42C8" w:rsidR="00060720" w:rsidRPr="003F267F" w:rsidRDefault="00060720">
      <w:pPr>
        <w:pStyle w:val="Header"/>
        <w:jc w:val="both"/>
        <w:rPr>
          <w:bCs/>
          <w:sz w:val="22"/>
          <w:szCs w:val="22"/>
          <w:u w:val="single"/>
          <w:lang w:val="sr-Latn-ME"/>
        </w:rPr>
      </w:pPr>
      <w:r w:rsidRPr="003F267F">
        <w:rPr>
          <w:bCs/>
          <w:i/>
          <w:sz w:val="22"/>
          <w:szCs w:val="22"/>
          <w:u w:val="single"/>
          <w:lang w:val="sr-Latn-ME"/>
        </w:rPr>
        <w:t>Funkcija jetre:</w:t>
      </w:r>
    </w:p>
    <w:p w14:paraId="6E71F07B" w14:textId="0FEC8C9F" w:rsidR="00060720" w:rsidRPr="003F267F" w:rsidRDefault="00060720">
      <w:pPr>
        <w:pStyle w:val="NormalWeb"/>
        <w:spacing w:before="0" w:beforeAutospacing="0" w:after="0" w:afterAutospacing="0"/>
        <w:jc w:val="both"/>
        <w:rPr>
          <w:sz w:val="22"/>
          <w:szCs w:val="22"/>
          <w:lang w:val="sr-Latn-ME"/>
        </w:rPr>
      </w:pPr>
      <w:r w:rsidRPr="003F267F">
        <w:rPr>
          <w:sz w:val="22"/>
          <w:szCs w:val="22"/>
          <w:lang w:val="sr-Latn-ME"/>
        </w:rPr>
        <w:t>Kao i kod drugih hipolipemika, kod nekih pacijenata je prijavljeno povećanje vrijednosti transaminaza. U većini slučajeva ovo povećanje je prolazno, malo i asimptomatsko. Preporučuje se praćenje vrijednosti transaminaza svaka 3 mjeseca tokom prvih 12 mjeseci terapije, zatim periodično. Potreban je oprez kod pacijenata kod kojih se javilo povećanje vrijednosti transaminaza i terapiju treba prekinuti ukoliko se vrijednosti aspartat aminotransferaze (AST tj. SGOT) i alanin aminotransferaze (ALT tj. SGPT) povećaju više od 3 puta od gornje granice normalnih vrijednosti. Ukoliko se jave simptomi hepatitisa (npr. žutica, pruritus) i dijagnoza potvrdi laboratorijskim ispitivanjem, terapiju fenofibratom treba prekinuti.</w:t>
      </w:r>
    </w:p>
    <w:p w14:paraId="00DB706E" w14:textId="77777777" w:rsidR="007F6435" w:rsidRPr="003F267F" w:rsidRDefault="007F6435">
      <w:pPr>
        <w:pStyle w:val="NormalWeb"/>
        <w:spacing w:before="0" w:beforeAutospacing="0" w:after="0" w:afterAutospacing="0"/>
        <w:jc w:val="both"/>
        <w:rPr>
          <w:b/>
          <w:sz w:val="22"/>
          <w:szCs w:val="22"/>
          <w:u w:val="single"/>
          <w:lang w:val="sr-Latn-ME"/>
        </w:rPr>
      </w:pPr>
    </w:p>
    <w:p w14:paraId="2423967F" w14:textId="7BEA5C83" w:rsidR="00060720" w:rsidRPr="003F267F" w:rsidRDefault="00060720">
      <w:pPr>
        <w:pStyle w:val="NormalWeb"/>
        <w:spacing w:before="0" w:beforeAutospacing="0" w:after="0" w:afterAutospacing="0"/>
        <w:jc w:val="both"/>
        <w:rPr>
          <w:b/>
          <w:sz w:val="22"/>
          <w:szCs w:val="22"/>
          <w:u w:val="single"/>
          <w:lang w:val="sr-Latn-ME"/>
        </w:rPr>
      </w:pPr>
      <w:r w:rsidRPr="003F267F">
        <w:rPr>
          <w:i/>
          <w:sz w:val="22"/>
          <w:szCs w:val="22"/>
          <w:u w:val="single"/>
          <w:lang w:val="sr-Latn-ME"/>
        </w:rPr>
        <w:t>Pankreas:</w:t>
      </w:r>
    </w:p>
    <w:p w14:paraId="3DAB7039" w14:textId="77C15E9E" w:rsidR="00060720" w:rsidRPr="003F267F" w:rsidRDefault="00060720">
      <w:pPr>
        <w:pStyle w:val="Header"/>
        <w:jc w:val="both"/>
        <w:rPr>
          <w:sz w:val="22"/>
          <w:szCs w:val="22"/>
          <w:lang w:val="sr-Latn-ME" w:eastAsia="sr-Latn-CS"/>
        </w:rPr>
      </w:pPr>
      <w:r w:rsidRPr="003F267F">
        <w:rPr>
          <w:sz w:val="22"/>
          <w:szCs w:val="22"/>
          <w:lang w:val="sr-Latn-ME"/>
        </w:rPr>
        <w:t xml:space="preserve">Pankreatitis je prijavljen kod pacijenata koji su uzimali fenofibrat (vidjeti odeljke 4.3 i 4.8). </w:t>
      </w:r>
      <w:r w:rsidRPr="003F267F">
        <w:rPr>
          <w:sz w:val="22"/>
          <w:szCs w:val="22"/>
          <w:lang w:val="sr-Latn-ME" w:eastAsia="sr-Latn-CS"/>
        </w:rPr>
        <w:t>Ova pojava može predstavljati nedostatak efikasnosti kod pacijenata sa teškom hipertrigliceridemijom, direktan uticaj lijeka ili sekundarnu pojavu posredovanu nastajanjem kamena ili pijeska u bilijarnom traktu, koja dovodi do opstrukcije zajedničkog bilijarnog kanala.</w:t>
      </w:r>
    </w:p>
    <w:p w14:paraId="5057C6A3" w14:textId="77777777" w:rsidR="007F6435" w:rsidRPr="003F267F" w:rsidRDefault="007F6435">
      <w:pPr>
        <w:pStyle w:val="Header"/>
        <w:jc w:val="both"/>
        <w:rPr>
          <w:sz w:val="22"/>
          <w:szCs w:val="22"/>
          <w:lang w:val="sr-Latn-ME"/>
        </w:rPr>
      </w:pPr>
    </w:p>
    <w:p w14:paraId="74FD0136" w14:textId="3C80D2EE" w:rsidR="00060720" w:rsidRPr="003F267F" w:rsidRDefault="00060720">
      <w:pPr>
        <w:pStyle w:val="Header"/>
        <w:jc w:val="both"/>
        <w:rPr>
          <w:b/>
          <w:bCs/>
          <w:sz w:val="22"/>
          <w:szCs w:val="22"/>
          <w:u w:val="single"/>
          <w:lang w:val="sr-Latn-ME"/>
        </w:rPr>
      </w:pPr>
      <w:r w:rsidRPr="003F267F">
        <w:rPr>
          <w:bCs/>
          <w:i/>
          <w:sz w:val="22"/>
          <w:szCs w:val="22"/>
          <w:u w:val="single"/>
          <w:lang w:val="sr-Latn-ME"/>
        </w:rPr>
        <w:t>Mišići:</w:t>
      </w:r>
    </w:p>
    <w:p w14:paraId="292471E6" w14:textId="400A2E74" w:rsidR="00060720" w:rsidRPr="003F267F" w:rsidRDefault="00060720">
      <w:pPr>
        <w:pStyle w:val="Header"/>
        <w:jc w:val="both"/>
        <w:rPr>
          <w:b/>
          <w:bCs/>
          <w:sz w:val="22"/>
          <w:szCs w:val="22"/>
          <w:lang w:val="sr-Latn-ME"/>
        </w:rPr>
      </w:pPr>
      <w:r w:rsidRPr="003F267F">
        <w:rPr>
          <w:sz w:val="22"/>
          <w:szCs w:val="22"/>
          <w:lang w:val="sr-Latn-ME"/>
        </w:rPr>
        <w:lastRenderedPageBreak/>
        <w:t>Mišićna toksičnost, uključujući i rijetke slučajeve rabdomiolize, sa ili bez bubrežne insuficijencije, prijavljeni su prilikom primjene fibrata kao i drugih hipolipemika. Incidenca mišićnih poremećaja raste kod pacijenata sa hipoalbuminemijom i prethodnom bubrežnom</w:t>
      </w:r>
      <w:r w:rsidRPr="003F267F" w:rsidDel="004707AB">
        <w:rPr>
          <w:sz w:val="22"/>
          <w:szCs w:val="22"/>
          <w:lang w:val="sr-Latn-ME"/>
        </w:rPr>
        <w:t xml:space="preserve"> </w:t>
      </w:r>
      <w:r w:rsidRPr="003F267F">
        <w:rPr>
          <w:sz w:val="22"/>
          <w:szCs w:val="22"/>
          <w:lang w:val="sr-Latn-ME"/>
        </w:rPr>
        <w:t xml:space="preserve">insuficijencijom. </w:t>
      </w:r>
    </w:p>
    <w:p w14:paraId="76325300" w14:textId="77777777" w:rsidR="00060720" w:rsidRPr="003F267F" w:rsidRDefault="00060720">
      <w:pPr>
        <w:pStyle w:val="Header"/>
        <w:jc w:val="both"/>
        <w:rPr>
          <w:sz w:val="22"/>
          <w:szCs w:val="22"/>
          <w:lang w:val="sr-Latn-ME"/>
        </w:rPr>
      </w:pPr>
    </w:p>
    <w:p w14:paraId="03A72E06" w14:textId="2F4D4AA2" w:rsidR="00060720" w:rsidRPr="003F267F" w:rsidRDefault="00060720">
      <w:pPr>
        <w:pStyle w:val="Header"/>
        <w:jc w:val="both"/>
        <w:rPr>
          <w:sz w:val="22"/>
          <w:szCs w:val="22"/>
          <w:lang w:val="sr-Latn-ME"/>
        </w:rPr>
      </w:pPr>
      <w:r w:rsidRPr="003F267F">
        <w:rPr>
          <w:sz w:val="22"/>
          <w:szCs w:val="22"/>
          <w:lang w:val="sr-Latn-ME"/>
        </w:rPr>
        <w:t xml:space="preserve">Pacijenti sa predisponirajućim faktorima za miopatiju i/ili rabdomiolizu, uključujući i osobe starije od 70 godina, </w:t>
      </w:r>
      <w:r w:rsidR="009E1376" w:rsidRPr="003F267F">
        <w:rPr>
          <w:sz w:val="22"/>
          <w:szCs w:val="22"/>
          <w:lang w:val="sr-Latn-ME"/>
        </w:rPr>
        <w:t xml:space="preserve">osobe </w:t>
      </w:r>
      <w:r w:rsidRPr="003F267F">
        <w:rPr>
          <w:sz w:val="22"/>
          <w:szCs w:val="22"/>
          <w:lang w:val="sr-Latn-ME"/>
        </w:rPr>
        <w:t>sa ličnom ili porodičnom istorijom nasljednih bolesti mišića, bubrežnim oštećenjem, hipotireoidizmom i visokim unosom alkohola, mogu imati povećan rizik za razvoj rabdomiolize. Kod ovih pacijenata potrebno je pažljivo odmjeriti koristi i rizike od terapije fenofibratom.</w:t>
      </w:r>
    </w:p>
    <w:p w14:paraId="3F9D5BF2" w14:textId="77777777" w:rsidR="00060720" w:rsidRPr="003F267F" w:rsidRDefault="00060720">
      <w:pPr>
        <w:pStyle w:val="Header"/>
        <w:jc w:val="both"/>
        <w:rPr>
          <w:sz w:val="22"/>
          <w:szCs w:val="22"/>
          <w:lang w:val="sr-Latn-ME"/>
        </w:rPr>
      </w:pPr>
    </w:p>
    <w:p w14:paraId="12DD1C7F" w14:textId="77777777" w:rsidR="00060720" w:rsidRPr="003F267F" w:rsidRDefault="00060720">
      <w:pPr>
        <w:pStyle w:val="Header"/>
        <w:jc w:val="both"/>
        <w:rPr>
          <w:b/>
          <w:bCs/>
          <w:sz w:val="22"/>
          <w:szCs w:val="22"/>
          <w:lang w:val="sr-Latn-ME"/>
        </w:rPr>
      </w:pPr>
      <w:r w:rsidRPr="003F267F">
        <w:rPr>
          <w:sz w:val="22"/>
          <w:szCs w:val="22"/>
          <w:lang w:val="sr-Latn-ME"/>
        </w:rPr>
        <w:t>Mišićnu toksičnost treba očekivati kod pacijenata sa difuznom mialgijom, miozitisom, grčevima u mišićima i slabošću mišića i/ili značajnim povećanjem koncentracije kreatin fosfokinaze (5 puta veće koncentracije od gornje granice normalnih vrijednosti). U ovakvim slučajevima treba prekinuti terapiju fenofibratom.</w:t>
      </w:r>
    </w:p>
    <w:p w14:paraId="479AF5D9" w14:textId="77777777" w:rsidR="00060720" w:rsidRPr="003F267F" w:rsidRDefault="00060720">
      <w:pPr>
        <w:tabs>
          <w:tab w:val="center" w:pos="4536"/>
          <w:tab w:val="right" w:pos="9072"/>
        </w:tabs>
        <w:jc w:val="both"/>
        <w:rPr>
          <w:sz w:val="22"/>
          <w:szCs w:val="22"/>
          <w:lang w:val="sr-Latn-ME"/>
        </w:rPr>
      </w:pPr>
    </w:p>
    <w:p w14:paraId="1ED66B23" w14:textId="40897BE6" w:rsidR="00060720" w:rsidRPr="003F267F" w:rsidRDefault="00060720">
      <w:pPr>
        <w:pStyle w:val="Header"/>
        <w:tabs>
          <w:tab w:val="left" w:pos="284"/>
        </w:tabs>
        <w:jc w:val="both"/>
        <w:rPr>
          <w:sz w:val="22"/>
          <w:szCs w:val="22"/>
          <w:lang w:val="sr-Latn-ME"/>
        </w:rPr>
      </w:pPr>
      <w:r w:rsidRPr="003F267F">
        <w:rPr>
          <w:sz w:val="22"/>
          <w:szCs w:val="22"/>
          <w:lang w:val="sr-Latn-ME"/>
        </w:rPr>
        <w:t xml:space="preserve">Rizik od mišićne toksičnosti se može povećati ukoliko se lijek primjenjuje zajedno sa drugim fibratom ili inhibitorom HMG-CoA reduktaze, a posebno u slučajevima kada već postoji oboljenje mišića. Shodno tome, istovremena terapija fenofibratom i inhibitorom HMG-CoA reduktaze ili drugim fibratom namijenjena je pacijentima sa teškom </w:t>
      </w:r>
      <w:r w:rsidR="009536E6" w:rsidRPr="003F267F">
        <w:rPr>
          <w:sz w:val="22"/>
          <w:szCs w:val="22"/>
          <w:lang w:val="sr-Latn-ME"/>
        </w:rPr>
        <w:t xml:space="preserve">kombinovanom </w:t>
      </w:r>
      <w:r w:rsidRPr="003F267F">
        <w:rPr>
          <w:sz w:val="22"/>
          <w:szCs w:val="22"/>
          <w:lang w:val="sr-Latn-ME"/>
        </w:rPr>
        <w:t xml:space="preserve">dislipidemijom </w:t>
      </w:r>
      <w:r w:rsidR="0039212F" w:rsidRPr="003F267F">
        <w:rPr>
          <w:sz w:val="22"/>
          <w:szCs w:val="22"/>
          <w:lang w:val="sr-Latn-ME"/>
        </w:rPr>
        <w:t>i</w:t>
      </w:r>
      <w:r w:rsidRPr="003F267F">
        <w:rPr>
          <w:sz w:val="22"/>
          <w:szCs w:val="22"/>
          <w:lang w:val="sr-Latn-ME"/>
        </w:rPr>
        <w:t xml:space="preserve"> visokim kardiovaskularnim rizikom</w:t>
      </w:r>
      <w:r w:rsidR="0039212F" w:rsidRPr="003F267F">
        <w:rPr>
          <w:sz w:val="22"/>
          <w:szCs w:val="22"/>
          <w:lang w:val="sr-Latn-ME"/>
        </w:rPr>
        <w:t>, a</w:t>
      </w:r>
      <w:r w:rsidRPr="003F267F">
        <w:rPr>
          <w:sz w:val="22"/>
          <w:szCs w:val="22"/>
          <w:lang w:val="sr-Latn-ME"/>
        </w:rPr>
        <w:t xml:space="preserve"> koji nemaju istoriju mišićnih bolesti.  Kod ovih pacijenata neophodno je pažljivo pratiti moguću mišićnu toksičnost.</w:t>
      </w:r>
    </w:p>
    <w:p w14:paraId="4E7B68FB" w14:textId="77777777" w:rsidR="00060720" w:rsidRPr="003F267F" w:rsidRDefault="00060720">
      <w:pPr>
        <w:jc w:val="both"/>
        <w:rPr>
          <w:i/>
          <w:color w:val="FF0000"/>
          <w:sz w:val="22"/>
          <w:szCs w:val="22"/>
          <w:lang w:val="sr-Latn-ME"/>
        </w:rPr>
      </w:pPr>
    </w:p>
    <w:p w14:paraId="6F7755A6" w14:textId="21F033C7" w:rsidR="00060720" w:rsidRPr="003F267F" w:rsidRDefault="00060720">
      <w:pPr>
        <w:jc w:val="both"/>
        <w:rPr>
          <w:b/>
          <w:sz w:val="22"/>
          <w:szCs w:val="22"/>
          <w:u w:val="single"/>
          <w:lang w:val="sr-Latn-ME"/>
        </w:rPr>
      </w:pPr>
      <w:r w:rsidRPr="003F267F">
        <w:rPr>
          <w:i/>
          <w:sz w:val="22"/>
          <w:szCs w:val="22"/>
          <w:u w:val="single"/>
          <w:lang w:val="sr-Latn-ME"/>
        </w:rPr>
        <w:t>Funkcija bubrega:</w:t>
      </w:r>
    </w:p>
    <w:p w14:paraId="501DB3CB" w14:textId="75630EC7" w:rsidR="00060720" w:rsidRPr="003F267F" w:rsidRDefault="00060720">
      <w:pPr>
        <w:jc w:val="both"/>
        <w:rPr>
          <w:sz w:val="22"/>
          <w:szCs w:val="22"/>
          <w:lang w:val="sr-Latn-ME"/>
        </w:rPr>
      </w:pPr>
      <w:r w:rsidRPr="003F267F">
        <w:rPr>
          <w:sz w:val="22"/>
          <w:szCs w:val="22"/>
          <w:lang w:val="sr-Latn-ME"/>
        </w:rPr>
        <w:t>Fenofibrat je kontraindikovan kod teškog oštećenja funkcije bubrega (vidjeti odjeljak 4.3).</w:t>
      </w:r>
    </w:p>
    <w:p w14:paraId="1E876191" w14:textId="1104D856" w:rsidR="00060720" w:rsidRPr="003F267F" w:rsidRDefault="00060720">
      <w:pPr>
        <w:jc w:val="both"/>
        <w:rPr>
          <w:sz w:val="22"/>
          <w:szCs w:val="22"/>
          <w:lang w:val="sr-Latn-ME"/>
        </w:rPr>
      </w:pPr>
      <w:r w:rsidRPr="003F267F">
        <w:rPr>
          <w:sz w:val="22"/>
          <w:szCs w:val="22"/>
          <w:lang w:val="sr-Latn-ME"/>
        </w:rPr>
        <w:t>Fenofibrat treba primjenjivati sa oprezom kod pacijenata sa blagom do umjerenom insuficijencijom bubrega. Dozu je potrebno prilagoditi kod pacijenata sa procijenjenom brzinom glomerularne filtracije između 30 do 59 m</w:t>
      </w:r>
      <w:r w:rsidR="0039212F" w:rsidRPr="003F267F">
        <w:rPr>
          <w:sz w:val="22"/>
          <w:szCs w:val="22"/>
          <w:lang w:val="sr-Latn-ME"/>
        </w:rPr>
        <w:t>l</w:t>
      </w:r>
      <w:r w:rsidRPr="003F267F">
        <w:rPr>
          <w:sz w:val="22"/>
          <w:szCs w:val="22"/>
          <w:lang w:val="sr-Latn-ME"/>
        </w:rPr>
        <w:t>/min/1</w:t>
      </w:r>
      <w:r w:rsidR="0039212F" w:rsidRPr="003F267F">
        <w:rPr>
          <w:sz w:val="22"/>
          <w:szCs w:val="22"/>
          <w:lang w:val="sr-Latn-ME"/>
        </w:rPr>
        <w:t>,</w:t>
      </w:r>
      <w:r w:rsidRPr="003F267F">
        <w:rPr>
          <w:sz w:val="22"/>
          <w:szCs w:val="22"/>
          <w:lang w:val="sr-Latn-ME"/>
        </w:rPr>
        <w:t>73 m</w:t>
      </w:r>
      <w:r w:rsidRPr="003F267F">
        <w:rPr>
          <w:sz w:val="22"/>
          <w:szCs w:val="22"/>
          <w:vertAlign w:val="superscript"/>
          <w:lang w:val="sr-Latn-ME"/>
        </w:rPr>
        <w:t>2</w:t>
      </w:r>
      <w:r w:rsidRPr="003F267F">
        <w:rPr>
          <w:sz w:val="22"/>
          <w:szCs w:val="22"/>
          <w:lang w:val="sr-Latn-ME"/>
        </w:rPr>
        <w:t xml:space="preserve"> (vidjeti odjeljak 4.2.). </w:t>
      </w:r>
    </w:p>
    <w:p w14:paraId="4AB6C3F4" w14:textId="77777777" w:rsidR="00060720" w:rsidRPr="003F267F" w:rsidRDefault="00060720">
      <w:pPr>
        <w:jc w:val="both"/>
        <w:rPr>
          <w:sz w:val="22"/>
          <w:szCs w:val="22"/>
          <w:lang w:val="sr-Latn-ME"/>
        </w:rPr>
      </w:pPr>
    </w:p>
    <w:p w14:paraId="60883E08" w14:textId="2F18404C" w:rsidR="00060720" w:rsidRPr="003F267F" w:rsidRDefault="00060720">
      <w:pPr>
        <w:jc w:val="both"/>
        <w:rPr>
          <w:sz w:val="22"/>
          <w:szCs w:val="22"/>
          <w:lang w:val="sr-Latn-ME"/>
        </w:rPr>
      </w:pPr>
      <w:r w:rsidRPr="003F267F">
        <w:rPr>
          <w:sz w:val="22"/>
          <w:szCs w:val="22"/>
          <w:lang w:val="sr-Latn-ME"/>
        </w:rPr>
        <w:t xml:space="preserve">Reverzibilna povećanja vrijednosti kreatinina u serumu prijavljena su kod pacijenata koji su uzimali fenofibrat kao monoterapiju ili u kombinaciji sa statinima. Generalno, povećanja vrijednosti kreatinina u serumu bila su stabilna tokom vremena i nije bilo dokaza o daljem povećanju  njegove  vrijednosti kod dugotrajne terapije, a  vrijednosti su se vraćale na početne nakon prestanka primjene fenofibrata. </w:t>
      </w:r>
    </w:p>
    <w:p w14:paraId="65C0A34D" w14:textId="236755B6" w:rsidR="00060720" w:rsidRPr="003F267F" w:rsidRDefault="00060720">
      <w:pPr>
        <w:jc w:val="both"/>
        <w:rPr>
          <w:sz w:val="22"/>
          <w:szCs w:val="22"/>
          <w:lang w:val="sr-Latn-ME"/>
        </w:rPr>
      </w:pPr>
      <w:r w:rsidRPr="003F267F">
        <w:rPr>
          <w:sz w:val="22"/>
          <w:szCs w:val="22"/>
          <w:lang w:val="sr-Latn-ME"/>
        </w:rPr>
        <w:t>Tokom kliničkih ispitivanja, 10% pacijenata je imalo povećanje vrijednosti kreatinina za više od 30 µmol/</w:t>
      </w:r>
      <w:r w:rsidR="008C3911" w:rsidRPr="003F267F">
        <w:rPr>
          <w:sz w:val="22"/>
          <w:szCs w:val="22"/>
          <w:lang w:val="sr-Latn-ME"/>
        </w:rPr>
        <w:t>l</w:t>
      </w:r>
      <w:r w:rsidRPr="003F267F">
        <w:rPr>
          <w:sz w:val="22"/>
          <w:szCs w:val="22"/>
          <w:lang w:val="sr-Latn-ME"/>
        </w:rPr>
        <w:t xml:space="preserve"> u odnosu na početnu vrijednost, kada je fenofibrat primijenjen istovremeno  sa simvastatinom, naspram 4,4% pacijenata na monoterapiji statinom. 0,3 % pacijenata koji su istovremeno primali navedene ljekove imalo je klinički značajno povećanje vrijednosti kreatinina do vrijednosti &gt; 200 </w:t>
      </w:r>
      <w:r w:rsidR="00B22D06" w:rsidRPr="003F267F">
        <w:rPr>
          <w:sz w:val="22"/>
          <w:szCs w:val="22"/>
          <w:lang w:val="sr-Latn-ME"/>
        </w:rPr>
        <w:t>µmol</w:t>
      </w:r>
      <w:r w:rsidR="00B22D06" w:rsidRPr="003F267F" w:rsidDel="00B22D06">
        <w:rPr>
          <w:sz w:val="22"/>
          <w:szCs w:val="22"/>
          <w:lang w:val="sr-Latn-ME"/>
        </w:rPr>
        <w:t xml:space="preserve"> </w:t>
      </w:r>
      <w:r w:rsidRPr="003F267F">
        <w:rPr>
          <w:sz w:val="22"/>
          <w:szCs w:val="22"/>
          <w:lang w:val="sr-Latn-ME"/>
        </w:rPr>
        <w:t>/</w:t>
      </w:r>
      <w:r w:rsidR="008C3911" w:rsidRPr="003F267F">
        <w:rPr>
          <w:sz w:val="22"/>
          <w:szCs w:val="22"/>
          <w:lang w:val="sr-Latn-ME"/>
        </w:rPr>
        <w:t>l</w:t>
      </w:r>
      <w:r w:rsidRPr="003F267F">
        <w:rPr>
          <w:sz w:val="22"/>
          <w:szCs w:val="22"/>
          <w:lang w:val="sr-Latn-ME"/>
        </w:rPr>
        <w:t>.</w:t>
      </w:r>
    </w:p>
    <w:p w14:paraId="2A45BE7B" w14:textId="4E4FE768" w:rsidR="00060720" w:rsidRPr="003F267F" w:rsidRDefault="00060720">
      <w:pPr>
        <w:jc w:val="both"/>
        <w:rPr>
          <w:sz w:val="22"/>
          <w:szCs w:val="22"/>
          <w:lang w:val="sr-Latn-ME"/>
        </w:rPr>
      </w:pPr>
      <w:r w:rsidRPr="003F267F">
        <w:rPr>
          <w:sz w:val="22"/>
          <w:szCs w:val="22"/>
          <w:lang w:val="sr-Latn-ME"/>
        </w:rPr>
        <w:t>Terapiju treba prekinuti kada je vrijednost kreatinina 50% iznad gornje granice normalnih vrijednosti. Preporučuje se određivane vrijednosti kreatinina tokom prva 3 mjeseca nakon započinjanja terapije, a nakon toga periodično.</w:t>
      </w:r>
    </w:p>
    <w:p w14:paraId="25F1ED80" w14:textId="77777777" w:rsidR="00057E35" w:rsidRPr="003F267F" w:rsidRDefault="00057E35" w:rsidP="008C3911">
      <w:pPr>
        <w:tabs>
          <w:tab w:val="left" w:pos="540"/>
          <w:tab w:val="left" w:pos="569"/>
        </w:tabs>
        <w:jc w:val="both"/>
        <w:rPr>
          <w:bCs/>
          <w:sz w:val="22"/>
          <w:szCs w:val="22"/>
          <w:lang w:val="sr-Latn-ME"/>
        </w:rPr>
      </w:pPr>
    </w:p>
    <w:p w14:paraId="25F1ED81" w14:textId="77777777" w:rsidR="00411B4B" w:rsidRPr="003F267F" w:rsidRDefault="00411B4B" w:rsidP="008C3911">
      <w:pPr>
        <w:tabs>
          <w:tab w:val="left" w:pos="540"/>
          <w:tab w:val="left" w:pos="569"/>
        </w:tabs>
        <w:jc w:val="both"/>
        <w:rPr>
          <w:b/>
          <w:bCs/>
          <w:sz w:val="22"/>
          <w:szCs w:val="22"/>
          <w:lang w:val="sr-Latn-ME"/>
        </w:rPr>
      </w:pPr>
      <w:r w:rsidRPr="003F267F">
        <w:rPr>
          <w:b/>
          <w:bCs/>
          <w:sz w:val="22"/>
          <w:szCs w:val="22"/>
          <w:lang w:val="sr-Latn-ME"/>
        </w:rPr>
        <w:t>4.5.</w:t>
      </w:r>
      <w:r w:rsidR="000D60CC" w:rsidRPr="003F267F">
        <w:rPr>
          <w:b/>
          <w:bCs/>
          <w:sz w:val="22"/>
          <w:szCs w:val="22"/>
          <w:lang w:val="sr-Latn-ME"/>
        </w:rPr>
        <w:tab/>
      </w:r>
      <w:r w:rsidRPr="003F267F">
        <w:rPr>
          <w:b/>
          <w:bCs/>
          <w:sz w:val="22"/>
          <w:szCs w:val="22"/>
          <w:lang w:val="sr-Latn-ME"/>
        </w:rPr>
        <w:t>Interakcije sa drugim ljekovima i druge vrste interakcija</w:t>
      </w:r>
    </w:p>
    <w:p w14:paraId="25F1ED82" w14:textId="4CD1280D" w:rsidR="0072020E" w:rsidRPr="003F267F" w:rsidRDefault="0072020E" w:rsidP="008C3911">
      <w:pPr>
        <w:tabs>
          <w:tab w:val="left" w:pos="540"/>
          <w:tab w:val="left" w:pos="569"/>
        </w:tabs>
        <w:jc w:val="both"/>
        <w:rPr>
          <w:bCs/>
          <w:sz w:val="22"/>
          <w:szCs w:val="22"/>
          <w:lang w:val="sr-Latn-ME"/>
        </w:rPr>
      </w:pPr>
    </w:p>
    <w:p w14:paraId="377C081A" w14:textId="77777777" w:rsidR="002E4DA1" w:rsidRPr="003F267F" w:rsidRDefault="002E4DA1">
      <w:pPr>
        <w:pStyle w:val="Header"/>
        <w:jc w:val="both"/>
        <w:rPr>
          <w:bCs/>
          <w:i/>
          <w:sz w:val="22"/>
          <w:szCs w:val="22"/>
          <w:u w:val="single"/>
          <w:lang w:val="sr-Latn-ME"/>
        </w:rPr>
      </w:pPr>
      <w:r w:rsidRPr="003F267F">
        <w:rPr>
          <w:bCs/>
          <w:i/>
          <w:sz w:val="22"/>
          <w:szCs w:val="22"/>
          <w:u w:val="single"/>
          <w:lang w:val="sr-Latn-ME"/>
        </w:rPr>
        <w:t>Oralni antikoagulansi:</w:t>
      </w:r>
    </w:p>
    <w:p w14:paraId="73D5F1AA" w14:textId="7F5A2184" w:rsidR="00874D9E" w:rsidRPr="003F267F" w:rsidRDefault="002E4DA1">
      <w:pPr>
        <w:pStyle w:val="Header"/>
        <w:jc w:val="both"/>
        <w:rPr>
          <w:sz w:val="22"/>
          <w:szCs w:val="22"/>
          <w:lang w:val="sr-Latn-ME"/>
        </w:rPr>
      </w:pPr>
      <w:r w:rsidRPr="003F267F">
        <w:rPr>
          <w:sz w:val="22"/>
          <w:szCs w:val="22"/>
          <w:lang w:val="sr-Latn-ME"/>
        </w:rPr>
        <w:t>Fenofibrat potencira dejstvo oralnih antikoagulanasa i može povećati rizik od krvarenja. Preporučuje se da se doze antikoagulansa smanje za jednu trećinu na početku terapije, a nakon toga postepeno prilagođavanje doze ukoliko je to potrebno u skladu sa vrijednostima internacionalnog normalizovanog odnosa (engl.</w:t>
      </w:r>
      <w:r w:rsidR="006845F6" w:rsidRPr="003F267F">
        <w:rPr>
          <w:sz w:val="22"/>
          <w:szCs w:val="22"/>
          <w:lang w:val="sr-Latn-ME"/>
        </w:rPr>
        <w:t xml:space="preserve"> </w:t>
      </w:r>
      <w:r w:rsidRPr="003F267F">
        <w:rPr>
          <w:i/>
          <w:iCs/>
          <w:sz w:val="22"/>
          <w:szCs w:val="22"/>
          <w:lang w:val="sr-Latn-ME"/>
        </w:rPr>
        <w:t>International Normalised Ratio</w:t>
      </w:r>
      <w:r w:rsidRPr="003F267F">
        <w:rPr>
          <w:sz w:val="22"/>
          <w:szCs w:val="22"/>
          <w:lang w:val="sr-Latn-ME"/>
        </w:rPr>
        <w:t>, INR).</w:t>
      </w:r>
    </w:p>
    <w:p w14:paraId="05EB778B" w14:textId="1EEBD1A0" w:rsidR="002E4DA1" w:rsidRPr="003F267F" w:rsidRDefault="002E4DA1">
      <w:pPr>
        <w:pStyle w:val="Header"/>
        <w:jc w:val="both"/>
        <w:rPr>
          <w:sz w:val="22"/>
          <w:szCs w:val="22"/>
          <w:u w:val="single"/>
          <w:lang w:val="sr-Latn-ME"/>
        </w:rPr>
      </w:pPr>
    </w:p>
    <w:p w14:paraId="3555B2F0" w14:textId="77777777" w:rsidR="002E4DA1" w:rsidRPr="003F267F" w:rsidRDefault="002E4DA1">
      <w:pPr>
        <w:pStyle w:val="Header"/>
        <w:jc w:val="both"/>
        <w:rPr>
          <w:b/>
          <w:bCs/>
          <w:sz w:val="22"/>
          <w:szCs w:val="22"/>
          <w:lang w:val="sr-Latn-ME"/>
        </w:rPr>
      </w:pPr>
      <w:r w:rsidRPr="003F267F">
        <w:rPr>
          <w:bCs/>
          <w:i/>
          <w:sz w:val="22"/>
          <w:szCs w:val="22"/>
          <w:u w:val="single"/>
          <w:lang w:val="sr-Latn-ME"/>
        </w:rPr>
        <w:t>Cik</w:t>
      </w:r>
      <w:bookmarkStart w:id="0" w:name="OLE_LINK3"/>
      <w:bookmarkStart w:id="1" w:name="OLE_LINK4"/>
      <w:r w:rsidRPr="003F267F">
        <w:rPr>
          <w:bCs/>
          <w:i/>
          <w:sz w:val="22"/>
          <w:szCs w:val="22"/>
          <w:u w:val="single"/>
          <w:lang w:val="sr-Latn-ME"/>
        </w:rPr>
        <w:t>losporin</w:t>
      </w:r>
      <w:r w:rsidRPr="003F267F">
        <w:rPr>
          <w:bCs/>
          <w:i/>
          <w:sz w:val="22"/>
          <w:szCs w:val="22"/>
          <w:lang w:val="sr-Latn-ME"/>
        </w:rPr>
        <w:t>:</w:t>
      </w:r>
      <w:r w:rsidRPr="003F267F">
        <w:rPr>
          <w:b/>
          <w:bCs/>
          <w:sz w:val="22"/>
          <w:szCs w:val="22"/>
          <w:lang w:val="sr-Latn-ME"/>
        </w:rPr>
        <w:t xml:space="preserve"> </w:t>
      </w:r>
    </w:p>
    <w:p w14:paraId="33BE77CE" w14:textId="407E8845" w:rsidR="002E4DA1" w:rsidRPr="003F267F" w:rsidRDefault="002E4DA1">
      <w:pPr>
        <w:pStyle w:val="Header"/>
        <w:jc w:val="both"/>
        <w:rPr>
          <w:b/>
          <w:bCs/>
          <w:sz w:val="22"/>
          <w:szCs w:val="22"/>
          <w:lang w:val="sr-Latn-ME"/>
        </w:rPr>
      </w:pPr>
      <w:r w:rsidRPr="003F267F">
        <w:rPr>
          <w:sz w:val="22"/>
          <w:szCs w:val="22"/>
          <w:lang w:val="sr-Latn-ME"/>
        </w:rPr>
        <w:t xml:space="preserve">Postoje izvještaji o nekoliko težih slučajeva reverzibilnog oštećenja bubrega tokom istovremene primjene fenofibrata i ciklosporina. </w:t>
      </w:r>
      <w:bookmarkEnd w:id="0"/>
      <w:bookmarkEnd w:id="1"/>
      <w:r w:rsidRPr="003F267F">
        <w:rPr>
          <w:sz w:val="22"/>
          <w:szCs w:val="22"/>
          <w:lang w:val="sr-Latn-ME"/>
        </w:rPr>
        <w:t>Zbog toga je neophodno pažljivo pratiti bubrežnu funkciju pacijenata na ovakvoj terapiji i prekinuti terapiju fenofibratom, ukoliko se laboratorijski parametri značajno promjene.</w:t>
      </w:r>
    </w:p>
    <w:p w14:paraId="2D06F2C7" w14:textId="77777777" w:rsidR="002E4DA1" w:rsidRPr="003F267F" w:rsidRDefault="002E4DA1">
      <w:pPr>
        <w:pStyle w:val="Header"/>
        <w:jc w:val="both"/>
        <w:rPr>
          <w:sz w:val="22"/>
          <w:szCs w:val="22"/>
          <w:lang w:val="sr-Latn-ME"/>
        </w:rPr>
      </w:pPr>
    </w:p>
    <w:p w14:paraId="7E9C8711" w14:textId="7406719F" w:rsidR="002E4DA1" w:rsidRPr="003F267F" w:rsidRDefault="002E4DA1">
      <w:pPr>
        <w:pStyle w:val="Header"/>
        <w:jc w:val="both"/>
        <w:rPr>
          <w:b/>
          <w:bCs/>
          <w:sz w:val="22"/>
          <w:szCs w:val="22"/>
          <w:u w:val="single"/>
          <w:lang w:val="sr-Latn-ME"/>
        </w:rPr>
      </w:pPr>
      <w:r w:rsidRPr="003F267F">
        <w:rPr>
          <w:bCs/>
          <w:i/>
          <w:sz w:val="22"/>
          <w:szCs w:val="22"/>
          <w:u w:val="single"/>
          <w:lang w:val="sr-Latn-ME"/>
        </w:rPr>
        <w:t>Inhibitori HMG-CoA reduktaze i drugi fibrati:</w:t>
      </w:r>
    </w:p>
    <w:p w14:paraId="55F6A204" w14:textId="638B6229" w:rsidR="002E4DA1" w:rsidRPr="003F267F" w:rsidRDefault="002E4DA1">
      <w:pPr>
        <w:pStyle w:val="Header"/>
        <w:jc w:val="both"/>
        <w:rPr>
          <w:b/>
          <w:bCs/>
          <w:sz w:val="22"/>
          <w:szCs w:val="22"/>
          <w:lang w:val="sr-Latn-ME"/>
        </w:rPr>
      </w:pPr>
      <w:r w:rsidRPr="003F267F">
        <w:rPr>
          <w:sz w:val="22"/>
          <w:szCs w:val="22"/>
          <w:lang w:val="sr-Latn-ME"/>
        </w:rPr>
        <w:t xml:space="preserve">Rizik od ozbiljne mišićne toksičnosti je povećan u slučaju istovremene terapije fenofibratom i inhibitorima HMG-CoA reduktaze ili drugim fibratima. Zbog toga je neophodno ovakvu terapiju </w:t>
      </w:r>
      <w:r w:rsidRPr="003F267F">
        <w:rPr>
          <w:sz w:val="22"/>
          <w:szCs w:val="22"/>
          <w:lang w:val="sr-Latn-ME"/>
        </w:rPr>
        <w:lastRenderedPageBreak/>
        <w:t>sprovoditi s oprezom i pažljivo pratiti stanje pacijenata radi otkrivanja eventualnih znakova mišićne toksičnosti (vidjeti odeljak 4.4).</w:t>
      </w:r>
    </w:p>
    <w:p w14:paraId="71B2639E" w14:textId="77777777" w:rsidR="002E4DA1" w:rsidRPr="003F267F" w:rsidRDefault="002E4DA1" w:rsidP="006845F6">
      <w:pPr>
        <w:jc w:val="both"/>
        <w:rPr>
          <w:szCs w:val="22"/>
          <w:u w:val="single"/>
          <w:lang w:val="sr-Latn-ME"/>
        </w:rPr>
      </w:pPr>
    </w:p>
    <w:p w14:paraId="63A4A161" w14:textId="77777777" w:rsidR="002E4DA1" w:rsidRPr="003F267F" w:rsidRDefault="002E4DA1">
      <w:pPr>
        <w:jc w:val="both"/>
        <w:rPr>
          <w:i/>
          <w:sz w:val="22"/>
          <w:szCs w:val="22"/>
          <w:u w:val="single"/>
          <w:lang w:val="sr-Latn-ME"/>
        </w:rPr>
      </w:pPr>
      <w:r w:rsidRPr="003F267F">
        <w:rPr>
          <w:i/>
          <w:sz w:val="22"/>
          <w:szCs w:val="22"/>
          <w:u w:val="single"/>
          <w:lang w:val="sr-Latn-ME"/>
        </w:rPr>
        <w:t xml:space="preserve">Glitazoni </w:t>
      </w:r>
    </w:p>
    <w:p w14:paraId="3DCFDF2E" w14:textId="7541B906" w:rsidR="002E4DA1" w:rsidRPr="003F267F" w:rsidRDefault="002E4DA1">
      <w:pPr>
        <w:jc w:val="both"/>
        <w:rPr>
          <w:szCs w:val="22"/>
          <w:lang w:val="sr-Latn-ME"/>
        </w:rPr>
      </w:pPr>
      <w:r w:rsidRPr="003F267F">
        <w:rPr>
          <w:sz w:val="22"/>
          <w:szCs w:val="22"/>
          <w:lang w:val="sr-Latn-ME"/>
        </w:rPr>
        <w:t>Nekoliko slučajeva reverzibilnog paradoksalnog sniženja vrijednosti HDL holesterola je prijavljeno prilikom istovremene primjene fenofibrata i glitazona. Zbog toga se preporučuje praćenje vrijednosti HDL holesterola ukoliko se jedan od ovih ljekova dodaje drugom, a ako je vrijednost HDL holesterola isuviše mala treba prekinuti terapiju sa jednim od ova dva lijeka</w:t>
      </w:r>
      <w:r w:rsidRPr="003F267F">
        <w:rPr>
          <w:lang w:val="sr-Latn-ME"/>
        </w:rPr>
        <w:t>.</w:t>
      </w:r>
    </w:p>
    <w:p w14:paraId="6AB1B27D" w14:textId="77777777" w:rsidR="002E4DA1" w:rsidRPr="003F267F" w:rsidRDefault="002E4DA1">
      <w:pPr>
        <w:tabs>
          <w:tab w:val="left" w:pos="540"/>
          <w:tab w:val="left" w:pos="569"/>
        </w:tabs>
        <w:jc w:val="both"/>
        <w:rPr>
          <w:bCs/>
          <w:sz w:val="22"/>
          <w:szCs w:val="22"/>
          <w:lang w:val="sr-Latn-ME"/>
        </w:rPr>
      </w:pPr>
    </w:p>
    <w:p w14:paraId="6B34798E" w14:textId="77777777" w:rsidR="002E4DA1" w:rsidRPr="003F267F" w:rsidRDefault="002E4DA1">
      <w:pPr>
        <w:jc w:val="both"/>
        <w:rPr>
          <w:i/>
          <w:sz w:val="22"/>
          <w:szCs w:val="22"/>
          <w:lang w:val="sr-Latn-ME"/>
        </w:rPr>
      </w:pPr>
      <w:r w:rsidRPr="003F267F">
        <w:rPr>
          <w:i/>
          <w:sz w:val="22"/>
          <w:szCs w:val="22"/>
          <w:u w:val="single"/>
          <w:lang w:val="sr-Latn-ME"/>
        </w:rPr>
        <w:t>Enzimi citohroma P450:</w:t>
      </w:r>
    </w:p>
    <w:p w14:paraId="57283299" w14:textId="77777777" w:rsidR="002E4DA1" w:rsidRPr="003F267F" w:rsidRDefault="002E4DA1">
      <w:pPr>
        <w:jc w:val="both"/>
        <w:rPr>
          <w:sz w:val="22"/>
          <w:szCs w:val="22"/>
          <w:lang w:val="sr-Latn-ME"/>
        </w:rPr>
      </w:pPr>
      <w:r w:rsidRPr="003F267F">
        <w:rPr>
          <w:i/>
          <w:sz w:val="22"/>
          <w:szCs w:val="22"/>
          <w:lang w:val="sr-Latn-ME"/>
        </w:rPr>
        <w:t xml:space="preserve">In vitro </w:t>
      </w:r>
      <w:r w:rsidRPr="003F267F">
        <w:rPr>
          <w:sz w:val="22"/>
          <w:szCs w:val="22"/>
          <w:lang w:val="sr-Latn-ME"/>
        </w:rPr>
        <w:t>studije na mikrozomima iz ljudske jetre ukazuju da fenofibrat i fenofibrinska kisjelina nisu inhibitori izoformi citohroma (CYP) P450: CYP3A4, CYP2D6, CYP2E1 ili CYP1A2. Oni su slabi inhibitori CYP2C19 i CYP2A6 i slabi do umjereni inhibitori CYP2C9 pri terapijskim koncentracijama.</w:t>
      </w:r>
    </w:p>
    <w:p w14:paraId="3C29F4B8" w14:textId="77777777" w:rsidR="002E4DA1" w:rsidRPr="003F267F" w:rsidRDefault="002E4DA1">
      <w:pPr>
        <w:jc w:val="both"/>
        <w:rPr>
          <w:sz w:val="22"/>
          <w:szCs w:val="22"/>
          <w:lang w:val="sr-Latn-ME"/>
        </w:rPr>
      </w:pPr>
    </w:p>
    <w:p w14:paraId="309E0838" w14:textId="77777777" w:rsidR="002E4DA1" w:rsidRPr="003F267F" w:rsidRDefault="002E4DA1">
      <w:pPr>
        <w:jc w:val="both"/>
        <w:rPr>
          <w:sz w:val="22"/>
          <w:szCs w:val="22"/>
          <w:lang w:val="sr-Latn-ME"/>
        </w:rPr>
      </w:pPr>
      <w:r w:rsidRPr="003F267F">
        <w:rPr>
          <w:sz w:val="22"/>
          <w:szCs w:val="22"/>
          <w:lang w:val="sr-Latn-ME"/>
        </w:rPr>
        <w:t>Pacijente koji istovremeno primjenjuju fenofibrat i ljekove sa uskim terapijskim indeksom koji se metabolišu putem CYP2C19, CYP2A6 i naročito putem CYP2C9 treba pažljivo pratiti, i ukoliko je potrebno preporučuje se prilagođavanje doze ovih ljekova.</w:t>
      </w:r>
    </w:p>
    <w:p w14:paraId="0EFA6832" w14:textId="77777777" w:rsidR="002E4DA1" w:rsidRPr="003F267F" w:rsidRDefault="002E4DA1" w:rsidP="006845F6">
      <w:pPr>
        <w:tabs>
          <w:tab w:val="left" w:pos="540"/>
          <w:tab w:val="left" w:pos="569"/>
        </w:tabs>
        <w:jc w:val="both"/>
        <w:rPr>
          <w:bCs/>
          <w:sz w:val="22"/>
          <w:szCs w:val="22"/>
          <w:lang w:val="sr-Latn-ME"/>
        </w:rPr>
      </w:pPr>
    </w:p>
    <w:p w14:paraId="25F1ED83" w14:textId="77777777" w:rsidR="0072020E" w:rsidRPr="003F267F" w:rsidRDefault="0072020E" w:rsidP="006845F6">
      <w:pPr>
        <w:tabs>
          <w:tab w:val="left" w:pos="540"/>
          <w:tab w:val="left" w:pos="569"/>
        </w:tabs>
        <w:jc w:val="both"/>
        <w:rPr>
          <w:b/>
          <w:sz w:val="22"/>
          <w:szCs w:val="22"/>
          <w:lang w:val="sr-Latn-ME"/>
        </w:rPr>
      </w:pPr>
      <w:r w:rsidRPr="003F267F">
        <w:rPr>
          <w:b/>
          <w:bCs/>
          <w:sz w:val="22"/>
          <w:szCs w:val="22"/>
          <w:lang w:val="sr-Latn-ME"/>
        </w:rPr>
        <w:t xml:space="preserve">4.6. </w:t>
      </w:r>
      <w:r w:rsidR="00480FB1" w:rsidRPr="003F267F">
        <w:rPr>
          <w:b/>
          <w:bCs/>
          <w:sz w:val="22"/>
          <w:szCs w:val="22"/>
          <w:lang w:val="sr-Latn-ME"/>
        </w:rPr>
        <w:tab/>
      </w:r>
      <w:r w:rsidR="006D20A5" w:rsidRPr="003F267F">
        <w:rPr>
          <w:b/>
          <w:sz w:val="22"/>
          <w:szCs w:val="22"/>
          <w:lang w:val="sr-Latn-ME"/>
        </w:rPr>
        <w:t>Plodnost, trudnoća i dojenje</w:t>
      </w:r>
    </w:p>
    <w:p w14:paraId="25F1ED84" w14:textId="77777777" w:rsidR="002031B3" w:rsidRPr="003F267F" w:rsidRDefault="002031B3" w:rsidP="006845F6">
      <w:pPr>
        <w:tabs>
          <w:tab w:val="left" w:pos="540"/>
          <w:tab w:val="left" w:pos="569"/>
        </w:tabs>
        <w:jc w:val="both"/>
        <w:rPr>
          <w:sz w:val="22"/>
          <w:szCs w:val="22"/>
          <w:u w:val="single"/>
          <w:lang w:val="sr-Latn-ME"/>
        </w:rPr>
      </w:pPr>
    </w:p>
    <w:p w14:paraId="25F1ED85" w14:textId="77777777" w:rsidR="002031B3" w:rsidRPr="003F267F" w:rsidRDefault="002031B3" w:rsidP="006845F6">
      <w:pPr>
        <w:tabs>
          <w:tab w:val="left" w:pos="540"/>
          <w:tab w:val="left" w:pos="569"/>
        </w:tabs>
        <w:jc w:val="both"/>
        <w:rPr>
          <w:sz w:val="22"/>
          <w:szCs w:val="22"/>
          <w:u w:val="single"/>
          <w:lang w:val="sr-Latn-ME"/>
        </w:rPr>
      </w:pPr>
      <w:r w:rsidRPr="003F267F">
        <w:rPr>
          <w:sz w:val="22"/>
          <w:szCs w:val="22"/>
          <w:u w:val="single"/>
          <w:lang w:val="sr-Latn-ME"/>
        </w:rPr>
        <w:t>Plodnost</w:t>
      </w:r>
    </w:p>
    <w:p w14:paraId="1DCCC446" w14:textId="77777777" w:rsidR="002C22B2" w:rsidRPr="003F267F" w:rsidRDefault="002C22B2">
      <w:pPr>
        <w:tabs>
          <w:tab w:val="center" w:pos="4536"/>
          <w:tab w:val="right" w:pos="9072"/>
        </w:tabs>
        <w:jc w:val="both"/>
        <w:rPr>
          <w:sz w:val="22"/>
          <w:szCs w:val="22"/>
          <w:lang w:val="sr-Latn-ME"/>
        </w:rPr>
      </w:pPr>
      <w:r w:rsidRPr="003F267F">
        <w:rPr>
          <w:sz w:val="22"/>
          <w:szCs w:val="22"/>
          <w:lang w:val="sr-Latn-ME"/>
        </w:rPr>
        <w:t>Kod životinja su primijećena reverzibilna dejstva na plodnost (vidjeti odjeljak 5.3). Nema kliničkih podataka o uticaju na plodnost pri upotrebi fenofibrata.</w:t>
      </w:r>
    </w:p>
    <w:p w14:paraId="25F1ED86" w14:textId="77777777" w:rsidR="002031B3" w:rsidRPr="003F267F" w:rsidRDefault="002031B3" w:rsidP="006845F6">
      <w:pPr>
        <w:tabs>
          <w:tab w:val="left" w:pos="540"/>
          <w:tab w:val="left" w:pos="569"/>
        </w:tabs>
        <w:jc w:val="both"/>
        <w:rPr>
          <w:sz w:val="22"/>
          <w:szCs w:val="22"/>
          <w:u w:val="single"/>
          <w:lang w:val="sr-Latn-ME"/>
        </w:rPr>
      </w:pPr>
    </w:p>
    <w:p w14:paraId="25F1ED87" w14:textId="77777777" w:rsidR="007A3ECB" w:rsidRPr="003F267F" w:rsidRDefault="007A3ECB" w:rsidP="006845F6">
      <w:pPr>
        <w:tabs>
          <w:tab w:val="left" w:pos="540"/>
          <w:tab w:val="left" w:pos="569"/>
        </w:tabs>
        <w:jc w:val="both"/>
        <w:rPr>
          <w:sz w:val="22"/>
          <w:szCs w:val="22"/>
          <w:u w:val="single"/>
          <w:lang w:val="sr-Latn-ME"/>
        </w:rPr>
      </w:pPr>
      <w:r w:rsidRPr="003F267F">
        <w:rPr>
          <w:sz w:val="22"/>
          <w:szCs w:val="22"/>
          <w:u w:val="single"/>
          <w:lang w:val="sr-Latn-ME"/>
        </w:rPr>
        <w:t>Trudnoća</w:t>
      </w:r>
    </w:p>
    <w:p w14:paraId="1465120B" w14:textId="77777777" w:rsidR="00715C49" w:rsidRPr="003F267F" w:rsidRDefault="00715C49">
      <w:pPr>
        <w:pStyle w:val="Header"/>
        <w:jc w:val="both"/>
        <w:rPr>
          <w:sz w:val="22"/>
          <w:szCs w:val="22"/>
          <w:lang w:val="sr-Latn-ME"/>
        </w:rPr>
      </w:pPr>
      <w:r w:rsidRPr="003F267F">
        <w:rPr>
          <w:sz w:val="22"/>
          <w:szCs w:val="22"/>
          <w:lang w:val="sr-Latn-ME"/>
        </w:rPr>
        <w:t xml:space="preserve">Nema adekvatnih podataka o upotrebi fenofibrata kod žena u periodu trudnoće. </w:t>
      </w:r>
    </w:p>
    <w:p w14:paraId="0471DF34" w14:textId="3FC4D33E" w:rsidR="00715C49" w:rsidRPr="003F267F" w:rsidRDefault="00715C49">
      <w:pPr>
        <w:pStyle w:val="Header"/>
        <w:jc w:val="both"/>
        <w:rPr>
          <w:sz w:val="22"/>
          <w:szCs w:val="22"/>
          <w:lang w:val="sr-Latn-ME"/>
        </w:rPr>
      </w:pPr>
      <w:r w:rsidRPr="003F267F">
        <w:rPr>
          <w:sz w:val="22"/>
          <w:szCs w:val="22"/>
          <w:lang w:val="sr-Latn-ME"/>
        </w:rPr>
        <w:t>Ispitivanja na životinjama nijesu pokazala teratogena dejstva. Embriotoksična dejstva su uočen</w:t>
      </w:r>
      <w:r w:rsidR="006845F6" w:rsidRPr="003F267F">
        <w:rPr>
          <w:sz w:val="22"/>
          <w:szCs w:val="22"/>
          <w:lang w:val="sr-Latn-ME"/>
        </w:rPr>
        <w:t>a</w:t>
      </w:r>
      <w:r w:rsidRPr="003F267F">
        <w:rPr>
          <w:sz w:val="22"/>
          <w:szCs w:val="22"/>
          <w:lang w:val="sr-Latn-ME"/>
        </w:rPr>
        <w:t xml:space="preserve"> pri dozama koje su toksične za majku (vidjeti odeljak 5.3). Nije poznat potencijalni rizik prilikom upotrebe kod ljudi. Stoga, lijek </w:t>
      </w:r>
      <w:r w:rsidRPr="003F267F">
        <w:rPr>
          <w:bCs/>
          <w:sz w:val="22"/>
          <w:szCs w:val="22"/>
          <w:lang w:val="sr-Latn-ME"/>
        </w:rPr>
        <w:t>Fenolip</w:t>
      </w:r>
      <w:r w:rsidRPr="003F267F">
        <w:rPr>
          <w:sz w:val="22"/>
          <w:szCs w:val="22"/>
          <w:lang w:val="sr-Latn-ME"/>
        </w:rPr>
        <w:t xml:space="preserve"> tokom trudnoće treba koristiti tek nakon pažljive procjene odnosa koristi i rizika.</w:t>
      </w:r>
    </w:p>
    <w:p w14:paraId="25F1ED88" w14:textId="77777777" w:rsidR="002031B3" w:rsidRPr="003F267F" w:rsidRDefault="002031B3" w:rsidP="006845F6">
      <w:pPr>
        <w:tabs>
          <w:tab w:val="left" w:pos="540"/>
          <w:tab w:val="left" w:pos="569"/>
        </w:tabs>
        <w:jc w:val="both"/>
        <w:rPr>
          <w:sz w:val="22"/>
          <w:szCs w:val="22"/>
          <w:u w:val="single"/>
          <w:lang w:val="sr-Latn-ME"/>
        </w:rPr>
      </w:pPr>
    </w:p>
    <w:p w14:paraId="25F1ED89" w14:textId="77777777" w:rsidR="0072020E" w:rsidRPr="003F267F" w:rsidRDefault="007A3ECB" w:rsidP="006845F6">
      <w:pPr>
        <w:tabs>
          <w:tab w:val="left" w:pos="540"/>
          <w:tab w:val="left" w:pos="569"/>
        </w:tabs>
        <w:jc w:val="both"/>
        <w:rPr>
          <w:b/>
          <w:bCs/>
          <w:sz w:val="22"/>
          <w:szCs w:val="22"/>
          <w:lang w:val="sr-Latn-ME"/>
        </w:rPr>
      </w:pPr>
      <w:r w:rsidRPr="003F267F">
        <w:rPr>
          <w:sz w:val="22"/>
          <w:szCs w:val="22"/>
          <w:u w:val="single"/>
          <w:lang w:val="sr-Latn-ME"/>
        </w:rPr>
        <w:t xml:space="preserve">Dojenje </w:t>
      </w:r>
    </w:p>
    <w:p w14:paraId="2ADE9D37" w14:textId="7DB90F60" w:rsidR="00FC51B1" w:rsidRPr="003F267F" w:rsidRDefault="00FC51B1">
      <w:pPr>
        <w:pStyle w:val="Header"/>
        <w:jc w:val="both"/>
        <w:rPr>
          <w:sz w:val="22"/>
          <w:szCs w:val="22"/>
          <w:lang w:val="sr-Latn-ME"/>
        </w:rPr>
      </w:pPr>
      <w:r w:rsidRPr="003F267F">
        <w:rPr>
          <w:sz w:val="22"/>
          <w:szCs w:val="22"/>
          <w:lang w:val="sr-Latn-ME"/>
        </w:rPr>
        <w:t>Nije poznato da li se fenofibrat i/ili njegovi metaboliti izlučuju u majčino mlijeko. Ne može se isključiti rizik po novorođenče/odojče.</w:t>
      </w:r>
    </w:p>
    <w:p w14:paraId="39420984" w14:textId="7D6D32E7" w:rsidR="00FC51B1" w:rsidRPr="003F267F" w:rsidRDefault="00FC51B1">
      <w:pPr>
        <w:pStyle w:val="Header"/>
        <w:tabs>
          <w:tab w:val="left" w:pos="284"/>
        </w:tabs>
        <w:jc w:val="both"/>
        <w:rPr>
          <w:sz w:val="22"/>
          <w:szCs w:val="22"/>
          <w:lang w:val="sr-Latn-ME"/>
        </w:rPr>
      </w:pPr>
      <w:r w:rsidRPr="003F267F">
        <w:rPr>
          <w:sz w:val="22"/>
          <w:szCs w:val="22"/>
          <w:lang w:val="sr-Latn-ME"/>
        </w:rPr>
        <w:t xml:space="preserve">Stoga, lijek </w:t>
      </w:r>
      <w:r w:rsidRPr="003F267F">
        <w:rPr>
          <w:bCs/>
          <w:sz w:val="22"/>
          <w:szCs w:val="22"/>
          <w:lang w:val="sr-Latn-ME"/>
        </w:rPr>
        <w:t>Fenolip</w:t>
      </w:r>
      <w:r w:rsidR="00E50E44" w:rsidRPr="003F267F">
        <w:rPr>
          <w:bCs/>
          <w:sz w:val="22"/>
          <w:szCs w:val="22"/>
          <w:lang w:val="sr-Latn-ME"/>
        </w:rPr>
        <w:t xml:space="preserve"> </w:t>
      </w:r>
      <w:r w:rsidRPr="003F267F">
        <w:rPr>
          <w:sz w:val="22"/>
          <w:szCs w:val="22"/>
          <w:lang w:val="sr-Latn-ME"/>
        </w:rPr>
        <w:t>ne treba koristiti tokom perioda dojenja.</w:t>
      </w:r>
    </w:p>
    <w:p w14:paraId="25F1ED8A" w14:textId="77777777" w:rsidR="00227BDB" w:rsidRPr="003F267F" w:rsidRDefault="00227BDB" w:rsidP="006845F6">
      <w:pPr>
        <w:tabs>
          <w:tab w:val="left" w:pos="540"/>
          <w:tab w:val="left" w:pos="569"/>
        </w:tabs>
        <w:ind w:left="540" w:hanging="540"/>
        <w:jc w:val="both"/>
        <w:rPr>
          <w:b/>
          <w:bCs/>
          <w:sz w:val="22"/>
          <w:szCs w:val="22"/>
          <w:lang w:val="sr-Latn-ME"/>
        </w:rPr>
      </w:pPr>
    </w:p>
    <w:p w14:paraId="25F1ED8B" w14:textId="77777777" w:rsidR="0072020E" w:rsidRPr="003F267F" w:rsidRDefault="0072020E" w:rsidP="006845F6">
      <w:pPr>
        <w:tabs>
          <w:tab w:val="left" w:pos="540"/>
          <w:tab w:val="left" w:pos="569"/>
        </w:tabs>
        <w:ind w:left="540" w:hanging="540"/>
        <w:jc w:val="both"/>
        <w:rPr>
          <w:b/>
          <w:bCs/>
          <w:sz w:val="22"/>
          <w:szCs w:val="22"/>
          <w:lang w:val="sr-Latn-ME"/>
        </w:rPr>
      </w:pPr>
      <w:r w:rsidRPr="003F267F">
        <w:rPr>
          <w:b/>
          <w:bCs/>
          <w:sz w:val="22"/>
          <w:szCs w:val="22"/>
          <w:lang w:val="sr-Latn-ME"/>
        </w:rPr>
        <w:t xml:space="preserve">4.7. </w:t>
      </w:r>
      <w:r w:rsidR="00480FB1" w:rsidRPr="003F267F">
        <w:rPr>
          <w:b/>
          <w:bCs/>
          <w:sz w:val="22"/>
          <w:szCs w:val="22"/>
          <w:lang w:val="sr-Latn-ME"/>
        </w:rPr>
        <w:tab/>
      </w:r>
      <w:r w:rsidRPr="003F267F">
        <w:rPr>
          <w:b/>
          <w:bCs/>
          <w:sz w:val="22"/>
          <w:szCs w:val="22"/>
          <w:lang w:val="sr-Latn-ME"/>
        </w:rPr>
        <w:t xml:space="preserve">Uticaj na </w:t>
      </w:r>
      <w:r w:rsidR="002031B3" w:rsidRPr="003F267F">
        <w:rPr>
          <w:b/>
          <w:bCs/>
          <w:sz w:val="22"/>
          <w:szCs w:val="22"/>
          <w:lang w:val="sr-Latn-ME"/>
        </w:rPr>
        <w:t xml:space="preserve">sposobnost </w:t>
      </w:r>
      <w:r w:rsidR="00F34554" w:rsidRPr="003F267F">
        <w:rPr>
          <w:b/>
          <w:bCs/>
          <w:sz w:val="22"/>
          <w:szCs w:val="22"/>
          <w:lang w:val="sr-Latn-ME"/>
        </w:rPr>
        <w:t>upravljanja vozili</w:t>
      </w:r>
      <w:r w:rsidRPr="003F267F">
        <w:rPr>
          <w:b/>
          <w:bCs/>
          <w:sz w:val="22"/>
          <w:szCs w:val="22"/>
          <w:lang w:val="sr-Latn-ME"/>
        </w:rPr>
        <w:t>m</w:t>
      </w:r>
      <w:r w:rsidR="00F34554" w:rsidRPr="003F267F">
        <w:rPr>
          <w:b/>
          <w:bCs/>
          <w:sz w:val="22"/>
          <w:szCs w:val="22"/>
          <w:lang w:val="sr-Latn-ME"/>
        </w:rPr>
        <w:t>a</w:t>
      </w:r>
      <w:r w:rsidRPr="003F267F">
        <w:rPr>
          <w:b/>
          <w:bCs/>
          <w:sz w:val="22"/>
          <w:szCs w:val="22"/>
          <w:lang w:val="sr-Latn-ME"/>
        </w:rPr>
        <w:t xml:space="preserve"> i </w:t>
      </w:r>
      <w:r w:rsidR="000D3449" w:rsidRPr="003F267F">
        <w:rPr>
          <w:b/>
          <w:bCs/>
          <w:sz w:val="22"/>
          <w:szCs w:val="22"/>
          <w:lang w:val="sr-Latn-ME"/>
        </w:rPr>
        <w:t xml:space="preserve">rukovanje </w:t>
      </w:r>
      <w:r w:rsidRPr="003F267F">
        <w:rPr>
          <w:b/>
          <w:bCs/>
          <w:sz w:val="22"/>
          <w:szCs w:val="22"/>
          <w:lang w:val="sr-Latn-ME"/>
        </w:rPr>
        <w:t>mašinama</w:t>
      </w:r>
    </w:p>
    <w:p w14:paraId="25F1ED8C" w14:textId="13649A04" w:rsidR="0072020E" w:rsidRPr="003F267F" w:rsidRDefault="0072020E" w:rsidP="006845F6">
      <w:pPr>
        <w:tabs>
          <w:tab w:val="left" w:pos="540"/>
          <w:tab w:val="left" w:pos="569"/>
        </w:tabs>
        <w:jc w:val="both"/>
        <w:rPr>
          <w:b/>
          <w:bCs/>
          <w:sz w:val="22"/>
          <w:szCs w:val="22"/>
          <w:lang w:val="sr-Latn-ME"/>
        </w:rPr>
      </w:pPr>
    </w:p>
    <w:p w14:paraId="4DDC638E" w14:textId="38F1F7E3" w:rsidR="00BF0D9B" w:rsidRPr="003F267F" w:rsidRDefault="00BF0D9B">
      <w:pPr>
        <w:pStyle w:val="Header"/>
        <w:jc w:val="both"/>
        <w:rPr>
          <w:sz w:val="22"/>
          <w:szCs w:val="22"/>
          <w:lang w:val="sr-Latn-ME"/>
        </w:rPr>
      </w:pPr>
      <w:r w:rsidRPr="003F267F">
        <w:rPr>
          <w:sz w:val="22"/>
          <w:szCs w:val="22"/>
          <w:lang w:val="sr-Latn-ME"/>
        </w:rPr>
        <w:t>Lijek Fenolip nema ili ima zanemarljiv uticaj na sposobnost upravljanja vozilima i rukovanja mašinama.</w:t>
      </w:r>
    </w:p>
    <w:p w14:paraId="15753E1C" w14:textId="77777777" w:rsidR="00BF0D9B" w:rsidRPr="003F267F" w:rsidRDefault="00BF0D9B" w:rsidP="006845F6">
      <w:pPr>
        <w:tabs>
          <w:tab w:val="left" w:pos="540"/>
          <w:tab w:val="left" w:pos="569"/>
        </w:tabs>
        <w:jc w:val="both"/>
        <w:rPr>
          <w:b/>
          <w:bCs/>
          <w:sz w:val="22"/>
          <w:szCs w:val="22"/>
          <w:lang w:val="sr-Latn-ME"/>
        </w:rPr>
      </w:pPr>
    </w:p>
    <w:p w14:paraId="25F1ED8D" w14:textId="77777777" w:rsidR="0072020E" w:rsidRPr="003F267F" w:rsidRDefault="0072020E" w:rsidP="006845F6">
      <w:pPr>
        <w:tabs>
          <w:tab w:val="left" w:pos="540"/>
          <w:tab w:val="left" w:pos="569"/>
        </w:tabs>
        <w:jc w:val="both"/>
        <w:rPr>
          <w:b/>
          <w:bCs/>
          <w:sz w:val="22"/>
          <w:szCs w:val="22"/>
          <w:lang w:val="sr-Latn-ME"/>
        </w:rPr>
      </w:pPr>
      <w:r w:rsidRPr="003F267F">
        <w:rPr>
          <w:b/>
          <w:bCs/>
          <w:sz w:val="22"/>
          <w:szCs w:val="22"/>
          <w:lang w:val="sr-Latn-ME"/>
        </w:rPr>
        <w:t xml:space="preserve">4.8. </w:t>
      </w:r>
      <w:r w:rsidR="00480FB1" w:rsidRPr="003F267F">
        <w:rPr>
          <w:b/>
          <w:bCs/>
          <w:sz w:val="22"/>
          <w:szCs w:val="22"/>
          <w:lang w:val="sr-Latn-ME"/>
        </w:rPr>
        <w:tab/>
      </w:r>
      <w:r w:rsidRPr="003F267F">
        <w:rPr>
          <w:b/>
          <w:bCs/>
          <w:sz w:val="22"/>
          <w:szCs w:val="22"/>
          <w:lang w:val="sr-Latn-ME"/>
        </w:rPr>
        <w:t>Neželjena dejstva</w:t>
      </w:r>
    </w:p>
    <w:p w14:paraId="66B3F5B8" w14:textId="77777777" w:rsidR="007B67FA" w:rsidRPr="003F267F" w:rsidRDefault="007B67FA">
      <w:pPr>
        <w:jc w:val="both"/>
        <w:rPr>
          <w:noProof/>
          <w:sz w:val="22"/>
          <w:szCs w:val="22"/>
          <w:lang w:val="sr-Latn-ME"/>
        </w:rPr>
      </w:pPr>
    </w:p>
    <w:p w14:paraId="24D10703" w14:textId="5B08410A" w:rsidR="007B67FA" w:rsidRPr="003F267F" w:rsidRDefault="007B67FA">
      <w:pPr>
        <w:jc w:val="both"/>
        <w:rPr>
          <w:noProof/>
          <w:sz w:val="22"/>
          <w:szCs w:val="22"/>
          <w:lang w:val="sr-Latn-ME"/>
        </w:rPr>
      </w:pPr>
      <w:r w:rsidRPr="003F267F">
        <w:rPr>
          <w:noProof/>
          <w:sz w:val="22"/>
          <w:szCs w:val="22"/>
          <w:lang w:val="sr-Latn-ME"/>
        </w:rPr>
        <w:t>Najčešće prijavljene neželjene reakcije u toku primjene fenofibrata su digestivni, gastrointestinalni poremećaji. Sljedeća neželjena dejstva su primijećena tokom kontrolisanih kliničkih ispitivanja sa placebom (n=2344) i postmarketinškog praćenja</w:t>
      </w:r>
      <w:r w:rsidRPr="003F267F">
        <w:rPr>
          <w:noProof/>
          <w:sz w:val="22"/>
          <w:szCs w:val="22"/>
          <w:vertAlign w:val="superscript"/>
          <w:lang w:val="sr-Latn-ME"/>
        </w:rPr>
        <w:t>a</w:t>
      </w:r>
      <w:r w:rsidRPr="003F267F">
        <w:rPr>
          <w:noProof/>
          <w:sz w:val="22"/>
          <w:szCs w:val="22"/>
          <w:lang w:val="sr-Latn-ME"/>
        </w:rPr>
        <w:t xml:space="preserve"> sa učestalošću navedenom u nastavku:</w:t>
      </w:r>
    </w:p>
    <w:p w14:paraId="59718FD5" w14:textId="77777777" w:rsidR="007B67FA" w:rsidRPr="003F267F" w:rsidRDefault="007B67FA">
      <w:pPr>
        <w:jc w:val="both"/>
        <w:rPr>
          <w:sz w:val="22"/>
          <w:szCs w:val="22"/>
          <w:lang w:val="sr-Latn-ME"/>
        </w:rPr>
      </w:pPr>
    </w:p>
    <w:tbl>
      <w:tblPr>
        <w:tblW w:w="9064" w:type="dxa"/>
        <w:tblBorders>
          <w:top w:val="outset" w:sz="6" w:space="0" w:color="D9D9D9"/>
          <w:left w:val="outset" w:sz="6" w:space="0" w:color="D9D9D9"/>
          <w:bottom w:val="outset" w:sz="6" w:space="0" w:color="D9D9D9"/>
          <w:right w:val="outset" w:sz="6" w:space="0" w:color="D9D9D9"/>
        </w:tblBorders>
        <w:tblLayout w:type="fixed"/>
        <w:tblCellMar>
          <w:top w:w="30" w:type="dxa"/>
          <w:left w:w="30" w:type="dxa"/>
          <w:bottom w:w="30" w:type="dxa"/>
          <w:right w:w="30" w:type="dxa"/>
        </w:tblCellMar>
        <w:tblLook w:val="04A0" w:firstRow="1" w:lastRow="0" w:firstColumn="1" w:lastColumn="0" w:noHBand="0" w:noVBand="1"/>
      </w:tblPr>
      <w:tblGrid>
        <w:gridCol w:w="1411"/>
        <w:gridCol w:w="1557"/>
        <w:gridCol w:w="1702"/>
        <w:gridCol w:w="1276"/>
        <w:gridCol w:w="1418"/>
        <w:gridCol w:w="1700"/>
      </w:tblGrid>
      <w:tr w:rsidR="009035E2" w:rsidRPr="003F267F" w14:paraId="4493FB16" w14:textId="77777777" w:rsidTr="006845F6">
        <w:trPr>
          <w:trHeight w:val="1158"/>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4A7CBA0" w14:textId="77777777" w:rsidR="007B67FA" w:rsidRPr="003F267F" w:rsidRDefault="007B67FA" w:rsidP="006845F6">
            <w:pPr>
              <w:jc w:val="center"/>
              <w:rPr>
                <w:sz w:val="20"/>
                <w:szCs w:val="20"/>
                <w:lang w:val="sr-Latn-ME"/>
              </w:rPr>
            </w:pPr>
            <w:r w:rsidRPr="003F267F">
              <w:rPr>
                <w:b/>
                <w:bCs/>
                <w:sz w:val="20"/>
                <w:szCs w:val="20"/>
                <w:lang w:val="sr-Latn-ME"/>
              </w:rPr>
              <w:t>MedDRA klasa sistema organa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43BA385" w14:textId="77777777" w:rsidR="007B67FA" w:rsidRPr="003F267F" w:rsidRDefault="007B67FA" w:rsidP="006845F6">
            <w:pPr>
              <w:jc w:val="center"/>
              <w:rPr>
                <w:b/>
                <w:bCs/>
                <w:sz w:val="20"/>
                <w:szCs w:val="20"/>
                <w:lang w:val="sr-Latn-ME"/>
              </w:rPr>
            </w:pPr>
            <w:r w:rsidRPr="003F267F">
              <w:rPr>
                <w:b/>
                <w:bCs/>
                <w:sz w:val="20"/>
                <w:szCs w:val="20"/>
                <w:lang w:val="sr-Latn-ME"/>
              </w:rPr>
              <w:t>Često</w:t>
            </w:r>
          </w:p>
          <w:p w14:paraId="5EFD22D2" w14:textId="77777777" w:rsidR="007B67FA" w:rsidRPr="003F267F" w:rsidRDefault="007B67FA" w:rsidP="006845F6">
            <w:pPr>
              <w:jc w:val="center"/>
              <w:rPr>
                <w:sz w:val="20"/>
                <w:szCs w:val="20"/>
                <w:lang w:val="sr-Latn-ME"/>
              </w:rPr>
            </w:pPr>
            <w:r w:rsidRPr="003F267F">
              <w:rPr>
                <w:b/>
                <w:bCs/>
                <w:sz w:val="20"/>
                <w:szCs w:val="20"/>
                <w:lang w:val="sr-Latn-ME"/>
              </w:rPr>
              <w:t>≥1/100, &lt;1/10</w:t>
            </w: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02DB5A5" w14:textId="77777777" w:rsidR="007B67FA" w:rsidRPr="003F267F" w:rsidRDefault="007B67FA" w:rsidP="006845F6">
            <w:pPr>
              <w:jc w:val="center"/>
              <w:rPr>
                <w:b/>
                <w:bCs/>
                <w:sz w:val="20"/>
                <w:szCs w:val="20"/>
                <w:lang w:val="sr-Latn-ME"/>
              </w:rPr>
            </w:pPr>
            <w:r w:rsidRPr="003F267F">
              <w:rPr>
                <w:b/>
                <w:bCs/>
                <w:sz w:val="20"/>
                <w:szCs w:val="20"/>
                <w:lang w:val="sr-Latn-ME"/>
              </w:rPr>
              <w:t>Povremeno</w:t>
            </w:r>
          </w:p>
          <w:p w14:paraId="649E4F3C" w14:textId="77777777" w:rsidR="007B67FA" w:rsidRPr="003F267F" w:rsidRDefault="007B67FA" w:rsidP="006845F6">
            <w:pPr>
              <w:jc w:val="center"/>
              <w:rPr>
                <w:sz w:val="20"/>
                <w:szCs w:val="20"/>
                <w:lang w:val="sr-Latn-ME"/>
              </w:rPr>
            </w:pPr>
            <w:r w:rsidRPr="003F267F">
              <w:rPr>
                <w:b/>
                <w:bCs/>
                <w:sz w:val="20"/>
                <w:szCs w:val="20"/>
                <w:lang w:val="sr-Latn-ME"/>
              </w:rPr>
              <w:t>≥1/1000, &lt;1/100</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85297E6" w14:textId="77777777" w:rsidR="007B67FA" w:rsidRPr="003F267F" w:rsidRDefault="007B67FA" w:rsidP="006845F6">
            <w:pPr>
              <w:jc w:val="center"/>
              <w:rPr>
                <w:b/>
                <w:bCs/>
                <w:sz w:val="20"/>
                <w:szCs w:val="20"/>
                <w:lang w:val="sr-Latn-ME"/>
              </w:rPr>
            </w:pPr>
            <w:r w:rsidRPr="003F267F">
              <w:rPr>
                <w:b/>
                <w:bCs/>
                <w:sz w:val="20"/>
                <w:szCs w:val="20"/>
                <w:lang w:val="sr-Latn-ME"/>
              </w:rPr>
              <w:t>Rijetko</w:t>
            </w:r>
          </w:p>
          <w:p w14:paraId="039A2A00" w14:textId="5D74AF45" w:rsidR="007B67FA" w:rsidRPr="003F267F" w:rsidRDefault="007B67FA" w:rsidP="006845F6">
            <w:pPr>
              <w:jc w:val="center"/>
              <w:rPr>
                <w:sz w:val="20"/>
                <w:szCs w:val="20"/>
                <w:lang w:val="sr-Latn-ME"/>
              </w:rPr>
            </w:pPr>
            <w:r w:rsidRPr="003F267F">
              <w:rPr>
                <w:b/>
                <w:bCs/>
                <w:sz w:val="20"/>
                <w:szCs w:val="20"/>
                <w:lang w:val="sr-Latn-ME"/>
              </w:rPr>
              <w:t>≥1/10000, &lt;1/1000</w:t>
            </w: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C49F480" w14:textId="77777777" w:rsidR="007B67FA" w:rsidRPr="003F267F" w:rsidRDefault="007B67FA" w:rsidP="006845F6">
            <w:pPr>
              <w:jc w:val="center"/>
              <w:rPr>
                <w:sz w:val="20"/>
                <w:szCs w:val="20"/>
                <w:lang w:val="sr-Latn-ME"/>
              </w:rPr>
            </w:pPr>
            <w:r w:rsidRPr="003F267F">
              <w:rPr>
                <w:b/>
                <w:bCs/>
                <w:sz w:val="20"/>
                <w:szCs w:val="20"/>
                <w:lang w:val="sr-Latn-ME"/>
              </w:rPr>
              <w:t>Veoma rijetko &lt;1/10000 uključujući izolovane slučajeve</w:t>
            </w: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3DF2708" w14:textId="261EF686" w:rsidR="009035E2" w:rsidRPr="003F267F" w:rsidRDefault="007B67FA" w:rsidP="006845F6">
            <w:pPr>
              <w:jc w:val="center"/>
              <w:rPr>
                <w:b/>
                <w:bCs/>
                <w:sz w:val="20"/>
                <w:szCs w:val="20"/>
                <w:vertAlign w:val="superscript"/>
                <w:lang w:val="sr-Latn-ME"/>
              </w:rPr>
            </w:pPr>
            <w:r w:rsidRPr="003F267F">
              <w:rPr>
                <w:b/>
                <w:bCs/>
                <w:sz w:val="20"/>
                <w:szCs w:val="20"/>
                <w:lang w:val="sr-Latn-ME"/>
              </w:rPr>
              <w:t>Nepoznata učestalost</w:t>
            </w:r>
            <w:r w:rsidRPr="003F267F">
              <w:rPr>
                <w:b/>
                <w:bCs/>
                <w:sz w:val="20"/>
                <w:szCs w:val="20"/>
                <w:vertAlign w:val="superscript"/>
                <w:lang w:val="sr-Latn-ME"/>
              </w:rPr>
              <w:t>a</w:t>
            </w:r>
          </w:p>
          <w:p w14:paraId="4C35BCAC" w14:textId="5DF13FE2" w:rsidR="007B67FA" w:rsidRPr="003F267F" w:rsidRDefault="007B67FA" w:rsidP="006845F6">
            <w:pPr>
              <w:jc w:val="center"/>
              <w:rPr>
                <w:sz w:val="20"/>
                <w:szCs w:val="20"/>
                <w:lang w:val="sr-Latn-ME"/>
              </w:rPr>
            </w:pPr>
            <w:r w:rsidRPr="003F267F">
              <w:rPr>
                <w:sz w:val="20"/>
                <w:szCs w:val="20"/>
                <w:lang w:val="sr-Latn-ME"/>
              </w:rPr>
              <w:t>(ne može se</w:t>
            </w:r>
            <w:r w:rsidR="009035E2" w:rsidRPr="003F267F">
              <w:rPr>
                <w:sz w:val="20"/>
                <w:szCs w:val="20"/>
                <w:lang w:val="sr-Latn-ME"/>
              </w:rPr>
              <w:t xml:space="preserve"> </w:t>
            </w:r>
            <w:r w:rsidRPr="003F267F">
              <w:rPr>
                <w:sz w:val="20"/>
                <w:szCs w:val="20"/>
                <w:lang w:val="sr-Latn-ME"/>
              </w:rPr>
              <w:t>procijeniti na osnovu dostupnih podataka)</w:t>
            </w:r>
          </w:p>
        </w:tc>
      </w:tr>
      <w:tr w:rsidR="009035E2" w:rsidRPr="003F267F" w14:paraId="6B356903" w14:textId="77777777" w:rsidTr="006845F6">
        <w:trPr>
          <w:trHeight w:val="917"/>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C144458" w14:textId="77777777" w:rsidR="007B67FA" w:rsidRPr="003F267F" w:rsidRDefault="007B67FA" w:rsidP="006845F6">
            <w:pPr>
              <w:jc w:val="center"/>
              <w:rPr>
                <w:sz w:val="20"/>
                <w:szCs w:val="20"/>
                <w:lang w:val="sr-Latn-ME"/>
              </w:rPr>
            </w:pPr>
            <w:r w:rsidRPr="003F267F">
              <w:rPr>
                <w:b/>
                <w:bCs/>
                <w:sz w:val="20"/>
                <w:szCs w:val="20"/>
                <w:lang w:val="sr-Latn-ME"/>
              </w:rPr>
              <w:t>Poremećaji krvi i limfnog sistema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08EDD81"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3D46950" w14:textId="77777777" w:rsidR="007B67FA" w:rsidRPr="003F267F" w:rsidRDefault="007B67FA">
            <w:pPr>
              <w:jc w:val="both"/>
              <w:rPr>
                <w:sz w:val="20"/>
                <w:szCs w:val="20"/>
                <w:lang w:val="sr-Latn-ME"/>
              </w:rPr>
            </w:pP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6D91EE5" w14:textId="79D6BAAF" w:rsidR="007B67FA" w:rsidRPr="003F267F" w:rsidRDefault="007B67FA" w:rsidP="006845F6">
            <w:pPr>
              <w:jc w:val="center"/>
              <w:rPr>
                <w:sz w:val="20"/>
                <w:szCs w:val="20"/>
                <w:lang w:val="sr-Latn-ME"/>
              </w:rPr>
            </w:pPr>
            <w:r w:rsidRPr="003F267F">
              <w:rPr>
                <w:sz w:val="20"/>
                <w:szCs w:val="20"/>
                <w:lang w:val="sr-Latn-ME"/>
              </w:rPr>
              <w:t xml:space="preserve">Smanjene vrijednosti </w:t>
            </w:r>
            <w:r w:rsidR="00874D9E" w:rsidRPr="003F267F">
              <w:rPr>
                <w:sz w:val="20"/>
                <w:szCs w:val="20"/>
                <w:lang w:val="sr-Latn-ME"/>
              </w:rPr>
              <w:t>hemoglobin</w:t>
            </w:r>
            <w:r w:rsidR="006845F6" w:rsidRPr="003F267F">
              <w:rPr>
                <w:sz w:val="20"/>
                <w:szCs w:val="20"/>
                <w:lang w:val="sr-Latn-ME"/>
              </w:rPr>
              <w:t>a</w:t>
            </w:r>
            <w:r w:rsidR="00874D9E" w:rsidRPr="003F267F">
              <w:rPr>
                <w:sz w:val="20"/>
                <w:szCs w:val="20"/>
                <w:lang w:val="sr-Latn-ME"/>
              </w:rPr>
              <w:t>;</w:t>
            </w:r>
          </w:p>
          <w:p w14:paraId="42830258" w14:textId="19316842" w:rsidR="007B67FA" w:rsidRPr="003F267F" w:rsidRDefault="00874D9E" w:rsidP="006845F6">
            <w:pPr>
              <w:jc w:val="center"/>
              <w:rPr>
                <w:sz w:val="20"/>
                <w:szCs w:val="20"/>
                <w:lang w:val="sr-Latn-ME"/>
              </w:rPr>
            </w:pPr>
            <w:r w:rsidRPr="003F267F">
              <w:rPr>
                <w:sz w:val="20"/>
                <w:szCs w:val="20"/>
                <w:lang w:val="sr-Latn-ME"/>
              </w:rPr>
              <w:t>s</w:t>
            </w:r>
            <w:r w:rsidR="007B67FA" w:rsidRPr="003F267F">
              <w:rPr>
                <w:sz w:val="20"/>
                <w:szCs w:val="20"/>
                <w:lang w:val="sr-Latn-ME"/>
              </w:rPr>
              <w:t>manjen broj leukocita</w:t>
            </w: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6FDCAED"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hideMark/>
          </w:tcPr>
          <w:p w14:paraId="415EC196" w14:textId="77777777" w:rsidR="007B67FA" w:rsidRPr="003F267F" w:rsidRDefault="007B67FA">
            <w:pPr>
              <w:jc w:val="both"/>
              <w:rPr>
                <w:sz w:val="20"/>
                <w:szCs w:val="20"/>
                <w:lang w:val="sr-Latn-ME"/>
              </w:rPr>
            </w:pPr>
          </w:p>
        </w:tc>
      </w:tr>
      <w:tr w:rsidR="009035E2" w:rsidRPr="003F267F" w14:paraId="2E06EB2F" w14:textId="77777777" w:rsidTr="006845F6">
        <w:trPr>
          <w:trHeight w:val="691"/>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B0A89E7" w14:textId="77777777" w:rsidR="007B67FA" w:rsidRPr="003F267F" w:rsidRDefault="007B67FA" w:rsidP="00ED7392">
            <w:pPr>
              <w:jc w:val="center"/>
              <w:rPr>
                <w:sz w:val="20"/>
                <w:szCs w:val="20"/>
                <w:lang w:val="sr-Latn-ME"/>
              </w:rPr>
            </w:pPr>
            <w:r w:rsidRPr="003F267F">
              <w:rPr>
                <w:b/>
                <w:bCs/>
                <w:sz w:val="20"/>
                <w:szCs w:val="20"/>
                <w:lang w:val="sr-Latn-ME"/>
              </w:rPr>
              <w:lastRenderedPageBreak/>
              <w:t>Poremećaji imunskog sistema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E595FD2"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5BDF3B3" w14:textId="77777777" w:rsidR="007B67FA" w:rsidRPr="003F267F" w:rsidRDefault="007B67FA">
            <w:pPr>
              <w:jc w:val="both"/>
              <w:rPr>
                <w:sz w:val="20"/>
                <w:szCs w:val="20"/>
                <w:lang w:val="sr-Latn-ME"/>
              </w:rPr>
            </w:pP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033AEFE6" w14:textId="77777777" w:rsidR="007B67FA" w:rsidRPr="003F267F" w:rsidRDefault="007B67FA" w:rsidP="00ED7392">
            <w:pPr>
              <w:jc w:val="center"/>
              <w:rPr>
                <w:sz w:val="20"/>
                <w:szCs w:val="20"/>
                <w:lang w:val="sr-Latn-ME"/>
              </w:rPr>
            </w:pPr>
            <w:r w:rsidRPr="003F267F">
              <w:rPr>
                <w:sz w:val="20"/>
                <w:szCs w:val="20"/>
                <w:lang w:val="sr-Latn-ME"/>
              </w:rPr>
              <w:t>Preosjetljivost</w:t>
            </w: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0712042E"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hideMark/>
          </w:tcPr>
          <w:p w14:paraId="5936FFF9" w14:textId="77777777" w:rsidR="007B67FA" w:rsidRPr="003F267F" w:rsidRDefault="007B67FA">
            <w:pPr>
              <w:jc w:val="both"/>
              <w:rPr>
                <w:sz w:val="20"/>
                <w:szCs w:val="20"/>
                <w:lang w:val="sr-Latn-ME"/>
              </w:rPr>
            </w:pPr>
          </w:p>
        </w:tc>
      </w:tr>
      <w:tr w:rsidR="009035E2" w:rsidRPr="003F267F" w14:paraId="1350F962" w14:textId="77777777" w:rsidTr="006845F6">
        <w:trPr>
          <w:trHeight w:val="691"/>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A793EAB" w14:textId="77777777" w:rsidR="007B67FA" w:rsidRPr="003F267F" w:rsidRDefault="007B67FA" w:rsidP="00ED7392">
            <w:pPr>
              <w:jc w:val="center"/>
              <w:rPr>
                <w:sz w:val="20"/>
                <w:szCs w:val="20"/>
                <w:lang w:val="sr-Latn-ME"/>
              </w:rPr>
            </w:pPr>
            <w:r w:rsidRPr="003F267F">
              <w:rPr>
                <w:b/>
                <w:bCs/>
                <w:sz w:val="20"/>
                <w:szCs w:val="20"/>
                <w:lang w:val="sr-Latn-ME"/>
              </w:rPr>
              <w:t>Poremećaji nervnog sistema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86602BB"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C83AD40" w14:textId="77777777" w:rsidR="007B67FA" w:rsidRPr="003F267F" w:rsidRDefault="007B67FA" w:rsidP="00ED7392">
            <w:pPr>
              <w:jc w:val="center"/>
              <w:rPr>
                <w:sz w:val="20"/>
                <w:szCs w:val="20"/>
                <w:lang w:val="sr-Latn-ME"/>
              </w:rPr>
            </w:pPr>
            <w:r w:rsidRPr="003F267F">
              <w:rPr>
                <w:sz w:val="20"/>
                <w:szCs w:val="20"/>
                <w:lang w:val="sr-Latn-ME"/>
              </w:rPr>
              <w:t>Glavobolja</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29A710D"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9EFE2DA"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2DEAAF2" w14:textId="77777777" w:rsidR="007B67FA" w:rsidRPr="003F267F" w:rsidRDefault="007B67FA">
            <w:pPr>
              <w:jc w:val="both"/>
              <w:rPr>
                <w:sz w:val="20"/>
                <w:szCs w:val="20"/>
                <w:lang w:val="sr-Latn-ME"/>
              </w:rPr>
            </w:pPr>
          </w:p>
        </w:tc>
      </w:tr>
      <w:tr w:rsidR="009035E2" w:rsidRPr="003F267F" w14:paraId="75101B03" w14:textId="77777777" w:rsidTr="006845F6">
        <w:trPr>
          <w:trHeight w:val="917"/>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47BD48F" w14:textId="77777777" w:rsidR="007B67FA" w:rsidRPr="003F267F" w:rsidRDefault="007B67FA" w:rsidP="00ED7392">
            <w:pPr>
              <w:jc w:val="center"/>
              <w:rPr>
                <w:sz w:val="20"/>
                <w:szCs w:val="20"/>
                <w:lang w:val="sr-Latn-ME"/>
              </w:rPr>
            </w:pPr>
            <w:r w:rsidRPr="003F267F">
              <w:rPr>
                <w:b/>
                <w:bCs/>
                <w:sz w:val="20"/>
                <w:szCs w:val="20"/>
                <w:lang w:val="sr-Latn-ME"/>
              </w:rPr>
              <w:t>Vaskularni poremećaji</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D962F04"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59687B7" w14:textId="77777777" w:rsidR="007B67FA" w:rsidRPr="003F267F" w:rsidRDefault="007B67FA" w:rsidP="00ED7392">
            <w:pPr>
              <w:jc w:val="center"/>
              <w:rPr>
                <w:sz w:val="20"/>
                <w:szCs w:val="20"/>
                <w:lang w:val="sr-Latn-ME"/>
              </w:rPr>
            </w:pPr>
            <w:r w:rsidRPr="003F267F">
              <w:rPr>
                <w:sz w:val="20"/>
                <w:szCs w:val="20"/>
                <w:lang w:val="sr-Latn-ME"/>
              </w:rPr>
              <w:t>Tromboembolizam (plućna embolija, duboka venska tromboza)*</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AE15A76"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25838AE"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hideMark/>
          </w:tcPr>
          <w:p w14:paraId="3D8366EB" w14:textId="77777777" w:rsidR="007B67FA" w:rsidRPr="003F267F" w:rsidRDefault="007B67FA">
            <w:pPr>
              <w:jc w:val="both"/>
              <w:rPr>
                <w:sz w:val="20"/>
                <w:szCs w:val="20"/>
                <w:lang w:val="sr-Latn-ME"/>
              </w:rPr>
            </w:pPr>
          </w:p>
        </w:tc>
      </w:tr>
      <w:tr w:rsidR="009035E2" w:rsidRPr="003F267F" w14:paraId="544318F4" w14:textId="77777777" w:rsidTr="006845F6">
        <w:trPr>
          <w:trHeight w:val="932"/>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05E93389" w14:textId="77777777" w:rsidR="007B67FA" w:rsidRPr="003F267F" w:rsidRDefault="007B67FA" w:rsidP="00ED7392">
            <w:pPr>
              <w:jc w:val="center"/>
              <w:rPr>
                <w:sz w:val="20"/>
                <w:szCs w:val="20"/>
                <w:lang w:val="sr-Latn-ME"/>
              </w:rPr>
            </w:pPr>
            <w:r w:rsidRPr="003F267F">
              <w:rPr>
                <w:b/>
                <w:bCs/>
                <w:sz w:val="20"/>
                <w:szCs w:val="20"/>
                <w:lang w:val="sr-Latn-ME"/>
              </w:rPr>
              <w:t>Respiratorni, torakalni i medijastinalni poremećaji</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E6AC28B"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0B63C0B" w14:textId="77777777" w:rsidR="007B67FA" w:rsidRPr="003F267F" w:rsidRDefault="007B67FA">
            <w:pPr>
              <w:jc w:val="both"/>
              <w:rPr>
                <w:sz w:val="20"/>
                <w:szCs w:val="20"/>
                <w:lang w:val="sr-Latn-ME"/>
              </w:rPr>
            </w:pP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A2A3AE7"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1227FA5"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13879A9C" w14:textId="77777777" w:rsidR="007B67FA" w:rsidRPr="003F267F" w:rsidRDefault="007B67FA" w:rsidP="00ED7392">
            <w:pPr>
              <w:jc w:val="center"/>
              <w:rPr>
                <w:sz w:val="20"/>
                <w:szCs w:val="20"/>
                <w:lang w:val="sr-Latn-ME"/>
              </w:rPr>
            </w:pPr>
            <w:r w:rsidRPr="003F267F">
              <w:rPr>
                <w:sz w:val="20"/>
                <w:szCs w:val="20"/>
                <w:lang w:val="sr-Latn-ME"/>
              </w:rPr>
              <w:t>Intersticijalna bolest pluća</w:t>
            </w:r>
            <w:r w:rsidRPr="003F267F">
              <w:rPr>
                <w:sz w:val="20"/>
                <w:szCs w:val="20"/>
                <w:vertAlign w:val="superscript"/>
                <w:lang w:val="sr-Latn-ME"/>
              </w:rPr>
              <w:t>a</w:t>
            </w:r>
          </w:p>
        </w:tc>
      </w:tr>
      <w:tr w:rsidR="009035E2" w:rsidRPr="003F267F" w14:paraId="2546AE51" w14:textId="77777777" w:rsidTr="006845F6">
        <w:trPr>
          <w:trHeight w:val="1834"/>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D213104" w14:textId="77777777" w:rsidR="007B67FA" w:rsidRPr="003F267F" w:rsidRDefault="007B67FA" w:rsidP="00ED7392">
            <w:pPr>
              <w:jc w:val="center"/>
              <w:rPr>
                <w:sz w:val="20"/>
                <w:szCs w:val="20"/>
                <w:lang w:val="sr-Latn-ME"/>
              </w:rPr>
            </w:pPr>
            <w:r w:rsidRPr="003F267F">
              <w:rPr>
                <w:b/>
                <w:bCs/>
                <w:sz w:val="20"/>
                <w:szCs w:val="20"/>
                <w:lang w:val="sr-Latn-ME"/>
              </w:rPr>
              <w:t>Gastrointestinalni poremećaji</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D624144" w14:textId="77777777" w:rsidR="007B67FA" w:rsidRPr="003F267F" w:rsidRDefault="007B67FA" w:rsidP="00ED7392">
            <w:pPr>
              <w:jc w:val="center"/>
              <w:rPr>
                <w:sz w:val="20"/>
                <w:szCs w:val="20"/>
                <w:lang w:val="sr-Latn-ME"/>
              </w:rPr>
            </w:pPr>
            <w:r w:rsidRPr="003F267F">
              <w:rPr>
                <w:sz w:val="20"/>
                <w:szCs w:val="20"/>
                <w:lang w:val="sr-Latn-ME"/>
              </w:rPr>
              <w:t>Gastrointestinalni znaci i simptomi (abdominalni bol, mučnina, povraćanje, dijareja, flatulencija)</w:t>
            </w: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D6EAD3C" w14:textId="77777777" w:rsidR="007B67FA" w:rsidRPr="003F267F" w:rsidRDefault="007B67FA" w:rsidP="00ED7392">
            <w:pPr>
              <w:jc w:val="center"/>
              <w:rPr>
                <w:sz w:val="20"/>
                <w:szCs w:val="20"/>
                <w:lang w:val="sr-Latn-ME"/>
              </w:rPr>
            </w:pPr>
            <w:r w:rsidRPr="003F267F">
              <w:rPr>
                <w:sz w:val="20"/>
                <w:szCs w:val="20"/>
                <w:lang w:val="sr-Latn-ME"/>
              </w:rPr>
              <w:t>Pankreatitis*</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9F8C76A"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80707A5"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hideMark/>
          </w:tcPr>
          <w:p w14:paraId="70BD327C" w14:textId="77777777" w:rsidR="007B67FA" w:rsidRPr="003F267F" w:rsidRDefault="007B67FA">
            <w:pPr>
              <w:jc w:val="both"/>
              <w:rPr>
                <w:sz w:val="20"/>
                <w:szCs w:val="20"/>
                <w:lang w:val="sr-Latn-ME"/>
              </w:rPr>
            </w:pPr>
          </w:p>
        </w:tc>
      </w:tr>
      <w:tr w:rsidR="009035E2" w:rsidRPr="003F267F" w14:paraId="0A51338F" w14:textId="77777777" w:rsidTr="006845F6">
        <w:trPr>
          <w:trHeight w:val="917"/>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39A293A" w14:textId="77777777" w:rsidR="007B67FA" w:rsidRPr="003F267F" w:rsidRDefault="007B67FA" w:rsidP="00ED7392">
            <w:pPr>
              <w:jc w:val="center"/>
              <w:rPr>
                <w:sz w:val="20"/>
                <w:szCs w:val="20"/>
                <w:lang w:val="sr-Latn-ME"/>
              </w:rPr>
            </w:pPr>
            <w:r w:rsidRPr="003F267F">
              <w:rPr>
                <w:b/>
                <w:bCs/>
                <w:sz w:val="20"/>
                <w:szCs w:val="20"/>
                <w:lang w:val="sr-Latn-ME"/>
              </w:rPr>
              <w:t>Hepoatobilijarni poremećaji</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C2C5AB4" w14:textId="77777777" w:rsidR="007B67FA" w:rsidRPr="003F267F" w:rsidRDefault="007B67FA" w:rsidP="00ED7392">
            <w:pPr>
              <w:jc w:val="center"/>
              <w:rPr>
                <w:sz w:val="20"/>
                <w:szCs w:val="20"/>
                <w:lang w:val="sr-Latn-ME"/>
              </w:rPr>
            </w:pPr>
            <w:r w:rsidRPr="003F267F">
              <w:rPr>
                <w:sz w:val="20"/>
                <w:szCs w:val="20"/>
                <w:lang w:val="sr-Latn-ME"/>
              </w:rPr>
              <w:t>Povećane vrijednosti transaminaza</w:t>
            </w:r>
          </w:p>
          <w:p w14:paraId="7CA093EA" w14:textId="77777777" w:rsidR="007B67FA" w:rsidRPr="003F267F" w:rsidRDefault="007B67FA" w:rsidP="00ED7392">
            <w:pPr>
              <w:jc w:val="center"/>
              <w:rPr>
                <w:sz w:val="20"/>
                <w:szCs w:val="20"/>
                <w:lang w:val="sr-Latn-ME"/>
              </w:rPr>
            </w:pPr>
            <w:r w:rsidRPr="003F267F">
              <w:rPr>
                <w:sz w:val="20"/>
                <w:szCs w:val="20"/>
                <w:lang w:val="sr-Latn-ME"/>
              </w:rPr>
              <w:t>(vidjeti odjeljak 4.4)</w:t>
            </w: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4625989" w14:textId="77777777" w:rsidR="009035E2" w:rsidRPr="003F267F" w:rsidRDefault="007B67FA" w:rsidP="00ED7392">
            <w:pPr>
              <w:jc w:val="center"/>
              <w:rPr>
                <w:sz w:val="20"/>
                <w:szCs w:val="20"/>
                <w:lang w:val="sr-Latn-ME"/>
              </w:rPr>
            </w:pPr>
            <w:r w:rsidRPr="003F267F">
              <w:rPr>
                <w:sz w:val="20"/>
                <w:szCs w:val="20"/>
                <w:lang w:val="sr-Latn-ME"/>
              </w:rPr>
              <w:t xml:space="preserve">Holelitijaza </w:t>
            </w:r>
          </w:p>
          <w:p w14:paraId="375760D5" w14:textId="25A775E3" w:rsidR="007B67FA" w:rsidRPr="003F267F" w:rsidRDefault="007B67FA" w:rsidP="00ED7392">
            <w:pPr>
              <w:jc w:val="center"/>
              <w:rPr>
                <w:sz w:val="20"/>
                <w:szCs w:val="20"/>
                <w:lang w:val="sr-Latn-ME"/>
              </w:rPr>
            </w:pPr>
            <w:r w:rsidRPr="003F267F">
              <w:rPr>
                <w:sz w:val="20"/>
                <w:szCs w:val="20"/>
                <w:lang w:val="sr-Latn-ME"/>
              </w:rPr>
              <w:t>(vidjeti odjeljak 4.4)</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E2AA9B7" w14:textId="77777777" w:rsidR="007B67FA" w:rsidRPr="003F267F" w:rsidRDefault="007B67FA" w:rsidP="00ED7392">
            <w:pPr>
              <w:jc w:val="center"/>
              <w:rPr>
                <w:sz w:val="20"/>
                <w:szCs w:val="20"/>
                <w:lang w:val="sr-Latn-ME"/>
              </w:rPr>
            </w:pPr>
            <w:r w:rsidRPr="003F267F">
              <w:rPr>
                <w:sz w:val="20"/>
                <w:szCs w:val="20"/>
                <w:lang w:val="sr-Latn-ME"/>
              </w:rPr>
              <w:t>Hepatitis</w:t>
            </w: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5BD9F42"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6936F48" w14:textId="7A087249" w:rsidR="007B67FA" w:rsidRPr="003F267F" w:rsidRDefault="007B67FA" w:rsidP="00ED7392">
            <w:pPr>
              <w:jc w:val="center"/>
              <w:rPr>
                <w:sz w:val="20"/>
                <w:szCs w:val="20"/>
                <w:lang w:val="sr-Latn-ME"/>
              </w:rPr>
            </w:pPr>
            <w:r w:rsidRPr="003F267F">
              <w:rPr>
                <w:sz w:val="20"/>
                <w:szCs w:val="20"/>
                <w:lang w:val="sr-Latn-ME"/>
              </w:rPr>
              <w:t>Žutica,</w:t>
            </w:r>
          </w:p>
          <w:p w14:paraId="212101DD" w14:textId="7CE8C8F6" w:rsidR="007B67FA" w:rsidRPr="003F267F" w:rsidRDefault="007B67FA" w:rsidP="00ED7392">
            <w:pPr>
              <w:jc w:val="center"/>
              <w:rPr>
                <w:sz w:val="20"/>
                <w:szCs w:val="20"/>
                <w:lang w:val="sr-Latn-ME"/>
              </w:rPr>
            </w:pPr>
            <w:r w:rsidRPr="003F267F">
              <w:rPr>
                <w:sz w:val="20"/>
                <w:szCs w:val="20"/>
                <w:lang w:val="sr-Latn-ME"/>
              </w:rPr>
              <w:t>komplikacije holelitijaze</w:t>
            </w:r>
            <w:r w:rsidRPr="003F267F">
              <w:rPr>
                <w:sz w:val="20"/>
                <w:szCs w:val="20"/>
                <w:vertAlign w:val="superscript"/>
                <w:lang w:val="sr-Latn-ME"/>
              </w:rPr>
              <w:t>a</w:t>
            </w:r>
            <w:r w:rsidR="0080458C" w:rsidRPr="003F267F">
              <w:rPr>
                <w:sz w:val="20"/>
                <w:szCs w:val="20"/>
                <w:vertAlign w:val="superscript"/>
                <w:lang w:val="sr-Latn-ME"/>
              </w:rPr>
              <w:t xml:space="preserve"> </w:t>
            </w:r>
            <w:r w:rsidRPr="003F267F">
              <w:rPr>
                <w:sz w:val="20"/>
                <w:szCs w:val="20"/>
                <w:lang w:val="sr-Latn-ME"/>
              </w:rPr>
              <w:t>(npr. holecistitis, holangitis, bilijarne kolike)</w:t>
            </w:r>
          </w:p>
        </w:tc>
      </w:tr>
      <w:tr w:rsidR="009035E2" w:rsidRPr="003F267F" w14:paraId="63E43810" w14:textId="77777777" w:rsidTr="006845F6">
        <w:trPr>
          <w:trHeight w:val="1158"/>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833B83C" w14:textId="77777777" w:rsidR="007B67FA" w:rsidRPr="003F267F" w:rsidRDefault="007B67FA" w:rsidP="00ED7392">
            <w:pPr>
              <w:jc w:val="center"/>
              <w:rPr>
                <w:sz w:val="20"/>
                <w:szCs w:val="20"/>
                <w:lang w:val="sr-Latn-ME"/>
              </w:rPr>
            </w:pPr>
            <w:r w:rsidRPr="003F267F">
              <w:rPr>
                <w:b/>
                <w:bCs/>
                <w:sz w:val="20"/>
                <w:szCs w:val="20"/>
                <w:lang w:val="sr-Latn-ME"/>
              </w:rPr>
              <w:t>Poremećaji kože i potkožnog tkiva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32FB3FC"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8188A62" w14:textId="77777777" w:rsidR="007B67FA" w:rsidRPr="003F267F" w:rsidRDefault="007B67FA" w:rsidP="00ED7392">
            <w:pPr>
              <w:jc w:val="center"/>
              <w:rPr>
                <w:sz w:val="20"/>
                <w:szCs w:val="20"/>
                <w:lang w:val="sr-Latn-ME"/>
              </w:rPr>
            </w:pPr>
            <w:r w:rsidRPr="003F267F">
              <w:rPr>
                <w:sz w:val="20"/>
                <w:szCs w:val="20"/>
                <w:lang w:val="sr-Latn-ME"/>
              </w:rPr>
              <w:t>Preosjetljivost kože (npr. osip, svrab, urtikarija)</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081C883" w14:textId="77777777" w:rsidR="007B67FA" w:rsidRPr="003F267F" w:rsidRDefault="007B67FA" w:rsidP="00ED7392">
            <w:pPr>
              <w:jc w:val="center"/>
              <w:rPr>
                <w:sz w:val="20"/>
                <w:szCs w:val="20"/>
                <w:lang w:val="sr-Latn-ME"/>
              </w:rPr>
            </w:pPr>
            <w:r w:rsidRPr="003F267F">
              <w:rPr>
                <w:sz w:val="20"/>
                <w:szCs w:val="20"/>
                <w:lang w:val="sr-Latn-ME"/>
              </w:rPr>
              <w:t>Alopecija</w:t>
            </w:r>
          </w:p>
          <w:p w14:paraId="6DF62D9E" w14:textId="77777777" w:rsidR="007B67FA" w:rsidRPr="003F267F" w:rsidRDefault="007B67FA" w:rsidP="00ED7392">
            <w:pPr>
              <w:jc w:val="center"/>
              <w:rPr>
                <w:sz w:val="20"/>
                <w:szCs w:val="20"/>
                <w:lang w:val="sr-Latn-ME"/>
              </w:rPr>
            </w:pPr>
            <w:r w:rsidRPr="003F267F">
              <w:rPr>
                <w:sz w:val="20"/>
                <w:szCs w:val="20"/>
                <w:lang w:val="sr-Latn-ME"/>
              </w:rPr>
              <w:t>Fotosenzitivne reakcije</w:t>
            </w: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1840F30C"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6AC2040" w14:textId="77777777" w:rsidR="009035E2" w:rsidRPr="003F267F" w:rsidRDefault="007B67FA" w:rsidP="00ED7392">
            <w:pPr>
              <w:jc w:val="center"/>
              <w:rPr>
                <w:sz w:val="20"/>
                <w:szCs w:val="20"/>
                <w:lang w:val="sr-Latn-ME"/>
              </w:rPr>
            </w:pPr>
            <w:r w:rsidRPr="003F267F">
              <w:rPr>
                <w:sz w:val="20"/>
                <w:szCs w:val="20"/>
                <w:lang w:val="sr-Latn-ME"/>
              </w:rPr>
              <w:t>Teške reakcije na koži</w:t>
            </w:r>
            <w:r w:rsidRPr="003F267F">
              <w:rPr>
                <w:sz w:val="20"/>
                <w:szCs w:val="20"/>
                <w:vertAlign w:val="superscript"/>
                <w:lang w:val="sr-Latn-ME"/>
              </w:rPr>
              <w:t>a</w:t>
            </w:r>
            <w:r w:rsidRPr="003F267F">
              <w:rPr>
                <w:sz w:val="20"/>
                <w:szCs w:val="20"/>
                <w:lang w:val="sr-Latn-ME"/>
              </w:rPr>
              <w:t> </w:t>
            </w:r>
          </w:p>
          <w:p w14:paraId="0EB8D586" w14:textId="3E7CD960" w:rsidR="007B67FA" w:rsidRPr="003F267F" w:rsidRDefault="007B67FA" w:rsidP="00ED7392">
            <w:pPr>
              <w:jc w:val="center"/>
              <w:rPr>
                <w:sz w:val="20"/>
                <w:szCs w:val="20"/>
                <w:lang w:val="sr-Latn-ME"/>
              </w:rPr>
            </w:pPr>
            <w:r w:rsidRPr="003F267F">
              <w:rPr>
                <w:sz w:val="20"/>
                <w:szCs w:val="20"/>
                <w:lang w:val="sr-Latn-ME"/>
              </w:rPr>
              <w:t xml:space="preserve">(npr. multiformni eritem, </w:t>
            </w:r>
            <w:r w:rsidRPr="003F267F">
              <w:rPr>
                <w:i/>
                <w:sz w:val="20"/>
                <w:szCs w:val="20"/>
                <w:lang w:val="sr-Latn-ME"/>
              </w:rPr>
              <w:t>Stevens-Johnson</w:t>
            </w:r>
            <w:r w:rsidRPr="003F267F">
              <w:rPr>
                <w:sz w:val="20"/>
                <w:szCs w:val="20"/>
                <w:lang w:val="sr-Latn-ME"/>
              </w:rPr>
              <w:t>-ov sindrom, toksična epidermalna nekroliza)</w:t>
            </w:r>
          </w:p>
        </w:tc>
      </w:tr>
      <w:tr w:rsidR="009035E2" w:rsidRPr="003F267F" w14:paraId="4CD6A196" w14:textId="77777777" w:rsidTr="006845F6">
        <w:trPr>
          <w:trHeight w:val="1158"/>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547BB78" w14:textId="50795524" w:rsidR="007B67FA" w:rsidRPr="003F267F" w:rsidRDefault="007B67FA" w:rsidP="00ED7392">
            <w:pPr>
              <w:jc w:val="center"/>
              <w:rPr>
                <w:sz w:val="20"/>
                <w:szCs w:val="20"/>
                <w:lang w:val="sr-Latn-ME"/>
              </w:rPr>
            </w:pPr>
            <w:r w:rsidRPr="003F267F">
              <w:rPr>
                <w:b/>
                <w:bCs/>
                <w:sz w:val="20"/>
                <w:szCs w:val="20"/>
                <w:lang w:val="sr-Latn-ME"/>
              </w:rPr>
              <w:t xml:space="preserve">Poremećaji mišićno-koštanog sistema </w:t>
            </w:r>
            <w:r w:rsidR="009035E2" w:rsidRPr="003F267F">
              <w:rPr>
                <w:b/>
                <w:bCs/>
                <w:sz w:val="20"/>
                <w:szCs w:val="20"/>
                <w:lang w:val="sr-Latn-ME"/>
              </w:rPr>
              <w:t>i</w:t>
            </w:r>
            <w:r w:rsidRPr="003F267F">
              <w:rPr>
                <w:b/>
                <w:bCs/>
                <w:sz w:val="20"/>
                <w:szCs w:val="20"/>
                <w:lang w:val="sr-Latn-ME"/>
              </w:rPr>
              <w:t xml:space="preserve"> vezivnog tkiva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BEFB585"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613A1BB" w14:textId="77777777" w:rsidR="007B67FA" w:rsidRPr="003F267F" w:rsidRDefault="007B67FA" w:rsidP="00ED7392">
            <w:pPr>
              <w:jc w:val="center"/>
              <w:rPr>
                <w:sz w:val="20"/>
                <w:szCs w:val="20"/>
                <w:lang w:val="sr-Latn-ME"/>
              </w:rPr>
            </w:pPr>
            <w:r w:rsidRPr="003F267F">
              <w:rPr>
                <w:sz w:val="20"/>
                <w:szCs w:val="20"/>
                <w:lang w:val="sr-Latn-ME"/>
              </w:rPr>
              <w:t>Poremećaji na nivou mišića (npr. mialgija, miozitis, grčevi i slabost u mišićima)</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1A306ADD"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4E80514A"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BBB55C8" w14:textId="77777777" w:rsidR="007B67FA" w:rsidRPr="003F267F" w:rsidRDefault="007B67FA" w:rsidP="00ED7392">
            <w:pPr>
              <w:jc w:val="center"/>
              <w:rPr>
                <w:sz w:val="20"/>
                <w:szCs w:val="20"/>
                <w:lang w:val="sr-Latn-ME"/>
              </w:rPr>
            </w:pPr>
            <w:r w:rsidRPr="003F267F">
              <w:rPr>
                <w:sz w:val="20"/>
                <w:szCs w:val="20"/>
                <w:lang w:val="sr-Latn-ME"/>
              </w:rPr>
              <w:t>Rabdomioliza</w:t>
            </w:r>
            <w:r w:rsidRPr="003F267F">
              <w:rPr>
                <w:sz w:val="20"/>
                <w:szCs w:val="20"/>
                <w:vertAlign w:val="superscript"/>
                <w:lang w:val="sr-Latn-ME"/>
              </w:rPr>
              <w:t>a</w:t>
            </w:r>
          </w:p>
        </w:tc>
      </w:tr>
      <w:tr w:rsidR="009035E2" w:rsidRPr="003F267F" w14:paraId="6BCEA733" w14:textId="77777777" w:rsidTr="006845F6">
        <w:trPr>
          <w:trHeight w:val="917"/>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101DFB7" w14:textId="77777777" w:rsidR="007B67FA" w:rsidRPr="003F267F" w:rsidRDefault="007B67FA" w:rsidP="00ED7392">
            <w:pPr>
              <w:jc w:val="center"/>
              <w:rPr>
                <w:sz w:val="20"/>
                <w:szCs w:val="20"/>
                <w:lang w:val="sr-Latn-ME"/>
              </w:rPr>
            </w:pPr>
            <w:r w:rsidRPr="003F267F">
              <w:rPr>
                <w:b/>
                <w:bCs/>
                <w:sz w:val="20"/>
                <w:szCs w:val="20"/>
                <w:lang w:val="sr-Latn-ME"/>
              </w:rPr>
              <w:t>Poremećaji reproduktivnog sistema i dojki</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1FF062B9"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408149E" w14:textId="77777777" w:rsidR="007B67FA" w:rsidRPr="003F267F" w:rsidRDefault="007B67FA" w:rsidP="00ED7392">
            <w:pPr>
              <w:jc w:val="center"/>
              <w:rPr>
                <w:sz w:val="20"/>
                <w:szCs w:val="20"/>
                <w:lang w:val="sr-Latn-ME"/>
              </w:rPr>
            </w:pPr>
            <w:r w:rsidRPr="003F267F">
              <w:rPr>
                <w:sz w:val="20"/>
                <w:szCs w:val="20"/>
                <w:lang w:val="sr-Latn-ME"/>
              </w:rPr>
              <w:t>Seksualna disfunkcija</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250BE132"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3CAEEF0"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hideMark/>
          </w:tcPr>
          <w:p w14:paraId="2B3D5ABC" w14:textId="77777777" w:rsidR="007B67FA" w:rsidRPr="003F267F" w:rsidRDefault="007B67FA">
            <w:pPr>
              <w:jc w:val="both"/>
              <w:rPr>
                <w:sz w:val="20"/>
                <w:szCs w:val="20"/>
                <w:lang w:val="sr-Latn-ME"/>
              </w:rPr>
            </w:pPr>
          </w:p>
        </w:tc>
      </w:tr>
      <w:tr w:rsidR="009035E2" w:rsidRPr="003F267F" w14:paraId="488F17CE" w14:textId="77777777" w:rsidTr="006845F6">
        <w:trPr>
          <w:trHeight w:val="917"/>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1F1459D" w14:textId="77777777" w:rsidR="007B67FA" w:rsidRPr="003F267F" w:rsidRDefault="007B67FA" w:rsidP="00ED7392">
            <w:pPr>
              <w:jc w:val="center"/>
              <w:rPr>
                <w:sz w:val="20"/>
                <w:szCs w:val="20"/>
                <w:lang w:val="sr-Latn-ME"/>
              </w:rPr>
            </w:pPr>
            <w:r w:rsidRPr="003F267F">
              <w:rPr>
                <w:b/>
                <w:bCs/>
                <w:sz w:val="20"/>
                <w:szCs w:val="20"/>
                <w:lang w:val="sr-Latn-ME"/>
              </w:rPr>
              <w:t>Opšti poremećaji i reakcije na mjestu primjene</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0087C10" w14:textId="77777777" w:rsidR="007B67FA" w:rsidRPr="003F267F" w:rsidRDefault="007B67FA">
            <w:pPr>
              <w:jc w:val="both"/>
              <w:rPr>
                <w:sz w:val="20"/>
                <w:szCs w:val="20"/>
                <w:lang w:val="sr-Latn-ME"/>
              </w:rPr>
            </w:pP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08C5E88" w14:textId="77777777" w:rsidR="007B67FA" w:rsidRPr="003F267F" w:rsidRDefault="007B67FA">
            <w:pPr>
              <w:jc w:val="both"/>
              <w:rPr>
                <w:sz w:val="20"/>
                <w:szCs w:val="20"/>
                <w:lang w:val="sr-Latn-ME"/>
              </w:rPr>
            </w:pP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541376C0" w14:textId="77777777" w:rsidR="007B67FA" w:rsidRPr="003F267F" w:rsidRDefault="007B67FA">
            <w:pPr>
              <w:jc w:val="both"/>
              <w:rPr>
                <w:sz w:val="20"/>
                <w:szCs w:val="20"/>
                <w:lang w:val="sr-Latn-ME"/>
              </w:rPr>
            </w:pP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09BF7A98"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11CEE0B4" w14:textId="77777777" w:rsidR="007B67FA" w:rsidRPr="003F267F" w:rsidRDefault="007B67FA" w:rsidP="00ED7392">
            <w:pPr>
              <w:jc w:val="center"/>
              <w:rPr>
                <w:sz w:val="20"/>
                <w:szCs w:val="20"/>
                <w:lang w:val="sr-Latn-ME"/>
              </w:rPr>
            </w:pPr>
            <w:r w:rsidRPr="003F267F">
              <w:rPr>
                <w:sz w:val="20"/>
                <w:szCs w:val="20"/>
                <w:lang w:val="sr-Latn-ME"/>
              </w:rPr>
              <w:t>Zamor</w:t>
            </w:r>
            <w:r w:rsidRPr="003F267F">
              <w:rPr>
                <w:sz w:val="20"/>
                <w:szCs w:val="20"/>
                <w:vertAlign w:val="superscript"/>
                <w:lang w:val="sr-Latn-ME"/>
              </w:rPr>
              <w:t>a</w:t>
            </w:r>
          </w:p>
        </w:tc>
      </w:tr>
      <w:tr w:rsidR="009035E2" w:rsidRPr="003F267F" w14:paraId="3E955C77" w14:textId="77777777" w:rsidTr="006845F6">
        <w:trPr>
          <w:trHeight w:val="691"/>
        </w:trPr>
        <w:tc>
          <w:tcPr>
            <w:tcW w:w="778"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4911F71" w14:textId="77777777" w:rsidR="007B67FA" w:rsidRPr="003F267F" w:rsidRDefault="007B67FA" w:rsidP="00ED7392">
            <w:pPr>
              <w:jc w:val="center"/>
              <w:rPr>
                <w:sz w:val="20"/>
                <w:szCs w:val="20"/>
                <w:lang w:val="sr-Latn-ME"/>
              </w:rPr>
            </w:pPr>
            <w:r w:rsidRPr="003F267F">
              <w:rPr>
                <w:b/>
                <w:bCs/>
                <w:sz w:val="20"/>
                <w:szCs w:val="20"/>
                <w:lang w:val="sr-Latn-ME"/>
              </w:rPr>
              <w:t>Ispitivanja</w:t>
            </w:r>
          </w:p>
        </w:tc>
        <w:tc>
          <w:tcPr>
            <w:tcW w:w="85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3E6FF137" w14:textId="77777777" w:rsidR="007B67FA" w:rsidRPr="003F267F" w:rsidRDefault="007B67FA" w:rsidP="00ED7392">
            <w:pPr>
              <w:jc w:val="center"/>
              <w:rPr>
                <w:sz w:val="20"/>
                <w:szCs w:val="20"/>
                <w:lang w:val="sr-Latn-ME"/>
              </w:rPr>
            </w:pPr>
            <w:r w:rsidRPr="003F267F">
              <w:rPr>
                <w:sz w:val="20"/>
                <w:szCs w:val="20"/>
                <w:lang w:val="sr-Latn-ME"/>
              </w:rPr>
              <w:t>Povećane vrijednosti homocisteina u krvi**</w:t>
            </w:r>
          </w:p>
        </w:tc>
        <w:tc>
          <w:tcPr>
            <w:tcW w:w="939"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6785A98A" w14:textId="77777777" w:rsidR="007B67FA" w:rsidRPr="003F267F" w:rsidRDefault="007B67FA" w:rsidP="00ED7392">
            <w:pPr>
              <w:jc w:val="center"/>
              <w:rPr>
                <w:sz w:val="20"/>
                <w:szCs w:val="20"/>
                <w:lang w:val="sr-Latn-ME"/>
              </w:rPr>
            </w:pPr>
            <w:r w:rsidRPr="003F267F">
              <w:rPr>
                <w:sz w:val="20"/>
                <w:szCs w:val="20"/>
                <w:lang w:val="sr-Latn-ME"/>
              </w:rPr>
              <w:t>Povećane vrijednosti kreatinina u krvi</w:t>
            </w:r>
          </w:p>
        </w:tc>
        <w:tc>
          <w:tcPr>
            <w:tcW w:w="704"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0DC5F5D1" w14:textId="77777777" w:rsidR="007B67FA" w:rsidRPr="003F267F" w:rsidRDefault="007B67FA" w:rsidP="00ED7392">
            <w:pPr>
              <w:jc w:val="center"/>
              <w:rPr>
                <w:sz w:val="20"/>
                <w:szCs w:val="20"/>
                <w:lang w:val="sr-Latn-ME"/>
              </w:rPr>
            </w:pPr>
            <w:r w:rsidRPr="003F267F">
              <w:rPr>
                <w:sz w:val="20"/>
                <w:szCs w:val="20"/>
                <w:lang w:val="sr-Latn-ME"/>
              </w:rPr>
              <w:t>Povećane vrijednosti uree u krvi</w:t>
            </w:r>
          </w:p>
        </w:tc>
        <w:tc>
          <w:tcPr>
            <w:tcW w:w="782" w:type="pct"/>
            <w:tcBorders>
              <w:top w:val="outset" w:sz="6" w:space="0" w:color="D9D9D9"/>
              <w:left w:val="outset" w:sz="6" w:space="0" w:color="D9D9D9"/>
              <w:bottom w:val="outset" w:sz="6" w:space="0" w:color="D9D9D9"/>
              <w:right w:val="outset" w:sz="6" w:space="0" w:color="D9D9D9"/>
            </w:tcBorders>
            <w:shd w:val="clear" w:color="auto" w:fill="auto"/>
            <w:vAlign w:val="center"/>
            <w:hideMark/>
          </w:tcPr>
          <w:p w14:paraId="7E740EDD" w14:textId="77777777" w:rsidR="007B67FA" w:rsidRPr="003F267F" w:rsidRDefault="007B67FA">
            <w:pPr>
              <w:jc w:val="both"/>
              <w:rPr>
                <w:sz w:val="20"/>
                <w:szCs w:val="20"/>
                <w:lang w:val="sr-Latn-ME"/>
              </w:rPr>
            </w:pPr>
          </w:p>
        </w:tc>
        <w:tc>
          <w:tcPr>
            <w:tcW w:w="938" w:type="pct"/>
            <w:tcBorders>
              <w:top w:val="outset" w:sz="6" w:space="0" w:color="D9D9D9"/>
              <w:left w:val="outset" w:sz="6" w:space="0" w:color="D9D9D9"/>
              <w:bottom w:val="outset" w:sz="6" w:space="0" w:color="D9D9D9"/>
              <w:right w:val="outset" w:sz="6" w:space="0" w:color="D9D9D9"/>
            </w:tcBorders>
            <w:shd w:val="clear" w:color="auto" w:fill="auto"/>
            <w:hideMark/>
          </w:tcPr>
          <w:p w14:paraId="456B407A" w14:textId="77777777" w:rsidR="007B67FA" w:rsidRPr="003F267F" w:rsidRDefault="007B67FA">
            <w:pPr>
              <w:jc w:val="both"/>
              <w:rPr>
                <w:sz w:val="20"/>
                <w:szCs w:val="20"/>
                <w:lang w:val="sr-Latn-ME"/>
              </w:rPr>
            </w:pPr>
          </w:p>
        </w:tc>
      </w:tr>
    </w:tbl>
    <w:p w14:paraId="03091A66" w14:textId="77777777" w:rsidR="007B67FA" w:rsidRPr="003F267F" w:rsidRDefault="007B67FA">
      <w:pPr>
        <w:jc w:val="both"/>
        <w:rPr>
          <w:sz w:val="22"/>
          <w:szCs w:val="22"/>
          <w:lang w:val="sr-Latn-ME"/>
        </w:rPr>
      </w:pPr>
    </w:p>
    <w:p w14:paraId="4B7FC54D" w14:textId="76F36375" w:rsidR="007B67FA" w:rsidRPr="003F267F" w:rsidRDefault="007B67FA">
      <w:pPr>
        <w:jc w:val="both"/>
        <w:rPr>
          <w:sz w:val="22"/>
          <w:szCs w:val="22"/>
          <w:lang w:val="sr-Latn-ME"/>
        </w:rPr>
      </w:pPr>
      <w:r w:rsidRPr="003F267F">
        <w:rPr>
          <w:sz w:val="22"/>
          <w:szCs w:val="22"/>
          <w:lang w:val="sr-Latn-ME"/>
        </w:rPr>
        <w:t>* u FIELD studiji, randomizovanom placebo-kontrolisanom ispitivanju u koje je bilo uključeno 9795 pacijenata sa dijabetes melitusom tipa 2, zabilježeno je statistički značajno povećanje broja slučajeva pankreatitisa kod pacijenata koji su primali fenofibrat u odnosu na one pacijente koji su primali placebo (0</w:t>
      </w:r>
      <w:r w:rsidR="00ED7392" w:rsidRPr="003F267F">
        <w:rPr>
          <w:sz w:val="22"/>
          <w:szCs w:val="22"/>
          <w:lang w:val="sr-Latn-ME"/>
        </w:rPr>
        <w:t>,</w:t>
      </w:r>
      <w:r w:rsidRPr="003F267F">
        <w:rPr>
          <w:sz w:val="22"/>
          <w:szCs w:val="22"/>
          <w:lang w:val="sr-Latn-ME"/>
        </w:rPr>
        <w:t>8% naspram</w:t>
      </w:r>
      <w:r w:rsidRPr="003F267F">
        <w:rPr>
          <w:i/>
          <w:sz w:val="22"/>
          <w:szCs w:val="22"/>
          <w:lang w:val="sr-Latn-ME"/>
        </w:rPr>
        <w:t xml:space="preserve"> </w:t>
      </w:r>
      <w:r w:rsidRPr="003F267F">
        <w:rPr>
          <w:sz w:val="22"/>
          <w:szCs w:val="22"/>
          <w:lang w:val="sr-Latn-ME"/>
        </w:rPr>
        <w:t>0</w:t>
      </w:r>
      <w:r w:rsidR="00ED7392" w:rsidRPr="003F267F">
        <w:rPr>
          <w:sz w:val="22"/>
          <w:szCs w:val="22"/>
          <w:lang w:val="sr-Latn-ME"/>
        </w:rPr>
        <w:t>,</w:t>
      </w:r>
      <w:r w:rsidRPr="003F267F">
        <w:rPr>
          <w:sz w:val="22"/>
          <w:szCs w:val="22"/>
          <w:lang w:val="sr-Latn-ME"/>
        </w:rPr>
        <w:t>5%; p=0</w:t>
      </w:r>
      <w:r w:rsidR="00ED7392" w:rsidRPr="003F267F">
        <w:rPr>
          <w:sz w:val="22"/>
          <w:szCs w:val="22"/>
          <w:lang w:val="sr-Latn-ME"/>
        </w:rPr>
        <w:t>,</w:t>
      </w:r>
      <w:r w:rsidRPr="003F267F">
        <w:rPr>
          <w:sz w:val="22"/>
          <w:szCs w:val="22"/>
          <w:lang w:val="sr-Latn-ME"/>
        </w:rPr>
        <w:t xml:space="preserve">031). U istoj studiji prijavljeno je i statistički značajno povećanje incidence </w:t>
      </w:r>
      <w:r w:rsidRPr="003F267F">
        <w:rPr>
          <w:sz w:val="22"/>
          <w:szCs w:val="22"/>
          <w:lang w:val="sr-Latn-ME"/>
        </w:rPr>
        <w:lastRenderedPageBreak/>
        <w:t>plućne embolije (0</w:t>
      </w:r>
      <w:r w:rsidR="00ED7392" w:rsidRPr="003F267F">
        <w:rPr>
          <w:sz w:val="22"/>
          <w:szCs w:val="22"/>
          <w:lang w:val="sr-Latn-ME"/>
        </w:rPr>
        <w:t>,</w:t>
      </w:r>
      <w:r w:rsidRPr="003F267F">
        <w:rPr>
          <w:sz w:val="22"/>
          <w:szCs w:val="22"/>
          <w:lang w:val="sr-Latn-ME"/>
        </w:rPr>
        <w:t>7% u placebo grupi u odnosu na 1</w:t>
      </w:r>
      <w:r w:rsidR="00ED7392" w:rsidRPr="003F267F">
        <w:rPr>
          <w:sz w:val="22"/>
          <w:szCs w:val="22"/>
          <w:lang w:val="sr-Latn-ME"/>
        </w:rPr>
        <w:t>,</w:t>
      </w:r>
      <w:r w:rsidRPr="003F267F">
        <w:rPr>
          <w:sz w:val="22"/>
          <w:szCs w:val="22"/>
          <w:lang w:val="sr-Latn-ME"/>
        </w:rPr>
        <w:t>1% u grupi na terapiji fenofibratom; p=0</w:t>
      </w:r>
      <w:r w:rsidR="00ED7392" w:rsidRPr="003F267F">
        <w:rPr>
          <w:sz w:val="22"/>
          <w:szCs w:val="22"/>
          <w:lang w:val="sr-Latn-ME"/>
        </w:rPr>
        <w:t>,</w:t>
      </w:r>
      <w:r w:rsidRPr="003F267F">
        <w:rPr>
          <w:sz w:val="22"/>
          <w:szCs w:val="22"/>
          <w:lang w:val="sr-Latn-ME"/>
        </w:rPr>
        <w:t>022), dok povećanje incidence duboke venske tromboze nije bilo statistički značajno (placebo: 1</w:t>
      </w:r>
      <w:r w:rsidR="00ED7392" w:rsidRPr="003F267F">
        <w:rPr>
          <w:sz w:val="22"/>
          <w:szCs w:val="22"/>
          <w:lang w:val="sr-Latn-ME"/>
        </w:rPr>
        <w:t>,</w:t>
      </w:r>
      <w:r w:rsidRPr="003F267F">
        <w:rPr>
          <w:sz w:val="22"/>
          <w:szCs w:val="22"/>
          <w:lang w:val="sr-Latn-ME"/>
        </w:rPr>
        <w:t>0 % [48/4900 pacijenata] u odnosu na</w:t>
      </w:r>
      <w:r w:rsidRPr="003F267F">
        <w:rPr>
          <w:i/>
          <w:sz w:val="22"/>
          <w:szCs w:val="22"/>
          <w:lang w:val="sr-Latn-ME"/>
        </w:rPr>
        <w:t xml:space="preserve"> </w:t>
      </w:r>
      <w:r w:rsidRPr="003F267F">
        <w:rPr>
          <w:sz w:val="22"/>
          <w:szCs w:val="22"/>
          <w:lang w:val="sr-Latn-ME"/>
        </w:rPr>
        <w:t>fenofibrat: 1</w:t>
      </w:r>
      <w:r w:rsidR="00ED7392" w:rsidRPr="003F267F">
        <w:rPr>
          <w:sz w:val="22"/>
          <w:szCs w:val="22"/>
          <w:lang w:val="sr-Latn-ME"/>
        </w:rPr>
        <w:t>,</w:t>
      </w:r>
      <w:r w:rsidRPr="003F267F">
        <w:rPr>
          <w:sz w:val="22"/>
          <w:szCs w:val="22"/>
          <w:lang w:val="sr-Latn-ME"/>
        </w:rPr>
        <w:t>4% [67/4895 pacijenata</w:t>
      </w:r>
      <w:r w:rsidR="00306C24" w:rsidRPr="003F267F">
        <w:rPr>
          <w:sz w:val="22"/>
          <w:szCs w:val="22"/>
          <w:lang w:val="sr-Latn-ME"/>
        </w:rPr>
        <w:t>]</w:t>
      </w:r>
      <w:r w:rsidRPr="003F267F">
        <w:rPr>
          <w:sz w:val="22"/>
          <w:szCs w:val="22"/>
          <w:lang w:val="sr-Latn-ME"/>
        </w:rPr>
        <w:t>; p = 0</w:t>
      </w:r>
      <w:r w:rsidR="00ED7392" w:rsidRPr="003F267F">
        <w:rPr>
          <w:sz w:val="22"/>
          <w:szCs w:val="22"/>
          <w:lang w:val="sr-Latn-ME"/>
        </w:rPr>
        <w:t>,</w:t>
      </w:r>
      <w:r w:rsidRPr="003F267F">
        <w:rPr>
          <w:sz w:val="22"/>
          <w:szCs w:val="22"/>
          <w:lang w:val="sr-Latn-ME"/>
        </w:rPr>
        <w:t>074).</w:t>
      </w:r>
    </w:p>
    <w:p w14:paraId="7FC0F5EF" w14:textId="77777777" w:rsidR="007B67FA" w:rsidRPr="003F267F" w:rsidRDefault="007B67FA">
      <w:pPr>
        <w:jc w:val="both"/>
        <w:rPr>
          <w:sz w:val="22"/>
          <w:szCs w:val="22"/>
          <w:lang w:val="sr-Latn-ME"/>
        </w:rPr>
      </w:pPr>
    </w:p>
    <w:p w14:paraId="489F43F9" w14:textId="6ECA5E11" w:rsidR="007B67FA" w:rsidRPr="003F267F" w:rsidRDefault="007B67FA">
      <w:pPr>
        <w:jc w:val="both"/>
        <w:rPr>
          <w:sz w:val="22"/>
          <w:szCs w:val="22"/>
          <w:lang w:val="sr-Latn-ME"/>
        </w:rPr>
      </w:pPr>
      <w:r w:rsidRPr="003F267F">
        <w:rPr>
          <w:sz w:val="22"/>
          <w:szCs w:val="22"/>
          <w:lang w:val="sr-Latn-ME"/>
        </w:rPr>
        <w:t xml:space="preserve">** U FIELD studiji, prosječno povećanje vrijednosti homocisteina u krvi kod pacijenata koji su liječeni fenofibratom bilo je 6,5 </w:t>
      </w:r>
      <w:r w:rsidR="00306C24" w:rsidRPr="003F267F">
        <w:rPr>
          <w:sz w:val="22"/>
          <w:szCs w:val="22"/>
          <w:lang w:val="sr-Latn-ME"/>
        </w:rPr>
        <w:t>µmol</w:t>
      </w:r>
      <w:r w:rsidRPr="003F267F">
        <w:rPr>
          <w:sz w:val="22"/>
          <w:szCs w:val="22"/>
          <w:lang w:val="sr-Latn-ME"/>
        </w:rPr>
        <w:t>/</w:t>
      </w:r>
      <w:r w:rsidR="00ED7392" w:rsidRPr="003F267F">
        <w:rPr>
          <w:sz w:val="22"/>
          <w:szCs w:val="22"/>
          <w:lang w:val="sr-Latn-ME"/>
        </w:rPr>
        <w:t>l</w:t>
      </w:r>
      <w:r w:rsidRPr="003F267F">
        <w:rPr>
          <w:sz w:val="22"/>
          <w:szCs w:val="22"/>
          <w:lang w:val="sr-Latn-ME"/>
        </w:rPr>
        <w:t>, i bilo je reverzibilno po prestanku primjene fenofibrata. Povećan rizik od venske tromboze može biti povezan sa povećanim vrijednostima homocisteina. Klinički značaj ovog nalaza nije jasan.</w:t>
      </w:r>
    </w:p>
    <w:p w14:paraId="4E0783B9" w14:textId="77777777" w:rsidR="00B82A4C" w:rsidRPr="003F267F" w:rsidRDefault="00B82A4C">
      <w:pPr>
        <w:jc w:val="both"/>
        <w:rPr>
          <w:rFonts w:eastAsia="Calibri"/>
          <w:sz w:val="22"/>
          <w:szCs w:val="22"/>
          <w:u w:val="single"/>
          <w:lang w:val="sr-Latn-ME"/>
        </w:rPr>
      </w:pPr>
    </w:p>
    <w:p w14:paraId="25F1ED8E" w14:textId="20E692ED" w:rsidR="005A23D2" w:rsidRPr="003F267F" w:rsidRDefault="005A23D2" w:rsidP="00ED7392">
      <w:pPr>
        <w:spacing w:after="200" w:line="276" w:lineRule="auto"/>
        <w:jc w:val="both"/>
        <w:rPr>
          <w:rFonts w:eastAsia="Calibri"/>
          <w:sz w:val="22"/>
          <w:szCs w:val="22"/>
          <w:u w:val="single"/>
          <w:lang w:val="sr-Latn-ME"/>
        </w:rPr>
      </w:pPr>
      <w:r w:rsidRPr="003F267F">
        <w:rPr>
          <w:rFonts w:eastAsia="Calibri"/>
          <w:sz w:val="22"/>
          <w:szCs w:val="22"/>
          <w:u w:val="single"/>
          <w:lang w:val="sr-Latn-ME"/>
        </w:rPr>
        <w:t>Prijavljivanje sumnji na neželjena dejstva</w:t>
      </w:r>
    </w:p>
    <w:p w14:paraId="25F1ED8F" w14:textId="10A02B42" w:rsidR="005A23D2" w:rsidRPr="003F267F" w:rsidRDefault="005A23D2">
      <w:pPr>
        <w:spacing w:after="200"/>
        <w:jc w:val="both"/>
        <w:rPr>
          <w:rFonts w:eastAsia="Calibri"/>
          <w:sz w:val="22"/>
          <w:szCs w:val="22"/>
          <w:lang w:val="sr-Latn-ME"/>
        </w:rPr>
      </w:pPr>
      <w:r w:rsidRPr="003F267F">
        <w:rPr>
          <w:rFonts w:eastAsia="Calibri"/>
          <w:sz w:val="22"/>
          <w:szCs w:val="22"/>
          <w:lang w:val="sr-Latn-ME"/>
        </w:rPr>
        <w:t>Prijavljivanje neželjenih dejstava nakon dobijanja dozvole je od velikog značaja jer obezbjeđuje kont</w:t>
      </w:r>
      <w:r w:rsidR="00EA5765" w:rsidRPr="003F267F">
        <w:rPr>
          <w:rFonts w:eastAsia="Calibri"/>
          <w:sz w:val="22"/>
          <w:szCs w:val="22"/>
          <w:lang w:val="sr-Latn-ME"/>
        </w:rPr>
        <w:t>inuirano praćenje odnosa korist</w:t>
      </w:r>
      <w:r w:rsidRPr="003F267F">
        <w:rPr>
          <w:rFonts w:eastAsia="Calibri"/>
          <w:sz w:val="22"/>
          <w:szCs w:val="22"/>
          <w:lang w:val="sr-Latn-ME"/>
        </w:rPr>
        <w:t>/rizik primjene lijeka. Zdravstveni radnici treba da prijave svaku sumnju na neželjeno</w:t>
      </w:r>
      <w:r w:rsidR="009B062A" w:rsidRPr="003F267F">
        <w:rPr>
          <w:rFonts w:eastAsia="Calibri"/>
          <w:sz w:val="22"/>
          <w:szCs w:val="22"/>
          <w:lang w:val="sr-Latn-ME"/>
        </w:rPr>
        <w:t xml:space="preserve"> </w:t>
      </w:r>
      <w:r w:rsidRPr="003F267F">
        <w:rPr>
          <w:rFonts w:eastAsia="Calibri"/>
          <w:sz w:val="22"/>
          <w:szCs w:val="22"/>
          <w:lang w:val="sr-Latn-ME"/>
        </w:rPr>
        <w:t xml:space="preserve">dejstvo ovog lijeka </w:t>
      </w:r>
      <w:r w:rsidR="00FC3397" w:rsidRPr="003F267F">
        <w:rPr>
          <w:rFonts w:eastAsia="Calibri"/>
          <w:sz w:val="22"/>
          <w:szCs w:val="22"/>
          <w:lang w:val="sr-Latn-ME"/>
        </w:rPr>
        <w:t>Institutu</w:t>
      </w:r>
      <w:r w:rsidRPr="003F267F">
        <w:rPr>
          <w:rFonts w:eastAsia="Calibri"/>
          <w:sz w:val="22"/>
          <w:szCs w:val="22"/>
          <w:lang w:val="sr-Latn-ME"/>
        </w:rPr>
        <w:t xml:space="preserve"> za ljekove i medicinska sredstva Crne Gore (C</w:t>
      </w:r>
      <w:r w:rsidR="00FC3397" w:rsidRPr="003F267F">
        <w:rPr>
          <w:rFonts w:eastAsia="Calibri"/>
          <w:sz w:val="22"/>
          <w:szCs w:val="22"/>
          <w:lang w:val="sr-Latn-ME"/>
        </w:rPr>
        <w:t>InMED)</w:t>
      </w:r>
      <w:r w:rsidRPr="003F267F">
        <w:rPr>
          <w:rFonts w:eastAsia="Calibri"/>
          <w:sz w:val="22"/>
          <w:szCs w:val="22"/>
          <w:lang w:val="sr-Latn-ME"/>
        </w:rPr>
        <w:t>:</w:t>
      </w:r>
    </w:p>
    <w:p w14:paraId="25F1ED90" w14:textId="63D1F43E" w:rsidR="005A23D2" w:rsidRPr="003F267F" w:rsidRDefault="00FC3397">
      <w:pPr>
        <w:pStyle w:val="NoSpacing"/>
        <w:jc w:val="both"/>
        <w:rPr>
          <w:rFonts w:eastAsia="Calibri"/>
          <w:sz w:val="22"/>
          <w:szCs w:val="22"/>
          <w:lang w:val="sr-Latn-ME"/>
        </w:rPr>
      </w:pPr>
      <w:r w:rsidRPr="003F267F">
        <w:rPr>
          <w:rFonts w:eastAsia="Calibri"/>
          <w:sz w:val="22"/>
          <w:szCs w:val="22"/>
          <w:lang w:val="sr-Latn-ME"/>
        </w:rPr>
        <w:t>Institut</w:t>
      </w:r>
      <w:r w:rsidR="005A23D2" w:rsidRPr="003F267F">
        <w:rPr>
          <w:rFonts w:eastAsia="Calibri"/>
          <w:sz w:val="22"/>
          <w:szCs w:val="22"/>
          <w:lang w:val="sr-Latn-ME"/>
        </w:rPr>
        <w:t xml:space="preserve"> za ljekove i medicinska sredstva Crne Gore</w:t>
      </w:r>
    </w:p>
    <w:p w14:paraId="25F1ED91" w14:textId="77777777" w:rsidR="005A23D2" w:rsidRPr="003F267F" w:rsidRDefault="005A23D2">
      <w:pPr>
        <w:pStyle w:val="NoSpacing"/>
        <w:jc w:val="both"/>
        <w:rPr>
          <w:rFonts w:eastAsia="Calibri"/>
          <w:sz w:val="22"/>
          <w:szCs w:val="22"/>
          <w:lang w:val="sr-Latn-ME"/>
        </w:rPr>
      </w:pPr>
      <w:r w:rsidRPr="003F267F">
        <w:rPr>
          <w:rFonts w:eastAsia="Calibri"/>
          <w:sz w:val="22"/>
          <w:szCs w:val="22"/>
          <w:lang w:val="sr-Latn-ME"/>
        </w:rPr>
        <w:t>Odjeljenje za farmakovigilancu</w:t>
      </w:r>
    </w:p>
    <w:p w14:paraId="25F1ED92" w14:textId="77777777" w:rsidR="00EA5765" w:rsidRPr="003F267F" w:rsidRDefault="005A23D2">
      <w:pPr>
        <w:pStyle w:val="NoSpacing"/>
        <w:jc w:val="both"/>
        <w:rPr>
          <w:rFonts w:eastAsia="Calibri"/>
          <w:sz w:val="22"/>
          <w:szCs w:val="22"/>
          <w:lang w:val="sr-Latn-ME"/>
        </w:rPr>
      </w:pPr>
      <w:r w:rsidRPr="003F267F">
        <w:rPr>
          <w:rFonts w:eastAsia="Calibri"/>
          <w:sz w:val="22"/>
          <w:szCs w:val="22"/>
          <w:lang w:val="sr-Latn-ME"/>
        </w:rPr>
        <w:t>Bulevar Ivana Crnojevića 64a, 81000 Podgorica</w:t>
      </w:r>
    </w:p>
    <w:p w14:paraId="25F1ED93" w14:textId="77777777" w:rsidR="00EA5765" w:rsidRPr="003F267F" w:rsidRDefault="00EA5765" w:rsidP="00ED7392">
      <w:pPr>
        <w:pStyle w:val="NoSpacing"/>
        <w:jc w:val="both"/>
        <w:rPr>
          <w:rFonts w:eastAsia="Calibri"/>
          <w:sz w:val="22"/>
          <w:szCs w:val="22"/>
          <w:lang w:val="sr-Latn-ME"/>
        </w:rPr>
      </w:pPr>
    </w:p>
    <w:p w14:paraId="25F1ED94" w14:textId="77777777" w:rsidR="005A23D2" w:rsidRPr="003F267F" w:rsidRDefault="005A23D2">
      <w:pPr>
        <w:pStyle w:val="NoSpacing"/>
        <w:jc w:val="both"/>
        <w:rPr>
          <w:rFonts w:eastAsia="Calibri"/>
          <w:sz w:val="22"/>
          <w:szCs w:val="22"/>
          <w:lang w:val="sr-Latn-ME"/>
        </w:rPr>
      </w:pPr>
      <w:r w:rsidRPr="003F267F">
        <w:rPr>
          <w:rFonts w:eastAsia="Calibri"/>
          <w:sz w:val="22"/>
          <w:szCs w:val="22"/>
          <w:lang w:val="sr-Latn-ME"/>
        </w:rPr>
        <w:t>tel: +382 (0) 20 310 280</w:t>
      </w:r>
    </w:p>
    <w:p w14:paraId="25F1ED95" w14:textId="77777777" w:rsidR="00EA5765" w:rsidRPr="003F267F" w:rsidRDefault="005A23D2">
      <w:pPr>
        <w:pStyle w:val="NoSpacing"/>
        <w:jc w:val="both"/>
        <w:rPr>
          <w:rFonts w:eastAsia="Calibri"/>
          <w:sz w:val="22"/>
          <w:szCs w:val="22"/>
          <w:lang w:val="sr-Latn-ME"/>
        </w:rPr>
      </w:pPr>
      <w:r w:rsidRPr="003F267F">
        <w:rPr>
          <w:rFonts w:eastAsia="Calibri"/>
          <w:sz w:val="22"/>
          <w:szCs w:val="22"/>
          <w:lang w:val="sr-Latn-ME"/>
        </w:rPr>
        <w:t>fax:</w:t>
      </w:r>
      <w:r w:rsidR="00EA5765" w:rsidRPr="003F267F">
        <w:rPr>
          <w:rFonts w:eastAsia="Calibri"/>
          <w:sz w:val="22"/>
          <w:szCs w:val="22"/>
          <w:lang w:val="sr-Latn-ME"/>
        </w:rPr>
        <w:t xml:space="preserve"> </w:t>
      </w:r>
      <w:r w:rsidRPr="003F267F">
        <w:rPr>
          <w:rFonts w:eastAsia="Calibri"/>
          <w:sz w:val="22"/>
          <w:szCs w:val="22"/>
          <w:lang w:val="sr-Latn-ME"/>
        </w:rPr>
        <w:t>+382 (0) 20 310 581</w:t>
      </w:r>
    </w:p>
    <w:p w14:paraId="25F1ED96" w14:textId="1CBE5EF2" w:rsidR="005A23D2" w:rsidRPr="003F267F" w:rsidRDefault="009D436C">
      <w:pPr>
        <w:pStyle w:val="NoSpacing"/>
        <w:jc w:val="both"/>
        <w:rPr>
          <w:rFonts w:eastAsia="Calibri"/>
          <w:sz w:val="22"/>
          <w:szCs w:val="22"/>
          <w:lang w:val="sr-Latn-ME"/>
        </w:rPr>
      </w:pPr>
      <w:hyperlink r:id="rId8" w:history="1">
        <w:r w:rsidR="00FC3397" w:rsidRPr="003F267F">
          <w:rPr>
            <w:rStyle w:val="Hyperlink"/>
            <w:rFonts w:eastAsia="Calibri"/>
            <w:sz w:val="22"/>
            <w:szCs w:val="22"/>
            <w:lang w:val="sr-Latn-ME"/>
          </w:rPr>
          <w:t>www.cinmed.me</w:t>
        </w:r>
      </w:hyperlink>
    </w:p>
    <w:p w14:paraId="25F1ED97" w14:textId="1A4452E8" w:rsidR="00EA5765" w:rsidRPr="003F267F" w:rsidRDefault="009D436C">
      <w:pPr>
        <w:pStyle w:val="NoSpacing"/>
        <w:jc w:val="both"/>
        <w:rPr>
          <w:rFonts w:eastAsia="Calibri"/>
          <w:color w:val="0000FF"/>
          <w:sz w:val="22"/>
          <w:szCs w:val="22"/>
          <w:u w:val="single"/>
          <w:lang w:val="sr-Latn-ME"/>
        </w:rPr>
      </w:pPr>
      <w:hyperlink r:id="rId9" w:history="1">
        <w:r w:rsidR="00FC3397" w:rsidRPr="003F267F">
          <w:rPr>
            <w:rStyle w:val="Hyperlink"/>
            <w:rFonts w:eastAsia="Calibri"/>
            <w:sz w:val="22"/>
            <w:szCs w:val="22"/>
            <w:lang w:val="sr-Latn-ME"/>
          </w:rPr>
          <w:t>nezeljenadejstva@cinmed.me</w:t>
        </w:r>
      </w:hyperlink>
    </w:p>
    <w:p w14:paraId="25F1ED98" w14:textId="76FB5A7F" w:rsidR="005A23D2" w:rsidRPr="003F267F" w:rsidRDefault="005A23D2">
      <w:pPr>
        <w:pStyle w:val="NoSpacing"/>
        <w:jc w:val="both"/>
        <w:rPr>
          <w:rFonts w:eastAsia="Calibri"/>
          <w:sz w:val="22"/>
          <w:szCs w:val="22"/>
          <w:lang w:val="sr-Latn-ME"/>
        </w:rPr>
      </w:pPr>
      <w:r w:rsidRPr="003F267F">
        <w:rPr>
          <w:rFonts w:eastAsia="Calibri"/>
          <w:sz w:val="22"/>
          <w:szCs w:val="22"/>
          <w:lang w:val="sr-Latn-ME"/>
        </w:rPr>
        <w:t>putem IS zdravstvene zaštite</w:t>
      </w:r>
    </w:p>
    <w:p w14:paraId="440FD0BA" w14:textId="77777777" w:rsidR="00F9477F" w:rsidRPr="003F267F" w:rsidRDefault="00F9477F" w:rsidP="00F9477F">
      <w:pPr>
        <w:rPr>
          <w:sz w:val="22"/>
          <w:szCs w:val="22"/>
          <w:lang w:val="sr-Latn-ME"/>
        </w:rPr>
      </w:pPr>
      <w:r w:rsidRPr="003F267F">
        <w:rPr>
          <w:sz w:val="22"/>
          <w:szCs w:val="22"/>
          <w:lang w:val="sr-Latn-ME"/>
        </w:rPr>
        <w:t>QR kod za online prijavu sumnje na neželjeno dejstvo lijeka:</w:t>
      </w:r>
    </w:p>
    <w:p w14:paraId="23CBB03A" w14:textId="2C483747" w:rsidR="00F96D47" w:rsidRPr="003F267F" w:rsidRDefault="00F96D47">
      <w:pPr>
        <w:pStyle w:val="NoSpacing"/>
        <w:jc w:val="both"/>
        <w:rPr>
          <w:rFonts w:eastAsia="Calibri"/>
          <w:sz w:val="22"/>
          <w:szCs w:val="22"/>
          <w:lang w:val="sr-Latn-ME"/>
        </w:rPr>
      </w:pPr>
    </w:p>
    <w:p w14:paraId="697D7B67" w14:textId="339C50B4" w:rsidR="00F96D47" w:rsidRPr="003F267F" w:rsidRDefault="00F96D47">
      <w:pPr>
        <w:pStyle w:val="NoSpacing"/>
        <w:jc w:val="both"/>
        <w:rPr>
          <w:rFonts w:eastAsia="Calibri"/>
          <w:sz w:val="22"/>
          <w:szCs w:val="22"/>
          <w:lang w:val="sr-Latn-ME"/>
        </w:rPr>
      </w:pPr>
      <w:r w:rsidRPr="003F267F">
        <w:rPr>
          <w:noProof/>
        </w:rPr>
        <w:drawing>
          <wp:inline distT="0" distB="0" distL="0" distR="0" wp14:anchorId="0ED0D093" wp14:editId="7BDE604E">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0"/>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5F1ED99" w14:textId="77777777" w:rsidR="00836B35" w:rsidRPr="003F267F" w:rsidRDefault="00836B35" w:rsidP="00ED7392">
      <w:pPr>
        <w:tabs>
          <w:tab w:val="left" w:pos="540"/>
          <w:tab w:val="left" w:pos="569"/>
        </w:tabs>
        <w:jc w:val="both"/>
        <w:rPr>
          <w:b/>
          <w:bCs/>
          <w:sz w:val="22"/>
          <w:szCs w:val="22"/>
          <w:lang w:val="sr-Latn-ME"/>
        </w:rPr>
      </w:pPr>
    </w:p>
    <w:p w14:paraId="25F1ED9A" w14:textId="77777777" w:rsidR="00CD6F02" w:rsidRPr="003F267F" w:rsidRDefault="0072020E" w:rsidP="00ED7392">
      <w:pPr>
        <w:tabs>
          <w:tab w:val="left" w:pos="540"/>
          <w:tab w:val="left" w:pos="569"/>
        </w:tabs>
        <w:jc w:val="both"/>
        <w:rPr>
          <w:b/>
          <w:bCs/>
          <w:sz w:val="22"/>
          <w:szCs w:val="22"/>
          <w:lang w:val="sr-Latn-ME"/>
        </w:rPr>
      </w:pPr>
      <w:r w:rsidRPr="003F267F">
        <w:rPr>
          <w:b/>
          <w:bCs/>
          <w:sz w:val="22"/>
          <w:szCs w:val="22"/>
          <w:lang w:val="sr-Latn-ME"/>
        </w:rPr>
        <w:t xml:space="preserve">4.9. </w:t>
      </w:r>
      <w:r w:rsidR="00480FB1" w:rsidRPr="003F267F">
        <w:rPr>
          <w:b/>
          <w:bCs/>
          <w:sz w:val="22"/>
          <w:szCs w:val="22"/>
          <w:lang w:val="sr-Latn-ME"/>
        </w:rPr>
        <w:tab/>
      </w:r>
      <w:r w:rsidRPr="003F267F">
        <w:rPr>
          <w:b/>
          <w:bCs/>
          <w:sz w:val="22"/>
          <w:szCs w:val="22"/>
          <w:lang w:val="sr-Latn-ME"/>
        </w:rPr>
        <w:t>Predoziranje</w:t>
      </w:r>
      <w:r w:rsidR="002846DB" w:rsidRPr="003F267F">
        <w:rPr>
          <w:b/>
          <w:bCs/>
          <w:sz w:val="22"/>
          <w:szCs w:val="22"/>
          <w:lang w:val="sr-Latn-ME"/>
        </w:rPr>
        <w:t xml:space="preserve"> </w:t>
      </w:r>
    </w:p>
    <w:p w14:paraId="25F1ED9B" w14:textId="77777777" w:rsidR="00CD6F02" w:rsidRPr="003F267F" w:rsidRDefault="00CD6F02" w:rsidP="00ED7392">
      <w:pPr>
        <w:tabs>
          <w:tab w:val="left" w:pos="540"/>
          <w:tab w:val="left" w:pos="569"/>
        </w:tabs>
        <w:jc w:val="both"/>
        <w:rPr>
          <w:b/>
          <w:bCs/>
          <w:sz w:val="22"/>
          <w:szCs w:val="22"/>
          <w:lang w:val="sr-Latn-ME"/>
        </w:rPr>
      </w:pPr>
    </w:p>
    <w:p w14:paraId="02429EDF" w14:textId="77777777" w:rsidR="00007FB4" w:rsidRPr="003F267F" w:rsidRDefault="00007FB4">
      <w:pPr>
        <w:jc w:val="both"/>
        <w:rPr>
          <w:sz w:val="22"/>
          <w:szCs w:val="22"/>
          <w:lang w:val="sr-Latn-ME"/>
        </w:rPr>
      </w:pPr>
      <w:r w:rsidRPr="003F267F">
        <w:rPr>
          <w:bCs/>
          <w:iCs/>
          <w:sz w:val="22"/>
          <w:szCs w:val="22"/>
          <w:lang w:val="sr-Latn-ME"/>
        </w:rPr>
        <w:t>Opisani su sporadični slučajevi predoziranja fenofibratom.</w:t>
      </w:r>
      <w:r w:rsidRPr="003F267F">
        <w:rPr>
          <w:sz w:val="22"/>
          <w:szCs w:val="22"/>
          <w:lang w:val="sr-Latn-ME"/>
        </w:rPr>
        <w:t xml:space="preserve"> U većini slučajeva nije bilo simptoma predoziranja.</w:t>
      </w:r>
    </w:p>
    <w:p w14:paraId="50D585FC" w14:textId="54F7CD35" w:rsidR="00007FB4" w:rsidRPr="003F267F" w:rsidRDefault="00007FB4">
      <w:pPr>
        <w:pStyle w:val="Header"/>
        <w:tabs>
          <w:tab w:val="left" w:pos="284"/>
        </w:tabs>
        <w:jc w:val="both"/>
        <w:rPr>
          <w:sz w:val="22"/>
          <w:szCs w:val="22"/>
          <w:lang w:val="sr-Latn-ME"/>
        </w:rPr>
      </w:pPr>
      <w:r w:rsidRPr="003F267F">
        <w:rPr>
          <w:sz w:val="22"/>
          <w:szCs w:val="22"/>
          <w:lang w:val="sr-Latn-ME"/>
        </w:rPr>
        <w:t>Nije poznat specifičan antidot. Ukoliko se posumnja na predoziranje fenofibratom, pacijenta treba liječiti simptomatski i preduzeti odgovarajuće suportivne mjere. Fenofibrat se ne može eliminisati hemodijalizom.</w:t>
      </w:r>
    </w:p>
    <w:p w14:paraId="25F1ED9C" w14:textId="6AD53FF6" w:rsidR="00227BDB" w:rsidRPr="003F267F" w:rsidRDefault="00227BDB" w:rsidP="00ED7392">
      <w:pPr>
        <w:tabs>
          <w:tab w:val="left" w:pos="540"/>
          <w:tab w:val="left" w:pos="569"/>
        </w:tabs>
        <w:jc w:val="both"/>
        <w:rPr>
          <w:b/>
          <w:bCs/>
          <w:sz w:val="22"/>
          <w:szCs w:val="22"/>
          <w:lang w:val="sr-Latn-ME"/>
        </w:rPr>
      </w:pPr>
    </w:p>
    <w:p w14:paraId="1203BD6D" w14:textId="77777777" w:rsidR="00FC3397" w:rsidRPr="003F267F" w:rsidRDefault="00FC3397" w:rsidP="00ED7392">
      <w:pPr>
        <w:tabs>
          <w:tab w:val="left" w:pos="540"/>
          <w:tab w:val="left" w:pos="569"/>
        </w:tabs>
        <w:jc w:val="both"/>
        <w:rPr>
          <w:b/>
          <w:bCs/>
          <w:sz w:val="22"/>
          <w:szCs w:val="22"/>
          <w:lang w:val="sr-Latn-ME"/>
        </w:rPr>
      </w:pPr>
    </w:p>
    <w:p w14:paraId="25F1ED9D" w14:textId="77777777" w:rsidR="0072020E" w:rsidRPr="003F267F" w:rsidRDefault="0072020E" w:rsidP="00ED7392">
      <w:pPr>
        <w:tabs>
          <w:tab w:val="left" w:pos="540"/>
          <w:tab w:val="left" w:pos="569"/>
        </w:tabs>
        <w:jc w:val="both"/>
        <w:rPr>
          <w:b/>
          <w:bCs/>
          <w:sz w:val="22"/>
          <w:szCs w:val="22"/>
          <w:lang w:val="sr-Latn-ME"/>
        </w:rPr>
      </w:pPr>
      <w:r w:rsidRPr="003F267F">
        <w:rPr>
          <w:b/>
          <w:bCs/>
          <w:sz w:val="22"/>
          <w:szCs w:val="22"/>
          <w:lang w:val="sr-Latn-ME"/>
        </w:rPr>
        <w:t xml:space="preserve">5. </w:t>
      </w:r>
      <w:r w:rsidR="00480FB1" w:rsidRPr="003F267F">
        <w:rPr>
          <w:b/>
          <w:bCs/>
          <w:sz w:val="22"/>
          <w:szCs w:val="22"/>
          <w:lang w:val="sr-Latn-ME"/>
        </w:rPr>
        <w:tab/>
      </w:r>
      <w:r w:rsidRPr="003F267F">
        <w:rPr>
          <w:b/>
          <w:bCs/>
          <w:sz w:val="22"/>
          <w:szCs w:val="22"/>
          <w:lang w:val="sr-Latn-ME"/>
        </w:rPr>
        <w:t>FARMAKOLOŠK</w:t>
      </w:r>
      <w:r w:rsidR="000D425A" w:rsidRPr="003F267F">
        <w:rPr>
          <w:b/>
          <w:bCs/>
          <w:sz w:val="22"/>
          <w:szCs w:val="22"/>
          <w:lang w:val="sr-Latn-ME"/>
        </w:rPr>
        <w:t>I</w:t>
      </w:r>
      <w:r w:rsidRPr="003F267F">
        <w:rPr>
          <w:b/>
          <w:bCs/>
          <w:sz w:val="22"/>
          <w:szCs w:val="22"/>
          <w:lang w:val="sr-Latn-ME"/>
        </w:rPr>
        <w:t xml:space="preserve"> PODACI</w:t>
      </w:r>
    </w:p>
    <w:p w14:paraId="25F1ED9E" w14:textId="77777777" w:rsidR="0072020E" w:rsidRPr="003F267F" w:rsidRDefault="0072020E" w:rsidP="00ED7392">
      <w:pPr>
        <w:tabs>
          <w:tab w:val="left" w:pos="540"/>
          <w:tab w:val="left" w:pos="569"/>
        </w:tabs>
        <w:jc w:val="both"/>
        <w:rPr>
          <w:b/>
          <w:bCs/>
          <w:sz w:val="22"/>
          <w:szCs w:val="22"/>
          <w:lang w:val="sr-Latn-ME"/>
        </w:rPr>
      </w:pPr>
    </w:p>
    <w:p w14:paraId="25F1ED9F" w14:textId="77777777" w:rsidR="0072020E" w:rsidRPr="003F267F" w:rsidRDefault="0072020E" w:rsidP="00ED7392">
      <w:pPr>
        <w:tabs>
          <w:tab w:val="left" w:pos="540"/>
          <w:tab w:val="left" w:pos="569"/>
        </w:tabs>
        <w:jc w:val="both"/>
        <w:rPr>
          <w:b/>
          <w:bCs/>
          <w:sz w:val="22"/>
          <w:szCs w:val="22"/>
          <w:lang w:val="sr-Latn-ME"/>
        </w:rPr>
      </w:pPr>
      <w:r w:rsidRPr="003F267F">
        <w:rPr>
          <w:b/>
          <w:bCs/>
          <w:sz w:val="22"/>
          <w:szCs w:val="22"/>
          <w:lang w:val="sr-Latn-ME"/>
        </w:rPr>
        <w:t xml:space="preserve">5.1. </w:t>
      </w:r>
      <w:r w:rsidR="00480FB1" w:rsidRPr="003F267F">
        <w:rPr>
          <w:b/>
          <w:bCs/>
          <w:sz w:val="22"/>
          <w:szCs w:val="22"/>
          <w:lang w:val="sr-Latn-ME"/>
        </w:rPr>
        <w:tab/>
      </w:r>
      <w:r w:rsidRPr="003F267F">
        <w:rPr>
          <w:b/>
          <w:bCs/>
          <w:sz w:val="22"/>
          <w:szCs w:val="22"/>
          <w:lang w:val="sr-Latn-ME"/>
        </w:rPr>
        <w:t>Farmakodinamski podaci</w:t>
      </w:r>
      <w:r w:rsidR="003A7059" w:rsidRPr="003F267F">
        <w:rPr>
          <w:b/>
          <w:bCs/>
          <w:sz w:val="22"/>
          <w:szCs w:val="22"/>
          <w:lang w:val="sr-Latn-ME"/>
        </w:rPr>
        <w:t xml:space="preserve"> </w:t>
      </w:r>
    </w:p>
    <w:p w14:paraId="25F1EDA0" w14:textId="77777777" w:rsidR="00F45F77" w:rsidRPr="003F267F" w:rsidRDefault="00F45F77" w:rsidP="00ED7392">
      <w:pPr>
        <w:tabs>
          <w:tab w:val="left" w:pos="540"/>
          <w:tab w:val="left" w:pos="569"/>
        </w:tabs>
        <w:jc w:val="both"/>
        <w:rPr>
          <w:b/>
          <w:bCs/>
          <w:sz w:val="22"/>
          <w:szCs w:val="22"/>
          <w:lang w:val="sr-Latn-ME"/>
        </w:rPr>
      </w:pPr>
    </w:p>
    <w:p w14:paraId="25F1EDA1" w14:textId="41884837" w:rsidR="0072020E" w:rsidRPr="003F267F" w:rsidRDefault="0072020E" w:rsidP="00ED7392">
      <w:pPr>
        <w:tabs>
          <w:tab w:val="left" w:pos="540"/>
          <w:tab w:val="left" w:pos="569"/>
        </w:tabs>
        <w:jc w:val="both"/>
        <w:rPr>
          <w:bCs/>
          <w:sz w:val="22"/>
          <w:szCs w:val="22"/>
          <w:lang w:val="sr-Latn-ME"/>
        </w:rPr>
      </w:pPr>
      <w:r w:rsidRPr="003F267F">
        <w:rPr>
          <w:bCs/>
          <w:sz w:val="22"/>
          <w:szCs w:val="22"/>
          <w:lang w:val="sr-Latn-ME"/>
        </w:rPr>
        <w:t>Farmakoterapijska grupa:</w:t>
      </w:r>
      <w:r w:rsidR="00377450" w:rsidRPr="003F267F">
        <w:rPr>
          <w:bCs/>
          <w:sz w:val="22"/>
          <w:szCs w:val="22"/>
          <w:lang w:val="sr-Latn-ME"/>
        </w:rPr>
        <w:t xml:space="preserve"> Sredstva koja smanjuju lipide u serumu (hipolipemici); Ljekovi koji smanjuju nivo vrijednosti holesterola i triglicerida; </w:t>
      </w:r>
      <w:r w:rsidR="00377450" w:rsidRPr="003F267F">
        <w:rPr>
          <w:sz w:val="22"/>
          <w:szCs w:val="22"/>
          <w:lang w:val="sr-Latn-ME"/>
        </w:rPr>
        <w:t>Fibrati</w:t>
      </w:r>
    </w:p>
    <w:p w14:paraId="25F1EDA2" w14:textId="77777777" w:rsidR="0072020E" w:rsidRPr="003F267F" w:rsidRDefault="0072020E" w:rsidP="00ED7392">
      <w:pPr>
        <w:tabs>
          <w:tab w:val="left" w:pos="540"/>
          <w:tab w:val="left" w:pos="569"/>
        </w:tabs>
        <w:jc w:val="both"/>
        <w:rPr>
          <w:bCs/>
          <w:sz w:val="22"/>
          <w:szCs w:val="22"/>
          <w:lang w:val="sr-Latn-ME"/>
        </w:rPr>
      </w:pPr>
    </w:p>
    <w:p w14:paraId="25F1EDA3" w14:textId="1264F00F" w:rsidR="0072020E" w:rsidRPr="003F267F" w:rsidRDefault="0072020E" w:rsidP="00ED7392">
      <w:pPr>
        <w:tabs>
          <w:tab w:val="left" w:pos="540"/>
          <w:tab w:val="left" w:pos="569"/>
        </w:tabs>
        <w:jc w:val="both"/>
        <w:rPr>
          <w:bCs/>
          <w:sz w:val="22"/>
          <w:szCs w:val="22"/>
          <w:lang w:val="sr-Latn-ME"/>
        </w:rPr>
      </w:pPr>
      <w:r w:rsidRPr="003F267F">
        <w:rPr>
          <w:bCs/>
          <w:sz w:val="22"/>
          <w:szCs w:val="22"/>
          <w:lang w:val="sr-Latn-ME"/>
        </w:rPr>
        <w:t>ATC kod:</w:t>
      </w:r>
      <w:r w:rsidR="00294E75" w:rsidRPr="003F267F">
        <w:rPr>
          <w:sz w:val="22"/>
          <w:szCs w:val="22"/>
          <w:lang w:val="sr-Latn-ME"/>
        </w:rPr>
        <w:t xml:space="preserve"> C10AB05</w:t>
      </w:r>
    </w:p>
    <w:p w14:paraId="25F1EDA4" w14:textId="2A56F499" w:rsidR="002E37A5" w:rsidRPr="003F267F" w:rsidRDefault="002E37A5" w:rsidP="00ED7392">
      <w:pPr>
        <w:tabs>
          <w:tab w:val="left" w:pos="540"/>
          <w:tab w:val="left" w:pos="569"/>
        </w:tabs>
        <w:jc w:val="both"/>
        <w:rPr>
          <w:b/>
          <w:bCs/>
          <w:sz w:val="22"/>
          <w:szCs w:val="22"/>
          <w:lang w:val="sr-Latn-ME"/>
        </w:rPr>
      </w:pPr>
    </w:p>
    <w:p w14:paraId="3F24AD0B" w14:textId="5B207BB4" w:rsidR="009A0E35" w:rsidRPr="003F267F" w:rsidRDefault="009A0E35">
      <w:pPr>
        <w:tabs>
          <w:tab w:val="center" w:pos="4536"/>
          <w:tab w:val="right" w:pos="9072"/>
        </w:tabs>
        <w:jc w:val="both"/>
        <w:rPr>
          <w:sz w:val="22"/>
          <w:szCs w:val="22"/>
          <w:lang w:val="sr-Latn-ME"/>
        </w:rPr>
      </w:pPr>
      <w:r w:rsidRPr="003F267F">
        <w:rPr>
          <w:sz w:val="22"/>
          <w:szCs w:val="22"/>
          <w:lang w:val="sr-Latn-ME"/>
        </w:rPr>
        <w:t>Fenofibrat je derivat fibrinske kisjeline čiji su efekti izmjene lipidnog statusa prijavljeni kod ljudi posredovani aktivacijom peroksizomalnog proliferativnog aktivirajućeg receptora tipa alfa (PPARα).</w:t>
      </w:r>
    </w:p>
    <w:p w14:paraId="7D0F44D3" w14:textId="2F87D396" w:rsidR="009A0E35" w:rsidRPr="003F267F" w:rsidRDefault="009A0E35">
      <w:pPr>
        <w:pStyle w:val="Header"/>
        <w:jc w:val="both"/>
        <w:rPr>
          <w:sz w:val="22"/>
          <w:szCs w:val="22"/>
          <w:lang w:val="sr-Latn-ME"/>
        </w:rPr>
      </w:pPr>
    </w:p>
    <w:p w14:paraId="4DD05DF2" w14:textId="40FD8E33" w:rsidR="009A0E35" w:rsidRPr="003F267F" w:rsidRDefault="009A0E35">
      <w:pPr>
        <w:pStyle w:val="Header"/>
        <w:jc w:val="both"/>
        <w:rPr>
          <w:sz w:val="22"/>
          <w:szCs w:val="22"/>
          <w:lang w:val="sr-Latn-ME"/>
        </w:rPr>
      </w:pPr>
      <w:r w:rsidRPr="003F267F">
        <w:rPr>
          <w:sz w:val="22"/>
          <w:szCs w:val="22"/>
          <w:lang w:val="sr-Latn-ME"/>
        </w:rPr>
        <w:lastRenderedPageBreak/>
        <w:t>Aktivacijom PPARα, fenofibrat povećava lipolizu i eliminaciju aterogenih čestica bogatih trigliceridima iz plazme aktivacijom lipoproteinske lipaze i smanjenjem produkcije apoproteina CIII. Aktivacija PPARα takođe indukuje povećanje sinteze apoproteina AI i AII.</w:t>
      </w:r>
    </w:p>
    <w:p w14:paraId="4DB0DA2A" w14:textId="77777777" w:rsidR="009A0E35" w:rsidRPr="003F267F" w:rsidRDefault="009A0E35">
      <w:pPr>
        <w:pStyle w:val="Header"/>
        <w:jc w:val="both"/>
        <w:rPr>
          <w:sz w:val="22"/>
          <w:szCs w:val="22"/>
          <w:lang w:val="sr-Latn-ME"/>
        </w:rPr>
      </w:pPr>
    </w:p>
    <w:p w14:paraId="14AE6184" w14:textId="4AA77B20" w:rsidR="009A0E35" w:rsidRPr="003F267F" w:rsidRDefault="009A0E35">
      <w:pPr>
        <w:pStyle w:val="Header"/>
        <w:jc w:val="both"/>
        <w:rPr>
          <w:sz w:val="22"/>
          <w:szCs w:val="22"/>
          <w:lang w:val="sr-Latn-ME"/>
        </w:rPr>
      </w:pPr>
      <w:r w:rsidRPr="003F267F">
        <w:rPr>
          <w:sz w:val="22"/>
          <w:szCs w:val="22"/>
          <w:lang w:val="sr-Latn-ME"/>
        </w:rPr>
        <w:t>Navedeni efekti fenofibrata na lipoproteine vode ka smanjenu frakcija sa veoma malom i malom gustinom lipoproteina (VLDL i LDL), koju čini apoprotein B, i povećanju frakcija sa velikom gustinom lipoproteina (HDL), koja se sastoji iz apoproteina AI i AII.</w:t>
      </w:r>
    </w:p>
    <w:p w14:paraId="00DFB9C8" w14:textId="77777777" w:rsidR="009A0E35" w:rsidRPr="003F267F" w:rsidRDefault="009A0E35">
      <w:pPr>
        <w:pStyle w:val="Header"/>
        <w:jc w:val="both"/>
        <w:rPr>
          <w:sz w:val="22"/>
          <w:szCs w:val="22"/>
          <w:lang w:val="sr-Latn-ME"/>
        </w:rPr>
      </w:pPr>
    </w:p>
    <w:p w14:paraId="21E6E34F" w14:textId="7F7B214A" w:rsidR="009A0E35" w:rsidRPr="003F267F" w:rsidRDefault="009A0E35">
      <w:pPr>
        <w:pStyle w:val="Header"/>
        <w:jc w:val="both"/>
        <w:rPr>
          <w:sz w:val="22"/>
          <w:szCs w:val="22"/>
          <w:lang w:val="sr-Latn-ME"/>
        </w:rPr>
      </w:pPr>
      <w:r w:rsidRPr="003F267F">
        <w:rPr>
          <w:sz w:val="22"/>
          <w:szCs w:val="22"/>
          <w:lang w:val="sr-Latn-ME"/>
        </w:rPr>
        <w:t>Dodatno, kroz modulaciju sinteze i katabolizma VLDL frakcije, fenofibrat povećava LDL klirens i smanjuje LDL frakciju male gustine, čije vrijednosti su povišene u aterogeno lipoproteinskom fenotipu, što je čest poremećaj kod pacijenata sa rizikom od</w:t>
      </w:r>
      <w:r w:rsidR="001E1D1A" w:rsidRPr="003F267F">
        <w:rPr>
          <w:sz w:val="22"/>
          <w:szCs w:val="22"/>
          <w:lang w:val="sr-Latn-ME"/>
        </w:rPr>
        <w:t xml:space="preserve"> </w:t>
      </w:r>
      <w:r w:rsidRPr="003F267F">
        <w:rPr>
          <w:sz w:val="22"/>
          <w:szCs w:val="22"/>
          <w:lang w:val="sr-Latn-ME"/>
        </w:rPr>
        <w:t>koronarne bolesti srca.</w:t>
      </w:r>
    </w:p>
    <w:p w14:paraId="31AB0346" w14:textId="77777777" w:rsidR="009A0E35" w:rsidRPr="003F267F" w:rsidRDefault="009A0E35">
      <w:pPr>
        <w:pStyle w:val="Header"/>
        <w:jc w:val="both"/>
        <w:rPr>
          <w:sz w:val="22"/>
          <w:szCs w:val="22"/>
          <w:lang w:val="sr-Latn-ME"/>
        </w:rPr>
      </w:pPr>
    </w:p>
    <w:p w14:paraId="08A974E7" w14:textId="5B4E8ECE" w:rsidR="009A0E35" w:rsidRPr="003F267F" w:rsidRDefault="009A0E35">
      <w:pPr>
        <w:pStyle w:val="Header"/>
        <w:jc w:val="both"/>
        <w:rPr>
          <w:sz w:val="22"/>
          <w:szCs w:val="22"/>
          <w:lang w:val="sr-Latn-ME"/>
        </w:rPr>
      </w:pPr>
      <w:r w:rsidRPr="003F267F">
        <w:rPr>
          <w:sz w:val="22"/>
          <w:szCs w:val="22"/>
          <w:lang w:val="sr-Latn-ME"/>
        </w:rPr>
        <w:t>Kliničke studije sa fenofibratom su pokazale smanjenje ukupnog holesterola za 20-25%, triglicerida za 40 do</w:t>
      </w:r>
      <w:r w:rsidR="00B2237C" w:rsidRPr="003F267F">
        <w:rPr>
          <w:sz w:val="22"/>
          <w:szCs w:val="22"/>
          <w:lang w:val="sr-Latn-ME"/>
        </w:rPr>
        <w:t xml:space="preserve"> </w:t>
      </w:r>
      <w:r w:rsidRPr="003F267F">
        <w:rPr>
          <w:sz w:val="22"/>
          <w:szCs w:val="22"/>
          <w:lang w:val="sr-Latn-ME"/>
        </w:rPr>
        <w:t>55% i povećanje HDL holesterola za 10 do</w:t>
      </w:r>
      <w:r w:rsidR="001E1D1A" w:rsidRPr="003F267F">
        <w:rPr>
          <w:sz w:val="22"/>
          <w:szCs w:val="22"/>
          <w:lang w:val="sr-Latn-ME"/>
        </w:rPr>
        <w:t xml:space="preserve"> </w:t>
      </w:r>
      <w:r w:rsidRPr="003F267F">
        <w:rPr>
          <w:sz w:val="22"/>
          <w:szCs w:val="22"/>
          <w:lang w:val="sr-Latn-ME"/>
        </w:rPr>
        <w:t>30%.</w:t>
      </w:r>
    </w:p>
    <w:p w14:paraId="67F6834A" w14:textId="77777777" w:rsidR="009A0E35" w:rsidRPr="003F267F" w:rsidRDefault="009A0E35">
      <w:pPr>
        <w:pStyle w:val="Header"/>
        <w:jc w:val="both"/>
        <w:rPr>
          <w:sz w:val="22"/>
          <w:szCs w:val="22"/>
          <w:lang w:val="sr-Latn-ME"/>
        </w:rPr>
      </w:pPr>
    </w:p>
    <w:p w14:paraId="7717AD5F" w14:textId="7EC26FF7" w:rsidR="009A0E35" w:rsidRPr="003F267F" w:rsidRDefault="009A0E35">
      <w:pPr>
        <w:pStyle w:val="Header"/>
        <w:jc w:val="both"/>
        <w:rPr>
          <w:sz w:val="22"/>
          <w:szCs w:val="22"/>
          <w:lang w:val="sr-Latn-ME"/>
        </w:rPr>
      </w:pPr>
      <w:r w:rsidRPr="003F267F">
        <w:rPr>
          <w:sz w:val="22"/>
          <w:szCs w:val="22"/>
          <w:lang w:val="sr-Latn-ME"/>
        </w:rPr>
        <w:t>Kod pacijenata sa hiperholesterolemijom, kod kojih se koncentracija LDL-holesterola smanjuje za 20 do</w:t>
      </w:r>
      <w:r w:rsidR="00FC3397" w:rsidRPr="003F267F">
        <w:rPr>
          <w:sz w:val="22"/>
          <w:szCs w:val="22"/>
          <w:lang w:val="sr-Latn-ME"/>
        </w:rPr>
        <w:t xml:space="preserve"> </w:t>
      </w:r>
      <w:r w:rsidRPr="003F267F">
        <w:rPr>
          <w:sz w:val="22"/>
          <w:szCs w:val="22"/>
          <w:lang w:val="sr-Latn-ME"/>
        </w:rPr>
        <w:t>35%, ukupno djelovanje na holesterol dovodi i do smanjenja sljedećih količnika, koji su ujedno i markeri rizika aterogeneze: odnos ukupnog holesterola prema HDL holesterolu, LDL holesterola prema HDL holesterolu, kao i Apo B prema Apo AI.</w:t>
      </w:r>
    </w:p>
    <w:p w14:paraId="626304DA" w14:textId="77777777" w:rsidR="009A0E35" w:rsidRPr="003F267F" w:rsidRDefault="009A0E35">
      <w:pPr>
        <w:pStyle w:val="Header"/>
        <w:jc w:val="both"/>
        <w:rPr>
          <w:sz w:val="22"/>
          <w:szCs w:val="22"/>
          <w:lang w:val="sr-Latn-ME"/>
        </w:rPr>
      </w:pPr>
    </w:p>
    <w:p w14:paraId="5BCC5436" w14:textId="02EF94D6" w:rsidR="009A0E35" w:rsidRPr="003F267F" w:rsidRDefault="009A0E35">
      <w:pPr>
        <w:pStyle w:val="Header"/>
        <w:jc w:val="both"/>
        <w:rPr>
          <w:sz w:val="22"/>
          <w:szCs w:val="22"/>
          <w:lang w:val="sr-Latn-ME"/>
        </w:rPr>
      </w:pPr>
      <w:r w:rsidRPr="003F267F">
        <w:rPr>
          <w:sz w:val="22"/>
          <w:szCs w:val="22"/>
          <w:lang w:val="sr-Latn-ME"/>
        </w:rPr>
        <w:t>Dokazano je da liječenje fibratima može da dovede do smanjenja događaja koronarne bolesti srca, ali nije pokazano da dovodi do smanjenja ukupnog mortaliteta u primarnoj ili sekundarnoj prevenciji kardiovaskularnih bolesti.</w:t>
      </w:r>
    </w:p>
    <w:p w14:paraId="48C77A2D" w14:textId="77777777" w:rsidR="009A0E35" w:rsidRPr="003F267F" w:rsidRDefault="009A0E35">
      <w:pPr>
        <w:pStyle w:val="Header"/>
        <w:jc w:val="both"/>
        <w:rPr>
          <w:sz w:val="22"/>
          <w:szCs w:val="22"/>
          <w:lang w:val="sr-Latn-ME"/>
        </w:rPr>
      </w:pPr>
    </w:p>
    <w:p w14:paraId="27A6F308" w14:textId="4DD41047" w:rsidR="009A0E35" w:rsidRPr="003F267F" w:rsidRDefault="009A0E35">
      <w:pPr>
        <w:pStyle w:val="Header"/>
        <w:jc w:val="both"/>
        <w:rPr>
          <w:sz w:val="22"/>
          <w:szCs w:val="22"/>
          <w:lang w:val="sr-Latn-ME"/>
        </w:rPr>
      </w:pPr>
      <w:r w:rsidRPr="003F267F">
        <w:rPr>
          <w:sz w:val="22"/>
          <w:szCs w:val="22"/>
          <w:lang w:val="sr-Latn-ME"/>
        </w:rPr>
        <w:t>Studija ACCORD ( engl</w:t>
      </w:r>
      <w:r w:rsidRPr="003F267F">
        <w:rPr>
          <w:i/>
          <w:sz w:val="22"/>
          <w:szCs w:val="22"/>
          <w:lang w:val="sr-Latn-ME"/>
        </w:rPr>
        <w:t xml:space="preserve"> The Action to Control Cardiovascular Risk in Diabetes)</w:t>
      </w:r>
      <w:r w:rsidRPr="003F267F">
        <w:rPr>
          <w:sz w:val="22"/>
          <w:szCs w:val="22"/>
          <w:lang w:val="sr-Latn-ME"/>
        </w:rPr>
        <w:t xml:space="preserve"> je bila randomizovana, placebo kontrolisana studija koja je uključivala 5518 pacijenata sa dijabetes melitus tip 2 liječenih fenofibratom pored simvastatina. Kombinovana terapija fenofibratom i</w:t>
      </w:r>
      <w:r w:rsidR="00B2237C" w:rsidRPr="003F267F">
        <w:rPr>
          <w:sz w:val="22"/>
          <w:szCs w:val="22"/>
          <w:lang w:val="sr-Latn-ME"/>
        </w:rPr>
        <w:t xml:space="preserve"> </w:t>
      </w:r>
      <w:r w:rsidRPr="003F267F">
        <w:rPr>
          <w:sz w:val="22"/>
          <w:szCs w:val="22"/>
          <w:lang w:val="sr-Latn-ME"/>
        </w:rPr>
        <w:t>simvastatinom nije pokazala značajne razlike u poređenju sa monoterapijom simvastatinom po pitanju primarnih ishoda, koji uključuju infarkt miokarda bez smrtnog ishoda, moždani udar bez smrtnog ishoda i kardiovaskularnu smrt (</w:t>
      </w:r>
      <w:r w:rsidRPr="003F267F">
        <w:rPr>
          <w:i/>
          <w:sz w:val="22"/>
          <w:szCs w:val="22"/>
          <w:lang w:val="sr-Latn-ME"/>
        </w:rPr>
        <w:t>hazard ratio</w:t>
      </w:r>
      <w:r w:rsidRPr="003F267F">
        <w:rPr>
          <w:sz w:val="22"/>
          <w:szCs w:val="22"/>
          <w:lang w:val="sr-Latn-ME"/>
        </w:rPr>
        <w:t xml:space="preserve"> [HR] 0,92, 95% CI 0,79-1,08, p=0,32; smanjenje apsolutnog rizika: 0,74%). U prethodno određenoj podgrupi pacijenata sa dislipidemijom u koju spada trećina pacijenata sa najnižim vrijednostima HDL holesterola (≤34 mg/dl ili 0,88 mmol/</w:t>
      </w:r>
      <w:r w:rsidR="001E1D1A" w:rsidRPr="003F267F">
        <w:rPr>
          <w:sz w:val="22"/>
          <w:szCs w:val="22"/>
          <w:lang w:val="sr-Latn-ME"/>
        </w:rPr>
        <w:t>l</w:t>
      </w:r>
      <w:r w:rsidRPr="003F267F">
        <w:rPr>
          <w:sz w:val="22"/>
          <w:szCs w:val="22"/>
          <w:lang w:val="sr-Latn-ME"/>
        </w:rPr>
        <w:t>) i trećina pacijenata sa najvišim vrijednostima triglicerida (≥204 mg/dl ili 2,3 mmol/</w:t>
      </w:r>
      <w:r w:rsidR="001E1D1A" w:rsidRPr="003F267F">
        <w:rPr>
          <w:sz w:val="22"/>
          <w:szCs w:val="22"/>
          <w:lang w:val="sr-Latn-ME"/>
        </w:rPr>
        <w:t>l</w:t>
      </w:r>
      <w:r w:rsidRPr="003F267F">
        <w:rPr>
          <w:sz w:val="22"/>
          <w:szCs w:val="22"/>
          <w:lang w:val="sr-Latn-ME"/>
        </w:rPr>
        <w:t>) na početku studije, pokazano je da kombinovana terapija fenofibratom i simvastatinom dovodi do relativnog smanjenja od 31% u poređenju sa monoterapijom simvastatinom po pitanju primarnih parametara (</w:t>
      </w:r>
      <w:r w:rsidRPr="003F267F">
        <w:rPr>
          <w:i/>
          <w:sz w:val="22"/>
          <w:szCs w:val="22"/>
          <w:lang w:val="sr-Latn-ME"/>
        </w:rPr>
        <w:t>hazard ratio</w:t>
      </w:r>
      <w:r w:rsidRPr="003F267F">
        <w:rPr>
          <w:sz w:val="22"/>
          <w:szCs w:val="22"/>
          <w:lang w:val="sr-Latn-ME"/>
        </w:rPr>
        <w:t xml:space="preserve"> [HR] 0,69, 95% CI 0,49-0,97, p=0,03; smanjenje apsolutnog rizika: 4,95%). Druga analiza prethodno određene podgrupe je pokazala statistički značajnu interakciju liječenja prema polu (p=0,01) koja ukazuje na moguću korist od primjene kombinovane terapije kod muškaraca (p=0,037) ali i mogućnost povećanog rizika po pitanju primarnih ishoda kod žena, kod kojih se primjenjuje kombinovana terapija u poređenju sa monoterapijom simvastatinom (p=0,069). Ovo nije uočeno u prethodno pomenutoj podgrupi pacijenata sa dislipidemijom, ali nije uočena ni jasna korist kod žena sa dislipidemijom liječenih kombinacijom fenofibrata i</w:t>
      </w:r>
      <w:r w:rsidR="00894C8A" w:rsidRPr="003F267F">
        <w:rPr>
          <w:sz w:val="22"/>
          <w:szCs w:val="22"/>
          <w:lang w:val="sr-Latn-ME"/>
        </w:rPr>
        <w:t xml:space="preserve"> </w:t>
      </w:r>
      <w:r w:rsidRPr="003F267F">
        <w:rPr>
          <w:sz w:val="22"/>
          <w:szCs w:val="22"/>
          <w:lang w:val="sr-Latn-ME"/>
        </w:rPr>
        <w:t>simvastatina, a mogući štetni efekat u ovoj podgrupi se ne može isključiti.</w:t>
      </w:r>
    </w:p>
    <w:p w14:paraId="4AC635D9" w14:textId="77777777" w:rsidR="009A0E35" w:rsidRPr="003F267F" w:rsidRDefault="009A0E35">
      <w:pPr>
        <w:pStyle w:val="Header"/>
        <w:jc w:val="both"/>
        <w:rPr>
          <w:sz w:val="22"/>
          <w:szCs w:val="22"/>
          <w:lang w:val="sr-Latn-ME"/>
        </w:rPr>
      </w:pPr>
    </w:p>
    <w:p w14:paraId="310CABA9" w14:textId="0274E672" w:rsidR="009A0E35" w:rsidRPr="003F267F" w:rsidRDefault="009A0E35">
      <w:pPr>
        <w:pStyle w:val="Header"/>
        <w:jc w:val="both"/>
        <w:rPr>
          <w:sz w:val="22"/>
          <w:szCs w:val="22"/>
          <w:lang w:val="sr-Latn-ME"/>
        </w:rPr>
      </w:pPr>
      <w:r w:rsidRPr="003F267F">
        <w:rPr>
          <w:sz w:val="22"/>
          <w:szCs w:val="22"/>
          <w:lang w:val="sr-Latn-ME"/>
        </w:rPr>
        <w:t>Ekstravaskularni depoziti holesterola (tetivni i tuberozni ksantomi) mogu se značajno smanjiti ili u potpunosti eliminisati tokom terapije fenofibratom.</w:t>
      </w:r>
    </w:p>
    <w:p w14:paraId="4E224677" w14:textId="77777777" w:rsidR="009A0E35" w:rsidRPr="003F267F" w:rsidRDefault="009A0E35">
      <w:pPr>
        <w:pStyle w:val="Header"/>
        <w:jc w:val="both"/>
        <w:rPr>
          <w:sz w:val="22"/>
          <w:szCs w:val="22"/>
          <w:lang w:val="sr-Latn-ME"/>
        </w:rPr>
      </w:pPr>
    </w:p>
    <w:p w14:paraId="13F6156E" w14:textId="135FF7EB" w:rsidR="009A0E35" w:rsidRPr="003F267F" w:rsidRDefault="009A0E35">
      <w:pPr>
        <w:pStyle w:val="Header"/>
        <w:jc w:val="both"/>
        <w:rPr>
          <w:sz w:val="22"/>
          <w:szCs w:val="22"/>
          <w:lang w:val="sr-Latn-ME"/>
        </w:rPr>
      </w:pPr>
      <w:r w:rsidRPr="003F267F">
        <w:rPr>
          <w:sz w:val="22"/>
          <w:szCs w:val="22"/>
          <w:lang w:val="sr-Latn-ME"/>
        </w:rPr>
        <w:t>Kod pacijenata sa povišenim nivoom fibrinogena na terapiji fenofibratom pokazano je značajno smanjenje ovog parametra, kao i kod onih sa povišenim  nivoima Lp(a). Ostali markeri zapaljenja, kao što je C-reaktivni protein se smanjuju terapijom fenofibratom.</w:t>
      </w:r>
    </w:p>
    <w:p w14:paraId="62A0DA66" w14:textId="77777777" w:rsidR="009A0E35" w:rsidRPr="003F267F" w:rsidRDefault="009A0E35">
      <w:pPr>
        <w:pStyle w:val="Header"/>
        <w:jc w:val="both"/>
        <w:rPr>
          <w:sz w:val="22"/>
          <w:szCs w:val="22"/>
          <w:lang w:val="sr-Latn-ME"/>
        </w:rPr>
      </w:pPr>
    </w:p>
    <w:p w14:paraId="4FE77929" w14:textId="63B69B21" w:rsidR="009A0E35" w:rsidRPr="003F267F" w:rsidRDefault="009A0E35">
      <w:pPr>
        <w:pStyle w:val="Header"/>
        <w:jc w:val="both"/>
        <w:rPr>
          <w:sz w:val="22"/>
          <w:szCs w:val="22"/>
          <w:lang w:val="sr-Latn-ME"/>
        </w:rPr>
      </w:pPr>
      <w:r w:rsidRPr="003F267F">
        <w:rPr>
          <w:sz w:val="22"/>
          <w:szCs w:val="22"/>
          <w:lang w:val="sr-Latn-ME"/>
        </w:rPr>
        <w:t xml:space="preserve">Urikozurični efekat fenofibrata dovodi do smanjenja nivoa mokraćne kisjeline za oko 25%, što je dodatna prednost kod dislipidemičnih pacijenata sa hiperurikemijom. </w:t>
      </w:r>
    </w:p>
    <w:p w14:paraId="7E1FE844" w14:textId="77777777" w:rsidR="009A0E35" w:rsidRPr="003F267F" w:rsidRDefault="009A0E35">
      <w:pPr>
        <w:pStyle w:val="Header"/>
        <w:jc w:val="both"/>
        <w:rPr>
          <w:sz w:val="22"/>
          <w:szCs w:val="22"/>
          <w:lang w:val="sr-Latn-ME"/>
        </w:rPr>
      </w:pPr>
    </w:p>
    <w:p w14:paraId="291E78C2" w14:textId="1687577C" w:rsidR="009A0E35" w:rsidRPr="003F267F" w:rsidRDefault="009A0E35">
      <w:pPr>
        <w:pStyle w:val="Header"/>
        <w:jc w:val="both"/>
        <w:rPr>
          <w:sz w:val="22"/>
          <w:szCs w:val="22"/>
          <w:lang w:val="sr-Latn-ME"/>
        </w:rPr>
      </w:pPr>
      <w:r w:rsidRPr="003F267F">
        <w:rPr>
          <w:sz w:val="22"/>
          <w:szCs w:val="22"/>
          <w:lang w:val="sr-Latn-ME"/>
        </w:rPr>
        <w:t xml:space="preserve">Pokazano je da fenofibrat ima antiagregacijski efekat na trombocite u ispitivanjima na životinjama i kliničkim studijama koje su pokazale smanjenje agregacije trombocita indukovanih ADP-om, arahidonskom kisjelinom i epinefrinom. </w:t>
      </w:r>
    </w:p>
    <w:p w14:paraId="64F25145" w14:textId="77777777" w:rsidR="009A0E35" w:rsidRPr="003F267F" w:rsidRDefault="009A0E35" w:rsidP="00ED7392">
      <w:pPr>
        <w:tabs>
          <w:tab w:val="left" w:pos="540"/>
          <w:tab w:val="left" w:pos="569"/>
        </w:tabs>
        <w:jc w:val="both"/>
        <w:rPr>
          <w:b/>
          <w:bCs/>
          <w:sz w:val="22"/>
          <w:szCs w:val="22"/>
          <w:lang w:val="sr-Latn-ME"/>
        </w:rPr>
      </w:pPr>
    </w:p>
    <w:p w14:paraId="25F1EDA5" w14:textId="77777777" w:rsidR="0072020E" w:rsidRPr="003F267F" w:rsidRDefault="0072020E" w:rsidP="00ED7392">
      <w:pPr>
        <w:tabs>
          <w:tab w:val="left" w:pos="540"/>
          <w:tab w:val="left" w:pos="569"/>
        </w:tabs>
        <w:jc w:val="both"/>
        <w:rPr>
          <w:b/>
          <w:bCs/>
          <w:sz w:val="22"/>
          <w:szCs w:val="22"/>
          <w:lang w:val="sr-Latn-ME"/>
        </w:rPr>
      </w:pPr>
      <w:r w:rsidRPr="003F267F">
        <w:rPr>
          <w:b/>
          <w:bCs/>
          <w:sz w:val="22"/>
          <w:szCs w:val="22"/>
          <w:lang w:val="sr-Latn-ME"/>
        </w:rPr>
        <w:lastRenderedPageBreak/>
        <w:t xml:space="preserve">5.2. </w:t>
      </w:r>
      <w:r w:rsidR="00480FB1" w:rsidRPr="003F267F">
        <w:rPr>
          <w:b/>
          <w:bCs/>
          <w:sz w:val="22"/>
          <w:szCs w:val="22"/>
          <w:lang w:val="sr-Latn-ME"/>
        </w:rPr>
        <w:tab/>
      </w:r>
      <w:r w:rsidRPr="003F267F">
        <w:rPr>
          <w:b/>
          <w:bCs/>
          <w:sz w:val="22"/>
          <w:szCs w:val="22"/>
          <w:lang w:val="sr-Latn-ME"/>
        </w:rPr>
        <w:t>Farmakokinetički podaci</w:t>
      </w:r>
      <w:r w:rsidR="003A7059" w:rsidRPr="003F267F">
        <w:rPr>
          <w:b/>
          <w:bCs/>
          <w:sz w:val="22"/>
          <w:szCs w:val="22"/>
          <w:lang w:val="sr-Latn-ME"/>
        </w:rPr>
        <w:t xml:space="preserve"> </w:t>
      </w:r>
    </w:p>
    <w:p w14:paraId="25F1EDA6" w14:textId="11B55755" w:rsidR="0072020E" w:rsidRPr="003F267F" w:rsidRDefault="0072020E" w:rsidP="00ED7392">
      <w:pPr>
        <w:tabs>
          <w:tab w:val="left" w:pos="540"/>
          <w:tab w:val="left" w:pos="569"/>
        </w:tabs>
        <w:jc w:val="both"/>
        <w:rPr>
          <w:bCs/>
          <w:sz w:val="22"/>
          <w:szCs w:val="22"/>
          <w:lang w:val="sr-Latn-ME"/>
        </w:rPr>
      </w:pPr>
    </w:p>
    <w:p w14:paraId="6DB69B28" w14:textId="008A33FF" w:rsidR="00D4676D" w:rsidRPr="003F267F" w:rsidRDefault="00D4676D">
      <w:pPr>
        <w:jc w:val="both"/>
        <w:rPr>
          <w:bCs/>
          <w:sz w:val="22"/>
          <w:szCs w:val="22"/>
          <w:u w:val="single"/>
          <w:lang w:val="sr-Latn-ME"/>
        </w:rPr>
      </w:pPr>
      <w:r w:rsidRPr="003F267F">
        <w:rPr>
          <w:bCs/>
          <w:i/>
          <w:sz w:val="22"/>
          <w:szCs w:val="22"/>
          <w:u w:val="single"/>
          <w:lang w:val="sr-Latn-ME"/>
        </w:rPr>
        <w:t>Resorpcija</w:t>
      </w:r>
      <w:r w:rsidRPr="003F267F">
        <w:rPr>
          <w:bCs/>
          <w:i/>
          <w:sz w:val="22"/>
          <w:szCs w:val="22"/>
          <w:lang w:val="sr-Latn-ME"/>
        </w:rPr>
        <w:t>:</w:t>
      </w:r>
    </w:p>
    <w:p w14:paraId="116B3D8D" w14:textId="7CAA7370" w:rsidR="00D4676D" w:rsidRPr="003F267F" w:rsidRDefault="00D4676D">
      <w:pPr>
        <w:jc w:val="both"/>
        <w:rPr>
          <w:bCs/>
          <w:sz w:val="22"/>
          <w:szCs w:val="22"/>
          <w:u w:val="single"/>
          <w:lang w:val="sr-Latn-ME"/>
        </w:rPr>
      </w:pPr>
      <w:r w:rsidRPr="003F267F">
        <w:rPr>
          <w:sz w:val="22"/>
          <w:szCs w:val="22"/>
          <w:lang w:val="sr-Latn-ME"/>
        </w:rPr>
        <w:t>Maksimalne koncentracije u plazmi (C</w:t>
      </w:r>
      <w:r w:rsidRPr="003F267F">
        <w:rPr>
          <w:sz w:val="22"/>
          <w:szCs w:val="22"/>
          <w:vertAlign w:val="subscript"/>
          <w:lang w:val="sr-Latn-ME"/>
        </w:rPr>
        <w:t>max</w:t>
      </w:r>
      <w:r w:rsidRPr="003F267F">
        <w:rPr>
          <w:sz w:val="22"/>
          <w:szCs w:val="22"/>
          <w:lang w:val="sr-Latn-ME"/>
        </w:rPr>
        <w:t>) postižu se u roku od 4 do 5 sati nakon oralne primjene. Koncentracije lijeka u plazmi su nepromijenjene tokom kontinuirane terapije kod svih pacijenata.</w:t>
      </w:r>
    </w:p>
    <w:p w14:paraId="5A2512FA" w14:textId="5B813F9E" w:rsidR="00D4676D" w:rsidRPr="003F267F" w:rsidRDefault="00D4676D">
      <w:pPr>
        <w:jc w:val="both"/>
        <w:rPr>
          <w:sz w:val="22"/>
          <w:szCs w:val="22"/>
          <w:lang w:val="sr-Latn-ME"/>
        </w:rPr>
      </w:pPr>
      <w:r w:rsidRPr="003F267F">
        <w:rPr>
          <w:sz w:val="22"/>
          <w:szCs w:val="22"/>
          <w:lang w:val="sr-Latn-ME"/>
        </w:rPr>
        <w:t>Resorpcija fenofibrata se povećava ukoliko se lijek uzima sa hranom.</w:t>
      </w:r>
    </w:p>
    <w:p w14:paraId="5B55E8F8" w14:textId="77777777" w:rsidR="00D4676D" w:rsidRPr="003F267F" w:rsidRDefault="00D4676D">
      <w:pPr>
        <w:jc w:val="both"/>
        <w:rPr>
          <w:b/>
          <w:bCs/>
          <w:sz w:val="22"/>
          <w:szCs w:val="22"/>
          <w:lang w:val="sr-Latn-ME"/>
        </w:rPr>
      </w:pPr>
    </w:p>
    <w:p w14:paraId="09D75E5E" w14:textId="77777777" w:rsidR="00D4676D" w:rsidRPr="003F267F" w:rsidRDefault="00D4676D">
      <w:pPr>
        <w:jc w:val="both"/>
        <w:rPr>
          <w:b/>
          <w:bCs/>
          <w:sz w:val="22"/>
          <w:szCs w:val="22"/>
          <w:u w:val="single"/>
          <w:lang w:val="sr-Latn-ME"/>
        </w:rPr>
      </w:pPr>
      <w:r w:rsidRPr="003F267F">
        <w:rPr>
          <w:bCs/>
          <w:i/>
          <w:sz w:val="22"/>
          <w:szCs w:val="22"/>
          <w:u w:val="single"/>
          <w:lang w:val="sr-Latn-ME"/>
        </w:rPr>
        <w:t>Distribucija:</w:t>
      </w:r>
      <w:r w:rsidRPr="003F267F">
        <w:rPr>
          <w:b/>
          <w:bCs/>
          <w:sz w:val="22"/>
          <w:szCs w:val="22"/>
          <w:u w:val="single"/>
          <w:lang w:val="sr-Latn-ME"/>
        </w:rPr>
        <w:t xml:space="preserve"> </w:t>
      </w:r>
    </w:p>
    <w:p w14:paraId="264C01AF" w14:textId="77777777" w:rsidR="00D4676D" w:rsidRPr="003F267F" w:rsidRDefault="00D4676D">
      <w:pPr>
        <w:jc w:val="both"/>
        <w:rPr>
          <w:b/>
          <w:bCs/>
          <w:sz w:val="22"/>
          <w:szCs w:val="22"/>
          <w:lang w:val="sr-Latn-ME"/>
        </w:rPr>
      </w:pPr>
      <w:r w:rsidRPr="003F267F">
        <w:rPr>
          <w:sz w:val="22"/>
          <w:szCs w:val="22"/>
          <w:lang w:val="sr-Latn-ME"/>
        </w:rPr>
        <w:t>Fenofibrinska kisjelina se u velikoj mjeri vezuje za albumine plazme (više od 99%).</w:t>
      </w:r>
    </w:p>
    <w:p w14:paraId="30068126" w14:textId="77777777" w:rsidR="00D4676D" w:rsidRPr="003F267F" w:rsidRDefault="00D4676D">
      <w:pPr>
        <w:pStyle w:val="Subsection"/>
        <w:jc w:val="both"/>
        <w:rPr>
          <w:sz w:val="22"/>
          <w:szCs w:val="22"/>
          <w:lang w:val="sr-Latn-ME"/>
        </w:rPr>
      </w:pPr>
    </w:p>
    <w:p w14:paraId="04956A99" w14:textId="77777777" w:rsidR="00D4676D" w:rsidRPr="003F267F" w:rsidRDefault="00D4676D">
      <w:pPr>
        <w:jc w:val="both"/>
        <w:rPr>
          <w:bCs/>
          <w:i/>
          <w:sz w:val="22"/>
          <w:szCs w:val="22"/>
          <w:u w:val="single"/>
          <w:lang w:val="sr-Latn-ME"/>
        </w:rPr>
      </w:pPr>
      <w:r w:rsidRPr="003F267F">
        <w:rPr>
          <w:bCs/>
          <w:i/>
          <w:sz w:val="22"/>
          <w:szCs w:val="22"/>
          <w:u w:val="single"/>
          <w:lang w:val="sr-Latn-ME"/>
        </w:rPr>
        <w:t>Metabolizam i eliminacija:</w:t>
      </w:r>
    </w:p>
    <w:p w14:paraId="7327103F" w14:textId="77777777" w:rsidR="00D4676D" w:rsidRPr="003F267F" w:rsidRDefault="00D4676D">
      <w:pPr>
        <w:jc w:val="both"/>
        <w:rPr>
          <w:sz w:val="22"/>
          <w:szCs w:val="22"/>
          <w:lang w:val="sr-Latn-ME"/>
        </w:rPr>
      </w:pPr>
      <w:r w:rsidRPr="003F267F">
        <w:rPr>
          <w:sz w:val="22"/>
          <w:szCs w:val="22"/>
          <w:lang w:val="sr-Latn-ME"/>
        </w:rPr>
        <w:t xml:space="preserve">Nakon oralne primjene, fenofibrat se brzo hidrolizuje esterazama do aktivnog metabolita – fenofibrinske kisjeline. Nepromijenjeni fenofibrat se ne može detektovati u plazmi. Fenofibrat nije supstrat enzima CYP 3A4. U metabolizam fenofibrata nijesu uključeni mikrozomi jetre. </w:t>
      </w:r>
    </w:p>
    <w:p w14:paraId="7898542B" w14:textId="77777777" w:rsidR="00D4676D" w:rsidRPr="003F267F" w:rsidRDefault="00D4676D">
      <w:pPr>
        <w:jc w:val="both"/>
        <w:rPr>
          <w:b/>
          <w:bCs/>
          <w:sz w:val="22"/>
          <w:szCs w:val="22"/>
          <w:lang w:val="sr-Latn-ME"/>
        </w:rPr>
      </w:pPr>
    </w:p>
    <w:p w14:paraId="06E1DFE0" w14:textId="6E9720F8" w:rsidR="00D4676D" w:rsidRPr="003F267F" w:rsidRDefault="00D4676D">
      <w:pPr>
        <w:jc w:val="both"/>
        <w:rPr>
          <w:sz w:val="22"/>
          <w:szCs w:val="22"/>
          <w:lang w:val="sr-Latn-ME"/>
        </w:rPr>
      </w:pPr>
      <w:r w:rsidRPr="003F267F">
        <w:rPr>
          <w:sz w:val="22"/>
          <w:szCs w:val="22"/>
          <w:lang w:val="sr-Latn-ME"/>
        </w:rPr>
        <w:t>Lijek se uglavnom izlučuje urinom. Potpuna eliminacija postiže se tokom 6 dana. Fenofibrat se uglavnom izlučuje u obliku fenofibrinske kisjeline i njenih glukoronidnih konjugata. Kod starijih pacijenata nema promjene ukupnog plazma klirensa fenofibrinske kisjeline.</w:t>
      </w:r>
    </w:p>
    <w:p w14:paraId="2256375E" w14:textId="77777777" w:rsidR="00D4676D" w:rsidRPr="003F267F" w:rsidRDefault="00D4676D">
      <w:pPr>
        <w:jc w:val="both"/>
        <w:rPr>
          <w:sz w:val="22"/>
          <w:szCs w:val="22"/>
          <w:lang w:val="sr-Latn-ME"/>
        </w:rPr>
      </w:pPr>
    </w:p>
    <w:p w14:paraId="6096E451" w14:textId="31354CA4" w:rsidR="00D4676D" w:rsidRPr="003F267F" w:rsidRDefault="00D4676D">
      <w:pPr>
        <w:jc w:val="both"/>
        <w:rPr>
          <w:sz w:val="22"/>
          <w:szCs w:val="22"/>
          <w:lang w:val="sr-Latn-ME"/>
        </w:rPr>
      </w:pPr>
      <w:r w:rsidRPr="003F267F">
        <w:rPr>
          <w:sz w:val="22"/>
          <w:szCs w:val="22"/>
          <w:lang w:val="sr-Latn-ME"/>
        </w:rPr>
        <w:t>Kinetičke studije kojima je praćeno unošenje pojedinačne doze i kontinuirana terapija su pokazale da se lijek ne akumulira. Fenofibrinska kisjelina se ne eliminiše hemodijalizom.</w:t>
      </w:r>
    </w:p>
    <w:p w14:paraId="17C1E918" w14:textId="77777777" w:rsidR="00D4676D" w:rsidRPr="003F267F" w:rsidRDefault="00D4676D">
      <w:pPr>
        <w:jc w:val="both"/>
        <w:rPr>
          <w:sz w:val="22"/>
          <w:szCs w:val="22"/>
          <w:lang w:val="sr-Latn-ME"/>
        </w:rPr>
      </w:pPr>
    </w:p>
    <w:p w14:paraId="05180641" w14:textId="77777777" w:rsidR="00D4676D" w:rsidRPr="003F267F" w:rsidRDefault="00D4676D">
      <w:pPr>
        <w:jc w:val="both"/>
        <w:rPr>
          <w:sz w:val="22"/>
          <w:szCs w:val="22"/>
          <w:lang w:val="sr-Latn-ME"/>
        </w:rPr>
      </w:pPr>
      <w:r w:rsidRPr="003F267F">
        <w:rPr>
          <w:sz w:val="22"/>
          <w:szCs w:val="22"/>
          <w:lang w:val="sr-Latn-ME"/>
        </w:rPr>
        <w:t>Poluvrijeme eliminacije fenofibrinske kisjeline iz plazme je oko 20 sati.</w:t>
      </w:r>
    </w:p>
    <w:p w14:paraId="74E41997" w14:textId="77777777" w:rsidR="00D4676D" w:rsidRPr="003F267F" w:rsidRDefault="00D4676D" w:rsidP="00894C8A">
      <w:pPr>
        <w:tabs>
          <w:tab w:val="left" w:pos="540"/>
          <w:tab w:val="left" w:pos="569"/>
        </w:tabs>
        <w:jc w:val="both"/>
        <w:rPr>
          <w:bCs/>
          <w:sz w:val="22"/>
          <w:szCs w:val="22"/>
          <w:lang w:val="sr-Latn-ME"/>
        </w:rPr>
      </w:pPr>
    </w:p>
    <w:p w14:paraId="25F1EDA7"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5.3. </w:t>
      </w:r>
      <w:r w:rsidR="00480FB1" w:rsidRPr="003F267F">
        <w:rPr>
          <w:b/>
          <w:bCs/>
          <w:sz w:val="22"/>
          <w:szCs w:val="22"/>
          <w:lang w:val="sr-Latn-ME"/>
        </w:rPr>
        <w:tab/>
      </w:r>
      <w:r w:rsidRPr="003F267F">
        <w:rPr>
          <w:b/>
          <w:bCs/>
          <w:sz w:val="22"/>
          <w:szCs w:val="22"/>
          <w:lang w:val="sr-Latn-ME"/>
        </w:rPr>
        <w:t xml:space="preserve">Pretklinički podaci o bezbjednosti </w:t>
      </w:r>
    </w:p>
    <w:p w14:paraId="25F1EDA8" w14:textId="77777777" w:rsidR="00836B35" w:rsidRPr="003F267F" w:rsidRDefault="00836B35" w:rsidP="00894C8A">
      <w:pPr>
        <w:tabs>
          <w:tab w:val="left" w:pos="540"/>
          <w:tab w:val="left" w:pos="569"/>
        </w:tabs>
        <w:jc w:val="both"/>
        <w:rPr>
          <w:bCs/>
          <w:sz w:val="22"/>
          <w:szCs w:val="22"/>
          <w:lang w:val="sr-Latn-ME"/>
        </w:rPr>
      </w:pPr>
    </w:p>
    <w:p w14:paraId="15F59829" w14:textId="71EBB423" w:rsidR="00C560CB" w:rsidRPr="003F267F" w:rsidRDefault="00C560CB">
      <w:pPr>
        <w:jc w:val="both"/>
        <w:rPr>
          <w:sz w:val="22"/>
          <w:szCs w:val="22"/>
          <w:lang w:val="sr-Latn-ME"/>
        </w:rPr>
      </w:pPr>
      <w:r w:rsidRPr="003F267F">
        <w:rPr>
          <w:sz w:val="22"/>
          <w:szCs w:val="22"/>
          <w:lang w:val="sr-Latn-ME"/>
        </w:rPr>
        <w:t>U tromjesečnoj pre</w:t>
      </w:r>
      <w:r w:rsidR="00B2237C" w:rsidRPr="003F267F">
        <w:rPr>
          <w:sz w:val="22"/>
          <w:szCs w:val="22"/>
          <w:lang w:val="sr-Latn-ME"/>
        </w:rPr>
        <w:t>t</w:t>
      </w:r>
      <w:r w:rsidRPr="003F267F">
        <w:rPr>
          <w:sz w:val="22"/>
          <w:szCs w:val="22"/>
          <w:lang w:val="sr-Latn-ME"/>
        </w:rPr>
        <w:t xml:space="preserve">kliničkoj studiji oralne primjene fenofibrinske kisjeline (aktivnog metabolita fenofibrata) kod pacova, primjećeni su toksičnost za skeletne mišiće (naročito one bogate tip I sporo oksidativnim miofibrilima), degeneracija srčanog tkiva, anemija i smanjenje tjelesne mase. Nije primjećena toksičnost po skeletne mišiće pri dozama do 30 mg/kg (približno 17 puta veća u odnosu na maksimalnu preporučenu dozu kod ljudi (engl. </w:t>
      </w:r>
      <w:r w:rsidRPr="003F267F">
        <w:rPr>
          <w:i/>
          <w:sz w:val="22"/>
          <w:szCs w:val="22"/>
          <w:lang w:val="sr-Latn-ME"/>
        </w:rPr>
        <w:t xml:space="preserve">maximum recommended dose, </w:t>
      </w:r>
      <w:r w:rsidRPr="003F267F">
        <w:rPr>
          <w:sz w:val="22"/>
          <w:szCs w:val="22"/>
          <w:lang w:val="sr-Latn-ME"/>
        </w:rPr>
        <w:t>MRHD)</w:t>
      </w:r>
      <w:r w:rsidR="00BE15CB" w:rsidRPr="003F267F">
        <w:rPr>
          <w:sz w:val="22"/>
          <w:szCs w:val="22"/>
          <w:lang w:val="sr-Latn-ME"/>
        </w:rPr>
        <w:t>)</w:t>
      </w:r>
      <w:r w:rsidRPr="003F267F">
        <w:rPr>
          <w:sz w:val="22"/>
          <w:szCs w:val="22"/>
          <w:lang w:val="sr-Latn-ME"/>
        </w:rPr>
        <w:t>. Nijesu primjećeni znaci kardiomiotoksičnosti pri izloženosti trostruko većoj u odnosu na MRHD. Reverzibilni ulkusi i erozije u gastrointestinalnom traktu primijećeni su kod pasa kod kojih je terapija trajala 3 mjeseca. Nijesu primjećene gastrointestinalne lezije pri izloženosti približno 5 puta većoj u odnosu na MHRD.</w:t>
      </w:r>
    </w:p>
    <w:p w14:paraId="09DB2547" w14:textId="77777777" w:rsidR="00C560CB" w:rsidRPr="003F267F" w:rsidRDefault="00C560CB">
      <w:pPr>
        <w:jc w:val="both"/>
        <w:rPr>
          <w:sz w:val="22"/>
          <w:szCs w:val="22"/>
          <w:lang w:val="sr-Latn-ME"/>
        </w:rPr>
      </w:pPr>
    </w:p>
    <w:p w14:paraId="3731DA1A" w14:textId="77777777" w:rsidR="00C560CB" w:rsidRPr="003F267F" w:rsidRDefault="00C560CB">
      <w:pPr>
        <w:jc w:val="both"/>
        <w:rPr>
          <w:sz w:val="22"/>
          <w:szCs w:val="22"/>
          <w:lang w:val="sr-Latn-ME"/>
        </w:rPr>
      </w:pPr>
      <w:r w:rsidRPr="003F267F">
        <w:rPr>
          <w:sz w:val="22"/>
          <w:szCs w:val="22"/>
          <w:lang w:val="sr-Latn-ME"/>
        </w:rPr>
        <w:t>Studije mutagenosti fenofibrata bile su negativne.</w:t>
      </w:r>
    </w:p>
    <w:p w14:paraId="2C6D9D35" w14:textId="77777777" w:rsidR="00C560CB" w:rsidRPr="003F267F" w:rsidRDefault="00C560CB">
      <w:pPr>
        <w:jc w:val="both"/>
        <w:rPr>
          <w:sz w:val="22"/>
          <w:szCs w:val="22"/>
          <w:lang w:val="sr-Latn-ME"/>
        </w:rPr>
      </w:pPr>
    </w:p>
    <w:p w14:paraId="0434CBDB" w14:textId="704E349E" w:rsidR="00C560CB" w:rsidRPr="003F267F" w:rsidRDefault="00C560CB">
      <w:pPr>
        <w:jc w:val="both"/>
        <w:rPr>
          <w:sz w:val="22"/>
          <w:szCs w:val="22"/>
          <w:lang w:val="sr-Latn-ME"/>
        </w:rPr>
      </w:pPr>
      <w:r w:rsidRPr="003F267F">
        <w:rPr>
          <w:sz w:val="22"/>
          <w:szCs w:val="22"/>
          <w:lang w:val="sr-Latn-ME"/>
        </w:rPr>
        <w:t>Kod pacova i miševa su ustanovljeni tumori jetre pri velikim dozama, što je pripisano proliferaciji peroksizoma. Ove promjene su specifične za male glodare i nijesu primijećene kod drugih životinjskih vrsta. Ovo nije značajno za terapijsku primjenu kod ljudi.</w:t>
      </w:r>
    </w:p>
    <w:p w14:paraId="787D3C9D" w14:textId="77777777" w:rsidR="00C560CB" w:rsidRPr="003F267F" w:rsidRDefault="00C560CB">
      <w:pPr>
        <w:jc w:val="both"/>
        <w:rPr>
          <w:sz w:val="22"/>
          <w:szCs w:val="22"/>
          <w:lang w:val="sr-Latn-ME"/>
        </w:rPr>
      </w:pPr>
    </w:p>
    <w:p w14:paraId="46762D27" w14:textId="087289B6" w:rsidR="00BE15CB" w:rsidRPr="003F267F" w:rsidRDefault="00C560CB">
      <w:pPr>
        <w:jc w:val="both"/>
        <w:rPr>
          <w:sz w:val="22"/>
          <w:szCs w:val="22"/>
          <w:lang w:val="sr-Latn-ME"/>
        </w:rPr>
      </w:pPr>
      <w:r w:rsidRPr="003F267F">
        <w:rPr>
          <w:sz w:val="22"/>
          <w:szCs w:val="22"/>
          <w:lang w:val="sr-Latn-ME"/>
        </w:rPr>
        <w:t>Studije na miševima, pacovima i kunićima nijesu pokazale teratogeni efekat. Embriotoksični efekti su uočeni pri dozama koje su u opsegu toksičnost</w:t>
      </w:r>
      <w:r w:rsidR="0071116C" w:rsidRPr="003F267F">
        <w:rPr>
          <w:sz w:val="22"/>
          <w:szCs w:val="22"/>
          <w:lang w:val="sr-Latn-ME"/>
        </w:rPr>
        <w:t>i</w:t>
      </w:r>
      <w:r w:rsidRPr="003F267F">
        <w:rPr>
          <w:sz w:val="22"/>
          <w:szCs w:val="22"/>
          <w:lang w:val="sr-Latn-ME"/>
        </w:rPr>
        <w:t xml:space="preserve"> za majku. Produženje gestacionog perioda i teškoće prilikom porođaja su primijećene pri velikim dozama.</w:t>
      </w:r>
    </w:p>
    <w:p w14:paraId="35E5A9D7" w14:textId="6F76A857" w:rsidR="00C560CB" w:rsidRPr="003F267F" w:rsidRDefault="00C560CB">
      <w:pPr>
        <w:jc w:val="both"/>
        <w:rPr>
          <w:bCs/>
          <w:sz w:val="22"/>
          <w:szCs w:val="22"/>
          <w:lang w:val="sr-Latn-ME"/>
        </w:rPr>
      </w:pPr>
    </w:p>
    <w:p w14:paraId="46B173A6" w14:textId="77777777" w:rsidR="00C560CB" w:rsidRPr="003F267F" w:rsidRDefault="00C560CB">
      <w:pPr>
        <w:jc w:val="both"/>
        <w:rPr>
          <w:sz w:val="22"/>
          <w:szCs w:val="22"/>
          <w:lang w:val="sr-Latn-ME"/>
        </w:rPr>
      </w:pPr>
      <w:r w:rsidRPr="003F267F">
        <w:rPr>
          <w:sz w:val="22"/>
          <w:szCs w:val="22"/>
          <w:lang w:val="sr-Latn-ME"/>
        </w:rPr>
        <w:t>Reverzibilna hipospermija i testikularna vakuolacija, kao i nesazreli ovarijumi primijećeni su u studiji toksičnosti ponovljenih doza fenofibrinske kisjeline kod mladih pasa. Međutim, nijesu primijećeni efekti na plodnost u pretkliničkim studijama reproduktivne toksičnosti sprovedenim sa fenofibratom.</w:t>
      </w:r>
    </w:p>
    <w:p w14:paraId="25F1EDA9" w14:textId="0707DA83" w:rsidR="00396DFD" w:rsidRPr="003F267F" w:rsidRDefault="00396DFD" w:rsidP="00894C8A">
      <w:pPr>
        <w:tabs>
          <w:tab w:val="left" w:pos="540"/>
          <w:tab w:val="left" w:pos="569"/>
        </w:tabs>
        <w:jc w:val="both"/>
        <w:rPr>
          <w:b/>
          <w:bCs/>
          <w:sz w:val="22"/>
          <w:szCs w:val="22"/>
          <w:lang w:val="sr-Latn-ME"/>
        </w:rPr>
      </w:pPr>
    </w:p>
    <w:p w14:paraId="53568AF6" w14:textId="77777777" w:rsidR="00BE15CB" w:rsidRPr="003F267F" w:rsidRDefault="00BE15CB" w:rsidP="00894C8A">
      <w:pPr>
        <w:tabs>
          <w:tab w:val="left" w:pos="540"/>
          <w:tab w:val="left" w:pos="569"/>
        </w:tabs>
        <w:jc w:val="both"/>
        <w:rPr>
          <w:b/>
          <w:bCs/>
          <w:sz w:val="22"/>
          <w:szCs w:val="22"/>
          <w:lang w:val="sr-Latn-ME"/>
        </w:rPr>
      </w:pPr>
    </w:p>
    <w:p w14:paraId="25F1EDAA"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6. </w:t>
      </w:r>
      <w:r w:rsidR="00480FB1" w:rsidRPr="003F267F">
        <w:rPr>
          <w:b/>
          <w:bCs/>
          <w:sz w:val="22"/>
          <w:szCs w:val="22"/>
          <w:lang w:val="sr-Latn-ME"/>
        </w:rPr>
        <w:tab/>
      </w:r>
      <w:r w:rsidRPr="003F267F">
        <w:rPr>
          <w:b/>
          <w:bCs/>
          <w:sz w:val="22"/>
          <w:szCs w:val="22"/>
          <w:lang w:val="sr-Latn-ME"/>
        </w:rPr>
        <w:t>FARMACEUTSKI PODACI</w:t>
      </w:r>
    </w:p>
    <w:p w14:paraId="25F1EDAB" w14:textId="77777777" w:rsidR="00836B35" w:rsidRPr="003F267F" w:rsidRDefault="00836B35" w:rsidP="00894C8A">
      <w:pPr>
        <w:tabs>
          <w:tab w:val="left" w:pos="540"/>
          <w:tab w:val="left" w:pos="569"/>
        </w:tabs>
        <w:jc w:val="both"/>
        <w:rPr>
          <w:bCs/>
          <w:sz w:val="22"/>
          <w:szCs w:val="22"/>
          <w:lang w:val="sr-Latn-ME"/>
        </w:rPr>
      </w:pPr>
    </w:p>
    <w:p w14:paraId="25F1EDAC"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6.1. </w:t>
      </w:r>
      <w:r w:rsidR="00480FB1" w:rsidRPr="003F267F">
        <w:rPr>
          <w:b/>
          <w:bCs/>
          <w:sz w:val="22"/>
          <w:szCs w:val="22"/>
          <w:lang w:val="sr-Latn-ME"/>
        </w:rPr>
        <w:tab/>
      </w:r>
      <w:r w:rsidRPr="003F267F">
        <w:rPr>
          <w:b/>
          <w:bCs/>
          <w:sz w:val="22"/>
          <w:szCs w:val="22"/>
          <w:lang w:val="sr-Latn-ME"/>
        </w:rPr>
        <w:t>Lista pomoćnih supstanci</w:t>
      </w:r>
      <w:r w:rsidR="002E0135" w:rsidRPr="003F267F">
        <w:rPr>
          <w:b/>
          <w:bCs/>
          <w:sz w:val="22"/>
          <w:szCs w:val="22"/>
          <w:lang w:val="sr-Latn-ME"/>
        </w:rPr>
        <w:t xml:space="preserve"> (ekscipijenasa)</w:t>
      </w:r>
    </w:p>
    <w:p w14:paraId="25F1EDAD" w14:textId="3A9831B2" w:rsidR="0072020E" w:rsidRPr="003F267F" w:rsidRDefault="0072020E" w:rsidP="00894C8A">
      <w:pPr>
        <w:tabs>
          <w:tab w:val="left" w:pos="540"/>
          <w:tab w:val="left" w:pos="569"/>
        </w:tabs>
        <w:jc w:val="both"/>
        <w:rPr>
          <w:bCs/>
          <w:sz w:val="22"/>
          <w:szCs w:val="22"/>
          <w:lang w:val="sr-Latn-ME"/>
        </w:rPr>
      </w:pPr>
    </w:p>
    <w:p w14:paraId="41424219" w14:textId="55ABA88C" w:rsidR="0005557C" w:rsidRPr="003F267F" w:rsidRDefault="0005557C">
      <w:pPr>
        <w:jc w:val="both"/>
        <w:rPr>
          <w:sz w:val="22"/>
          <w:szCs w:val="22"/>
          <w:lang w:val="sr-Latn-ME"/>
        </w:rPr>
      </w:pPr>
      <w:r w:rsidRPr="003F267F">
        <w:rPr>
          <w:bCs/>
          <w:i/>
          <w:sz w:val="22"/>
          <w:szCs w:val="22"/>
          <w:lang w:val="sr-Latn-ME"/>
        </w:rPr>
        <w:t>Pomoćne supstance:</w:t>
      </w:r>
      <w:r w:rsidRPr="003F267F">
        <w:rPr>
          <w:b/>
          <w:bCs/>
          <w:sz w:val="22"/>
          <w:szCs w:val="22"/>
          <w:lang w:val="sr-Latn-ME"/>
        </w:rPr>
        <w:t xml:space="preserve"> </w:t>
      </w:r>
      <w:r w:rsidRPr="003F267F">
        <w:rPr>
          <w:sz w:val="22"/>
          <w:szCs w:val="22"/>
          <w:lang w:val="sr-Latn-ME"/>
        </w:rPr>
        <w:t>hidroksipropilceluloza; natrijum skrob</w:t>
      </w:r>
      <w:r w:rsidR="00063F42">
        <w:rPr>
          <w:sz w:val="22"/>
          <w:szCs w:val="22"/>
          <w:lang w:val="sr-Latn-ME"/>
        </w:rPr>
        <w:t xml:space="preserve"> </w:t>
      </w:r>
      <w:r w:rsidRPr="003F267F">
        <w:rPr>
          <w:sz w:val="22"/>
          <w:szCs w:val="22"/>
          <w:lang w:val="sr-Latn-ME"/>
        </w:rPr>
        <w:t>glikolat (tip A); lauroil</w:t>
      </w:r>
      <w:r w:rsidR="00EA6981" w:rsidRPr="003F267F">
        <w:rPr>
          <w:sz w:val="22"/>
          <w:szCs w:val="22"/>
          <w:lang w:val="sr-Latn-ME"/>
        </w:rPr>
        <w:t xml:space="preserve"> </w:t>
      </w:r>
      <w:r w:rsidRPr="003F267F">
        <w:rPr>
          <w:sz w:val="22"/>
          <w:szCs w:val="22"/>
          <w:lang w:val="sr-Latn-ME"/>
        </w:rPr>
        <w:t>makrogolgliceridi; makrogol 20000.</w:t>
      </w:r>
    </w:p>
    <w:p w14:paraId="5A8F175D" w14:textId="77777777" w:rsidR="00894C8A" w:rsidRPr="003F267F" w:rsidRDefault="00894C8A">
      <w:pPr>
        <w:jc w:val="both"/>
        <w:rPr>
          <w:sz w:val="22"/>
          <w:szCs w:val="22"/>
          <w:lang w:val="sr-Latn-ME"/>
        </w:rPr>
      </w:pPr>
    </w:p>
    <w:p w14:paraId="25EE959F" w14:textId="774A9C70" w:rsidR="0005557C" w:rsidRPr="003F267F" w:rsidRDefault="0005557C">
      <w:pPr>
        <w:jc w:val="both"/>
        <w:rPr>
          <w:iCs/>
          <w:sz w:val="22"/>
          <w:szCs w:val="22"/>
          <w:lang w:val="sr-Latn-ME"/>
        </w:rPr>
      </w:pPr>
      <w:r w:rsidRPr="003F267F">
        <w:rPr>
          <w:i/>
          <w:iCs/>
          <w:sz w:val="22"/>
          <w:szCs w:val="22"/>
          <w:lang w:val="sr-Latn-ME"/>
        </w:rPr>
        <w:t>Tvrda želatinska kapsula No.0</w:t>
      </w:r>
      <w:r w:rsidRPr="003F267F">
        <w:rPr>
          <w:iCs/>
          <w:sz w:val="22"/>
          <w:szCs w:val="22"/>
          <w:lang w:val="sr-Latn-ME"/>
        </w:rPr>
        <w:t>:</w:t>
      </w:r>
    </w:p>
    <w:p w14:paraId="4CEEB4C0" w14:textId="72C410BB" w:rsidR="0005557C" w:rsidRPr="003F267F" w:rsidRDefault="0005557C">
      <w:pPr>
        <w:jc w:val="both"/>
        <w:rPr>
          <w:sz w:val="22"/>
          <w:szCs w:val="22"/>
          <w:lang w:val="sr-Latn-ME"/>
        </w:rPr>
      </w:pPr>
      <w:r w:rsidRPr="003F267F">
        <w:rPr>
          <w:iCs/>
          <w:sz w:val="22"/>
          <w:szCs w:val="22"/>
          <w:lang w:val="sr-Latn-ME"/>
        </w:rPr>
        <w:t xml:space="preserve">Tijelo: </w:t>
      </w:r>
      <w:r w:rsidRPr="003F267F">
        <w:rPr>
          <w:sz w:val="22"/>
          <w:szCs w:val="22"/>
          <w:lang w:val="sr-Latn-ME"/>
        </w:rPr>
        <w:t>želatin</w:t>
      </w:r>
      <w:r w:rsidRPr="003F267F">
        <w:rPr>
          <w:iCs/>
          <w:sz w:val="22"/>
          <w:szCs w:val="22"/>
          <w:lang w:val="sr-Latn-ME"/>
        </w:rPr>
        <w:t>, gvožđe</w:t>
      </w:r>
      <w:r w:rsidR="00EA6981" w:rsidRPr="003F267F">
        <w:rPr>
          <w:iCs/>
          <w:sz w:val="22"/>
          <w:szCs w:val="22"/>
          <w:lang w:val="sr-Latn-ME"/>
        </w:rPr>
        <w:t xml:space="preserve"> </w:t>
      </w:r>
      <w:r w:rsidRPr="003F267F">
        <w:rPr>
          <w:iCs/>
          <w:sz w:val="22"/>
          <w:szCs w:val="22"/>
          <w:lang w:val="sr-Latn-ME"/>
        </w:rPr>
        <w:t>(III)</w:t>
      </w:r>
      <w:r w:rsidR="00EA6981" w:rsidRPr="003F267F">
        <w:rPr>
          <w:iCs/>
          <w:sz w:val="22"/>
          <w:szCs w:val="22"/>
          <w:lang w:val="sr-Latn-ME"/>
        </w:rPr>
        <w:t xml:space="preserve"> </w:t>
      </w:r>
      <w:r w:rsidRPr="003F267F">
        <w:rPr>
          <w:iCs/>
          <w:sz w:val="22"/>
          <w:szCs w:val="22"/>
          <w:lang w:val="sr-Latn-ME"/>
        </w:rPr>
        <w:t xml:space="preserve">oksid, crveni </w:t>
      </w:r>
      <w:r w:rsidRPr="003F267F">
        <w:rPr>
          <w:sz w:val="22"/>
          <w:szCs w:val="22"/>
          <w:lang w:val="sr-Latn-ME"/>
        </w:rPr>
        <w:t>(E172)</w:t>
      </w:r>
      <w:r w:rsidRPr="003F267F">
        <w:rPr>
          <w:iCs/>
          <w:sz w:val="22"/>
          <w:szCs w:val="22"/>
          <w:lang w:val="sr-Latn-ME"/>
        </w:rPr>
        <w:t>,  gvožđe</w:t>
      </w:r>
      <w:r w:rsidR="00EA6981" w:rsidRPr="003F267F">
        <w:rPr>
          <w:iCs/>
          <w:sz w:val="22"/>
          <w:szCs w:val="22"/>
          <w:lang w:val="sr-Latn-ME"/>
        </w:rPr>
        <w:t xml:space="preserve"> </w:t>
      </w:r>
      <w:r w:rsidRPr="003F267F">
        <w:rPr>
          <w:iCs/>
          <w:sz w:val="22"/>
          <w:szCs w:val="22"/>
          <w:lang w:val="sr-Latn-ME"/>
        </w:rPr>
        <w:t>(III)</w:t>
      </w:r>
      <w:r w:rsidR="00EA6981" w:rsidRPr="003F267F">
        <w:rPr>
          <w:iCs/>
          <w:sz w:val="22"/>
          <w:szCs w:val="22"/>
          <w:lang w:val="sr-Latn-ME"/>
        </w:rPr>
        <w:t xml:space="preserve"> </w:t>
      </w:r>
      <w:r w:rsidRPr="003F267F">
        <w:rPr>
          <w:iCs/>
          <w:sz w:val="22"/>
          <w:szCs w:val="22"/>
          <w:lang w:val="sr-Latn-ME"/>
        </w:rPr>
        <w:t xml:space="preserve">oksid, žuti </w:t>
      </w:r>
      <w:r w:rsidRPr="003F267F">
        <w:rPr>
          <w:sz w:val="22"/>
          <w:szCs w:val="22"/>
          <w:lang w:val="sr-Latn-ME"/>
        </w:rPr>
        <w:t>(E172)</w:t>
      </w:r>
      <w:r w:rsidRPr="003F267F">
        <w:rPr>
          <w:iCs/>
          <w:sz w:val="22"/>
          <w:szCs w:val="22"/>
          <w:lang w:val="sr-Latn-ME"/>
        </w:rPr>
        <w:t xml:space="preserve">, </w:t>
      </w:r>
      <w:r w:rsidRPr="003F267F">
        <w:rPr>
          <w:sz w:val="22"/>
          <w:szCs w:val="22"/>
          <w:lang w:val="sr-Latn-ME"/>
        </w:rPr>
        <w:t>titan</w:t>
      </w:r>
      <w:r w:rsidR="00EA6981" w:rsidRPr="003F267F">
        <w:rPr>
          <w:sz w:val="22"/>
          <w:szCs w:val="22"/>
          <w:lang w:val="sr-Latn-ME"/>
        </w:rPr>
        <w:t xml:space="preserve"> </w:t>
      </w:r>
      <w:r w:rsidRPr="003F267F">
        <w:rPr>
          <w:sz w:val="22"/>
          <w:szCs w:val="22"/>
          <w:lang w:val="sr-Latn-ME"/>
        </w:rPr>
        <w:t>dioksid (E171).</w:t>
      </w:r>
    </w:p>
    <w:p w14:paraId="7C99083B" w14:textId="65A4B762" w:rsidR="0005557C" w:rsidRPr="003F267F" w:rsidRDefault="0005557C">
      <w:pPr>
        <w:jc w:val="both"/>
        <w:rPr>
          <w:iCs/>
          <w:sz w:val="22"/>
          <w:szCs w:val="22"/>
          <w:lang w:val="sr-Latn-ME"/>
        </w:rPr>
      </w:pPr>
      <w:r w:rsidRPr="003F267F">
        <w:rPr>
          <w:iCs/>
          <w:sz w:val="22"/>
          <w:szCs w:val="22"/>
          <w:lang w:val="sr-Latn-ME"/>
        </w:rPr>
        <w:t xml:space="preserve">Kapa: </w:t>
      </w:r>
      <w:r w:rsidRPr="003F267F">
        <w:rPr>
          <w:sz w:val="22"/>
          <w:szCs w:val="22"/>
          <w:lang w:val="sr-Latn-ME"/>
        </w:rPr>
        <w:t>želatin</w:t>
      </w:r>
      <w:r w:rsidRPr="003F267F">
        <w:rPr>
          <w:iCs/>
          <w:sz w:val="22"/>
          <w:szCs w:val="22"/>
          <w:lang w:val="sr-Latn-ME"/>
        </w:rPr>
        <w:t>, gvožđe</w:t>
      </w:r>
      <w:r w:rsidR="00EA6981" w:rsidRPr="003F267F">
        <w:rPr>
          <w:iCs/>
          <w:sz w:val="22"/>
          <w:szCs w:val="22"/>
          <w:lang w:val="sr-Latn-ME"/>
        </w:rPr>
        <w:t xml:space="preserve"> </w:t>
      </w:r>
      <w:r w:rsidRPr="003F267F">
        <w:rPr>
          <w:iCs/>
          <w:sz w:val="22"/>
          <w:szCs w:val="22"/>
          <w:lang w:val="sr-Latn-ME"/>
        </w:rPr>
        <w:t>(III)</w:t>
      </w:r>
      <w:r w:rsidR="00EA6981" w:rsidRPr="003F267F">
        <w:rPr>
          <w:iCs/>
          <w:sz w:val="22"/>
          <w:szCs w:val="22"/>
          <w:lang w:val="sr-Latn-ME"/>
        </w:rPr>
        <w:t xml:space="preserve"> </w:t>
      </w:r>
      <w:r w:rsidRPr="003F267F">
        <w:rPr>
          <w:iCs/>
          <w:sz w:val="22"/>
          <w:szCs w:val="22"/>
          <w:lang w:val="sr-Latn-ME"/>
        </w:rPr>
        <w:t xml:space="preserve">oksid, crni </w:t>
      </w:r>
      <w:r w:rsidRPr="003F267F">
        <w:rPr>
          <w:sz w:val="22"/>
          <w:szCs w:val="22"/>
          <w:lang w:val="sr-Latn-ME"/>
        </w:rPr>
        <w:t>(E172)</w:t>
      </w:r>
      <w:r w:rsidRPr="003F267F">
        <w:rPr>
          <w:iCs/>
          <w:sz w:val="22"/>
          <w:szCs w:val="22"/>
          <w:lang w:val="sr-Latn-ME"/>
        </w:rPr>
        <w:t xml:space="preserve">, </w:t>
      </w:r>
      <w:r w:rsidRPr="003F267F">
        <w:rPr>
          <w:sz w:val="22"/>
          <w:szCs w:val="22"/>
          <w:lang w:val="sr-Latn-ME"/>
        </w:rPr>
        <w:t>gvožđe</w:t>
      </w:r>
      <w:r w:rsidR="00EA6981" w:rsidRPr="003F267F">
        <w:rPr>
          <w:sz w:val="22"/>
          <w:szCs w:val="22"/>
          <w:lang w:val="sr-Latn-ME"/>
        </w:rPr>
        <w:t xml:space="preserve"> </w:t>
      </w:r>
      <w:r w:rsidRPr="003F267F">
        <w:rPr>
          <w:sz w:val="22"/>
          <w:szCs w:val="22"/>
          <w:lang w:val="sr-Latn-ME"/>
        </w:rPr>
        <w:t>(III)</w:t>
      </w:r>
      <w:r w:rsidR="00EA6981" w:rsidRPr="003F267F">
        <w:rPr>
          <w:sz w:val="22"/>
          <w:szCs w:val="22"/>
          <w:lang w:val="sr-Latn-ME"/>
        </w:rPr>
        <w:t xml:space="preserve"> </w:t>
      </w:r>
      <w:r w:rsidRPr="003F267F">
        <w:rPr>
          <w:sz w:val="22"/>
          <w:szCs w:val="22"/>
          <w:lang w:val="sr-Latn-ME"/>
        </w:rPr>
        <w:t>oksid, žuti (E172); titan dioksid (E171)</w:t>
      </w:r>
      <w:r w:rsidRPr="003F267F">
        <w:rPr>
          <w:iCs/>
          <w:sz w:val="22"/>
          <w:szCs w:val="22"/>
          <w:lang w:val="sr-Latn-ME"/>
        </w:rPr>
        <w:t xml:space="preserve">, </w:t>
      </w:r>
      <w:r w:rsidRPr="003F267F">
        <w:rPr>
          <w:sz w:val="22"/>
          <w:szCs w:val="22"/>
          <w:lang w:val="sr-Latn-ME"/>
        </w:rPr>
        <w:t>indigotin I (E132).</w:t>
      </w:r>
    </w:p>
    <w:p w14:paraId="7BB74796" w14:textId="77777777" w:rsidR="0005557C" w:rsidRPr="003F267F" w:rsidRDefault="0005557C" w:rsidP="00894C8A">
      <w:pPr>
        <w:tabs>
          <w:tab w:val="left" w:pos="540"/>
          <w:tab w:val="left" w:pos="569"/>
        </w:tabs>
        <w:jc w:val="both"/>
        <w:rPr>
          <w:bCs/>
          <w:sz w:val="22"/>
          <w:szCs w:val="22"/>
          <w:lang w:val="sr-Latn-ME"/>
        </w:rPr>
      </w:pPr>
    </w:p>
    <w:p w14:paraId="25F1EDAE"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6.2. </w:t>
      </w:r>
      <w:r w:rsidR="00480FB1" w:rsidRPr="003F267F">
        <w:rPr>
          <w:b/>
          <w:bCs/>
          <w:sz w:val="22"/>
          <w:szCs w:val="22"/>
          <w:lang w:val="sr-Latn-ME"/>
        </w:rPr>
        <w:tab/>
      </w:r>
      <w:r w:rsidRPr="003F267F">
        <w:rPr>
          <w:b/>
          <w:bCs/>
          <w:sz w:val="22"/>
          <w:szCs w:val="22"/>
          <w:lang w:val="sr-Latn-ME"/>
        </w:rPr>
        <w:t>Inkompatibilnost</w:t>
      </w:r>
      <w:r w:rsidR="002846DB" w:rsidRPr="003F267F">
        <w:rPr>
          <w:b/>
          <w:bCs/>
          <w:sz w:val="22"/>
          <w:szCs w:val="22"/>
          <w:lang w:val="sr-Latn-ME"/>
        </w:rPr>
        <w:t>i</w:t>
      </w:r>
    </w:p>
    <w:p w14:paraId="448D795C" w14:textId="77777777" w:rsidR="009D437E" w:rsidRPr="003F267F" w:rsidRDefault="009D437E">
      <w:pPr>
        <w:pStyle w:val="Header"/>
        <w:tabs>
          <w:tab w:val="left" w:pos="284"/>
        </w:tabs>
        <w:jc w:val="both"/>
        <w:rPr>
          <w:sz w:val="22"/>
          <w:szCs w:val="22"/>
          <w:lang w:val="sr-Latn-ME"/>
        </w:rPr>
      </w:pPr>
    </w:p>
    <w:p w14:paraId="04E4C173" w14:textId="26AD2313" w:rsidR="009D437E" w:rsidRPr="003F267F" w:rsidRDefault="009D437E">
      <w:pPr>
        <w:pStyle w:val="Header"/>
        <w:tabs>
          <w:tab w:val="left" w:pos="284"/>
        </w:tabs>
        <w:jc w:val="both"/>
        <w:rPr>
          <w:sz w:val="22"/>
          <w:szCs w:val="22"/>
          <w:lang w:val="sr-Latn-ME"/>
        </w:rPr>
      </w:pPr>
      <w:r w:rsidRPr="003F267F">
        <w:rPr>
          <w:sz w:val="22"/>
          <w:szCs w:val="22"/>
          <w:lang w:val="sr-Latn-ME"/>
        </w:rPr>
        <w:t>Nije primjenljivo.</w:t>
      </w:r>
    </w:p>
    <w:p w14:paraId="25F1EDAF" w14:textId="77777777" w:rsidR="0072020E" w:rsidRPr="003F267F" w:rsidRDefault="0072020E" w:rsidP="00894C8A">
      <w:pPr>
        <w:tabs>
          <w:tab w:val="left" w:pos="540"/>
          <w:tab w:val="left" w:pos="569"/>
        </w:tabs>
        <w:jc w:val="both"/>
        <w:rPr>
          <w:bCs/>
          <w:sz w:val="22"/>
          <w:szCs w:val="22"/>
          <w:lang w:val="sr-Latn-ME"/>
        </w:rPr>
      </w:pPr>
    </w:p>
    <w:p w14:paraId="25F1EDB0"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6.3.</w:t>
      </w:r>
      <w:r w:rsidR="00C05DF8" w:rsidRPr="003F267F">
        <w:rPr>
          <w:b/>
          <w:bCs/>
          <w:sz w:val="22"/>
          <w:szCs w:val="22"/>
          <w:lang w:val="sr-Latn-ME"/>
        </w:rPr>
        <w:t xml:space="preserve"> </w:t>
      </w:r>
      <w:r w:rsidR="00480FB1" w:rsidRPr="003F267F">
        <w:rPr>
          <w:b/>
          <w:bCs/>
          <w:sz w:val="22"/>
          <w:szCs w:val="22"/>
          <w:lang w:val="sr-Latn-ME"/>
        </w:rPr>
        <w:tab/>
      </w:r>
      <w:r w:rsidRPr="003F267F">
        <w:rPr>
          <w:b/>
          <w:bCs/>
          <w:sz w:val="22"/>
          <w:szCs w:val="22"/>
          <w:lang w:val="sr-Latn-ME"/>
        </w:rPr>
        <w:t>Rok upotrebe</w:t>
      </w:r>
    </w:p>
    <w:p w14:paraId="25F1EDB1" w14:textId="679F80E8" w:rsidR="0072020E" w:rsidRPr="003F267F" w:rsidRDefault="0072020E" w:rsidP="00894C8A">
      <w:pPr>
        <w:tabs>
          <w:tab w:val="left" w:pos="540"/>
          <w:tab w:val="left" w:pos="569"/>
        </w:tabs>
        <w:jc w:val="both"/>
        <w:rPr>
          <w:bCs/>
          <w:sz w:val="22"/>
          <w:szCs w:val="22"/>
          <w:lang w:val="sr-Latn-ME"/>
        </w:rPr>
      </w:pPr>
    </w:p>
    <w:p w14:paraId="2C030C1F" w14:textId="77777777" w:rsidR="00880FAC" w:rsidRPr="003F267F" w:rsidRDefault="00880FAC">
      <w:pPr>
        <w:pStyle w:val="Subsection"/>
        <w:jc w:val="both"/>
        <w:rPr>
          <w:sz w:val="22"/>
          <w:szCs w:val="22"/>
          <w:lang w:val="sr-Latn-ME"/>
        </w:rPr>
      </w:pPr>
      <w:r w:rsidRPr="003F267F">
        <w:rPr>
          <w:bCs/>
          <w:sz w:val="22"/>
          <w:szCs w:val="22"/>
          <w:lang w:val="sr-Latn-ME"/>
        </w:rPr>
        <w:t>3</w:t>
      </w:r>
      <w:r w:rsidRPr="003F267F">
        <w:rPr>
          <w:b/>
          <w:bCs/>
          <w:sz w:val="22"/>
          <w:szCs w:val="22"/>
          <w:lang w:val="sr-Latn-ME"/>
        </w:rPr>
        <w:t xml:space="preserve"> </w:t>
      </w:r>
      <w:r w:rsidRPr="003F267F">
        <w:rPr>
          <w:sz w:val="22"/>
          <w:szCs w:val="22"/>
          <w:lang w:val="sr-Latn-ME"/>
        </w:rPr>
        <w:t>godine.</w:t>
      </w:r>
    </w:p>
    <w:p w14:paraId="6D2127DC" w14:textId="77777777" w:rsidR="00880FAC" w:rsidRPr="003F267F" w:rsidRDefault="00880FAC" w:rsidP="00894C8A">
      <w:pPr>
        <w:tabs>
          <w:tab w:val="left" w:pos="540"/>
          <w:tab w:val="left" w:pos="569"/>
        </w:tabs>
        <w:jc w:val="both"/>
        <w:rPr>
          <w:bCs/>
          <w:sz w:val="22"/>
          <w:szCs w:val="22"/>
          <w:lang w:val="sr-Latn-ME"/>
        </w:rPr>
      </w:pPr>
    </w:p>
    <w:p w14:paraId="25F1EDB2"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6.4. </w:t>
      </w:r>
      <w:r w:rsidR="00480FB1" w:rsidRPr="003F267F">
        <w:rPr>
          <w:b/>
          <w:bCs/>
          <w:sz w:val="22"/>
          <w:szCs w:val="22"/>
          <w:lang w:val="sr-Latn-ME"/>
        </w:rPr>
        <w:tab/>
      </w:r>
      <w:r w:rsidRPr="003F267F">
        <w:rPr>
          <w:b/>
          <w:bCs/>
          <w:sz w:val="22"/>
          <w:szCs w:val="22"/>
          <w:lang w:val="sr-Latn-ME"/>
        </w:rPr>
        <w:t>Posebne mjere upozorenja pri čuvanju</w:t>
      </w:r>
      <w:r w:rsidR="00F8570A" w:rsidRPr="003F267F">
        <w:rPr>
          <w:b/>
          <w:bCs/>
          <w:sz w:val="22"/>
          <w:szCs w:val="22"/>
          <w:lang w:val="sr-Latn-ME"/>
        </w:rPr>
        <w:t xml:space="preserve"> lijeka</w:t>
      </w:r>
    </w:p>
    <w:p w14:paraId="25F1EDB3" w14:textId="71089553" w:rsidR="00EC2532" w:rsidRPr="003F267F" w:rsidRDefault="00EC2532" w:rsidP="00894C8A">
      <w:pPr>
        <w:tabs>
          <w:tab w:val="left" w:pos="540"/>
          <w:tab w:val="left" w:pos="569"/>
        </w:tabs>
        <w:jc w:val="both"/>
        <w:rPr>
          <w:bCs/>
          <w:sz w:val="22"/>
          <w:szCs w:val="22"/>
          <w:lang w:val="sr-Latn-ME"/>
        </w:rPr>
      </w:pPr>
    </w:p>
    <w:p w14:paraId="7A5D05BC" w14:textId="77777777" w:rsidR="00882803" w:rsidRPr="003F267F" w:rsidRDefault="00882803">
      <w:pPr>
        <w:jc w:val="both"/>
        <w:rPr>
          <w:sz w:val="22"/>
          <w:szCs w:val="22"/>
          <w:lang w:val="sr-Latn-ME"/>
        </w:rPr>
      </w:pPr>
      <w:r w:rsidRPr="003F267F">
        <w:rPr>
          <w:sz w:val="22"/>
          <w:szCs w:val="22"/>
          <w:lang w:val="sr-Latn-ME"/>
        </w:rPr>
        <w:t>Ovaj lijek ne zahtjeva posebne uslove čuvanja.</w:t>
      </w:r>
    </w:p>
    <w:p w14:paraId="71558F07" w14:textId="77777777" w:rsidR="00882803" w:rsidRPr="003F267F" w:rsidRDefault="00882803" w:rsidP="00894C8A">
      <w:pPr>
        <w:tabs>
          <w:tab w:val="left" w:pos="540"/>
          <w:tab w:val="left" w:pos="569"/>
        </w:tabs>
        <w:jc w:val="both"/>
        <w:rPr>
          <w:bCs/>
          <w:sz w:val="22"/>
          <w:szCs w:val="22"/>
          <w:lang w:val="sr-Latn-ME"/>
        </w:rPr>
      </w:pPr>
    </w:p>
    <w:p w14:paraId="25F1EDB4" w14:textId="77777777" w:rsidR="0072020E"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6.5. </w:t>
      </w:r>
      <w:r w:rsidR="00480FB1" w:rsidRPr="003F267F">
        <w:rPr>
          <w:b/>
          <w:bCs/>
          <w:sz w:val="22"/>
          <w:szCs w:val="22"/>
          <w:lang w:val="sr-Latn-ME"/>
        </w:rPr>
        <w:tab/>
      </w:r>
      <w:r w:rsidR="002846DB" w:rsidRPr="003F267F">
        <w:rPr>
          <w:b/>
          <w:bCs/>
          <w:sz w:val="22"/>
          <w:szCs w:val="22"/>
          <w:lang w:val="sr-Latn-ME"/>
        </w:rPr>
        <w:t xml:space="preserve">Vrsta i sadržaj </w:t>
      </w:r>
      <w:r w:rsidR="00F8570A" w:rsidRPr="003F267F">
        <w:rPr>
          <w:b/>
          <w:bCs/>
          <w:sz w:val="22"/>
          <w:szCs w:val="22"/>
          <w:lang w:val="sr-Latn-ME"/>
        </w:rPr>
        <w:t>pakovanja</w:t>
      </w:r>
      <w:r w:rsidR="00C06864" w:rsidRPr="003F267F">
        <w:rPr>
          <w:b/>
          <w:bCs/>
          <w:sz w:val="22"/>
          <w:szCs w:val="22"/>
          <w:lang w:val="sr-Latn-ME"/>
        </w:rPr>
        <w:t xml:space="preserve"> </w:t>
      </w:r>
    </w:p>
    <w:p w14:paraId="25F1EDB5" w14:textId="20D093F0" w:rsidR="0072020E" w:rsidRPr="003F267F" w:rsidRDefault="0072020E" w:rsidP="00894C8A">
      <w:pPr>
        <w:tabs>
          <w:tab w:val="left" w:pos="540"/>
          <w:tab w:val="left" w:pos="569"/>
        </w:tabs>
        <w:jc w:val="both"/>
        <w:rPr>
          <w:bCs/>
          <w:sz w:val="22"/>
          <w:szCs w:val="22"/>
          <w:lang w:val="sr-Latn-ME"/>
        </w:rPr>
      </w:pPr>
    </w:p>
    <w:p w14:paraId="27709DD9" w14:textId="6E8C286A" w:rsidR="006C0522" w:rsidRPr="003F267F" w:rsidRDefault="006C0522">
      <w:pPr>
        <w:jc w:val="both"/>
        <w:rPr>
          <w:sz w:val="22"/>
          <w:szCs w:val="22"/>
          <w:lang w:val="sr-Latn-ME"/>
        </w:rPr>
      </w:pPr>
      <w:r w:rsidRPr="003F267F">
        <w:rPr>
          <w:sz w:val="22"/>
          <w:szCs w:val="22"/>
          <w:lang w:val="sr-Latn-ME"/>
        </w:rPr>
        <w:t>Unutrašnje pakovanje lijeka je PVC/Alu blister koji sadrži 10 kapsula, tvrdih.</w:t>
      </w:r>
    </w:p>
    <w:p w14:paraId="26644DE6" w14:textId="39EB345F" w:rsidR="006C0522" w:rsidRPr="003F267F" w:rsidRDefault="006C0522">
      <w:pPr>
        <w:jc w:val="both"/>
        <w:rPr>
          <w:sz w:val="22"/>
          <w:szCs w:val="22"/>
          <w:lang w:val="sr-Latn-ME"/>
        </w:rPr>
      </w:pPr>
      <w:r w:rsidRPr="003F267F">
        <w:rPr>
          <w:sz w:val="22"/>
          <w:szCs w:val="22"/>
          <w:lang w:val="sr-Latn-ME"/>
        </w:rPr>
        <w:t>Spoljašnje pakovanje lijeka je složiva kartonska kutija u kojoj se nalaze 3 blistera i Uputstvo za lijek.</w:t>
      </w:r>
    </w:p>
    <w:p w14:paraId="0F44FB2E" w14:textId="77777777" w:rsidR="003773E6" w:rsidRPr="003F267F" w:rsidRDefault="003773E6">
      <w:pPr>
        <w:jc w:val="both"/>
        <w:rPr>
          <w:sz w:val="22"/>
          <w:szCs w:val="22"/>
          <w:lang w:val="sr-Latn-ME"/>
        </w:rPr>
      </w:pPr>
    </w:p>
    <w:p w14:paraId="25F1EDB6" w14:textId="1322868C" w:rsidR="002846DB" w:rsidRPr="003F267F" w:rsidRDefault="0072020E" w:rsidP="00894C8A">
      <w:pPr>
        <w:tabs>
          <w:tab w:val="left" w:pos="540"/>
          <w:tab w:val="left" w:pos="569"/>
        </w:tabs>
        <w:jc w:val="both"/>
        <w:rPr>
          <w:b/>
          <w:bCs/>
          <w:sz w:val="22"/>
          <w:szCs w:val="22"/>
          <w:lang w:val="sr-Latn-ME"/>
        </w:rPr>
      </w:pPr>
      <w:r w:rsidRPr="003F267F">
        <w:rPr>
          <w:b/>
          <w:bCs/>
          <w:sz w:val="22"/>
          <w:szCs w:val="22"/>
          <w:lang w:val="sr-Latn-ME"/>
        </w:rPr>
        <w:t xml:space="preserve">6.6. </w:t>
      </w:r>
      <w:r w:rsidR="00480FB1" w:rsidRPr="003F267F">
        <w:rPr>
          <w:b/>
          <w:bCs/>
          <w:sz w:val="22"/>
          <w:szCs w:val="22"/>
          <w:lang w:val="sr-Latn-ME"/>
        </w:rPr>
        <w:tab/>
      </w:r>
      <w:r w:rsidRPr="003F267F">
        <w:rPr>
          <w:b/>
          <w:bCs/>
          <w:color w:val="000000"/>
          <w:sz w:val="22"/>
          <w:szCs w:val="22"/>
          <w:lang w:val="sr-Latn-ME"/>
        </w:rPr>
        <w:t>Posebne mjere opreza pri odlaganju materijala koji treba odbaciti nakon primjene lijeka</w:t>
      </w:r>
      <w:r w:rsidRPr="003F267F">
        <w:rPr>
          <w:b/>
          <w:bCs/>
          <w:sz w:val="22"/>
          <w:szCs w:val="22"/>
          <w:lang w:val="sr-Latn-ME"/>
        </w:rPr>
        <w:t xml:space="preserve"> </w:t>
      </w:r>
      <w:r w:rsidR="00310F03" w:rsidRPr="003F267F">
        <w:rPr>
          <w:b/>
          <w:bCs/>
          <w:sz w:val="22"/>
          <w:szCs w:val="22"/>
          <w:lang w:val="sr-Latn-ME"/>
        </w:rPr>
        <w:t>(i druga uputs</w:t>
      </w:r>
      <w:r w:rsidR="003068B1" w:rsidRPr="003F267F">
        <w:rPr>
          <w:b/>
          <w:bCs/>
          <w:sz w:val="22"/>
          <w:szCs w:val="22"/>
          <w:lang w:val="sr-Latn-ME"/>
        </w:rPr>
        <w:t>t</w:t>
      </w:r>
      <w:r w:rsidR="00310F03" w:rsidRPr="003F267F">
        <w:rPr>
          <w:b/>
          <w:bCs/>
          <w:sz w:val="22"/>
          <w:szCs w:val="22"/>
          <w:lang w:val="sr-Latn-ME"/>
        </w:rPr>
        <w:t xml:space="preserve">va za rukovanje lijekom) </w:t>
      </w:r>
    </w:p>
    <w:p w14:paraId="25F1EDB7" w14:textId="77777777" w:rsidR="00B66A70" w:rsidRPr="003F267F" w:rsidRDefault="00B66A70" w:rsidP="00894C8A">
      <w:pPr>
        <w:tabs>
          <w:tab w:val="left" w:pos="540"/>
          <w:tab w:val="left" w:pos="569"/>
        </w:tabs>
        <w:jc w:val="both"/>
        <w:rPr>
          <w:b/>
          <w:bCs/>
          <w:sz w:val="22"/>
          <w:szCs w:val="22"/>
          <w:lang w:val="sr-Latn-ME"/>
        </w:rPr>
      </w:pPr>
    </w:p>
    <w:p w14:paraId="55226F55" w14:textId="77777777" w:rsidR="00C9152F" w:rsidRPr="003F267F" w:rsidRDefault="00C9152F">
      <w:pPr>
        <w:jc w:val="both"/>
        <w:rPr>
          <w:bCs/>
          <w:sz w:val="22"/>
          <w:szCs w:val="22"/>
          <w:lang w:val="sr-Latn-ME"/>
        </w:rPr>
      </w:pPr>
      <w:r w:rsidRPr="003F267F">
        <w:rPr>
          <w:bCs/>
          <w:sz w:val="22"/>
          <w:szCs w:val="22"/>
          <w:lang w:val="sr-Latn-ME"/>
        </w:rPr>
        <w:t>Svu neiskorišćenu količinu lijeka ili otpadnog materijala nakon njegove upotrebe treba ukloniti, u skladu sa važećim propisima.</w:t>
      </w:r>
    </w:p>
    <w:p w14:paraId="25F1EDB8" w14:textId="194932BD" w:rsidR="0072020E" w:rsidRPr="003F267F" w:rsidRDefault="0072020E" w:rsidP="00A80EFC">
      <w:pPr>
        <w:tabs>
          <w:tab w:val="left" w:pos="540"/>
          <w:tab w:val="left" w:pos="569"/>
        </w:tabs>
        <w:jc w:val="both"/>
        <w:rPr>
          <w:bCs/>
          <w:sz w:val="22"/>
          <w:szCs w:val="22"/>
          <w:lang w:val="sr-Latn-ME"/>
        </w:rPr>
      </w:pPr>
    </w:p>
    <w:p w14:paraId="282C41E5" w14:textId="77777777" w:rsidR="00BE15CB" w:rsidRPr="003F267F" w:rsidRDefault="00BE15CB" w:rsidP="00A80EFC">
      <w:pPr>
        <w:tabs>
          <w:tab w:val="left" w:pos="540"/>
          <w:tab w:val="left" w:pos="569"/>
        </w:tabs>
        <w:jc w:val="both"/>
        <w:rPr>
          <w:bCs/>
          <w:sz w:val="22"/>
          <w:szCs w:val="22"/>
          <w:lang w:val="sr-Latn-ME"/>
        </w:rPr>
      </w:pPr>
    </w:p>
    <w:p w14:paraId="25F1EDB9" w14:textId="77777777" w:rsidR="00F8570A" w:rsidRPr="003F267F" w:rsidRDefault="0072020E" w:rsidP="00A80EFC">
      <w:pPr>
        <w:tabs>
          <w:tab w:val="left" w:pos="540"/>
          <w:tab w:val="left" w:pos="569"/>
        </w:tabs>
        <w:jc w:val="both"/>
        <w:rPr>
          <w:b/>
          <w:bCs/>
          <w:sz w:val="22"/>
          <w:szCs w:val="22"/>
          <w:lang w:val="sr-Latn-ME"/>
        </w:rPr>
      </w:pPr>
      <w:r w:rsidRPr="003F267F">
        <w:rPr>
          <w:b/>
          <w:bCs/>
          <w:sz w:val="22"/>
          <w:szCs w:val="22"/>
          <w:lang w:val="sr-Latn-ME"/>
        </w:rPr>
        <w:t xml:space="preserve">7. </w:t>
      </w:r>
      <w:r w:rsidR="00480FB1" w:rsidRPr="003F267F">
        <w:rPr>
          <w:b/>
          <w:bCs/>
          <w:sz w:val="22"/>
          <w:szCs w:val="22"/>
          <w:lang w:val="sr-Latn-ME"/>
        </w:rPr>
        <w:tab/>
      </w:r>
      <w:r w:rsidRPr="003F267F">
        <w:rPr>
          <w:b/>
          <w:bCs/>
          <w:sz w:val="22"/>
          <w:szCs w:val="22"/>
          <w:lang w:val="sr-Latn-ME"/>
        </w:rPr>
        <w:t>NOSILAC DOZVOLE</w:t>
      </w:r>
      <w:r w:rsidR="00483928" w:rsidRPr="003F267F">
        <w:rPr>
          <w:b/>
          <w:bCs/>
          <w:sz w:val="22"/>
          <w:szCs w:val="22"/>
          <w:lang w:val="sr-Latn-ME"/>
        </w:rPr>
        <w:t xml:space="preserve"> </w:t>
      </w:r>
    </w:p>
    <w:p w14:paraId="25F1EDBA" w14:textId="41298A20" w:rsidR="00C61BE0" w:rsidRPr="003F267F" w:rsidRDefault="00C61BE0" w:rsidP="00A80EFC">
      <w:pPr>
        <w:tabs>
          <w:tab w:val="left" w:pos="540"/>
          <w:tab w:val="left" w:pos="569"/>
        </w:tabs>
        <w:jc w:val="both"/>
        <w:rPr>
          <w:bCs/>
          <w:sz w:val="22"/>
          <w:szCs w:val="22"/>
          <w:lang w:val="sr-Latn-ME"/>
        </w:rPr>
      </w:pPr>
    </w:p>
    <w:p w14:paraId="71A4C417" w14:textId="053EC46A" w:rsidR="00E92348" w:rsidRPr="003F267F" w:rsidRDefault="00E92348">
      <w:pPr>
        <w:pStyle w:val="Header"/>
        <w:tabs>
          <w:tab w:val="left" w:pos="284"/>
        </w:tabs>
        <w:jc w:val="both"/>
        <w:rPr>
          <w:bCs/>
          <w:sz w:val="22"/>
          <w:szCs w:val="22"/>
          <w:lang w:val="sr-Latn-ME"/>
        </w:rPr>
      </w:pPr>
      <w:r w:rsidRPr="003F267F">
        <w:rPr>
          <w:bCs/>
          <w:sz w:val="22"/>
          <w:szCs w:val="22"/>
          <w:lang w:val="sr-Latn-ME"/>
        </w:rPr>
        <w:t>PharmaSwiss</w:t>
      </w:r>
      <w:r w:rsidR="00560055" w:rsidRPr="003F267F">
        <w:rPr>
          <w:bCs/>
          <w:sz w:val="22"/>
          <w:szCs w:val="22"/>
          <w:lang w:val="sr-Latn-ME"/>
        </w:rPr>
        <w:t xml:space="preserve"> </w:t>
      </w:r>
      <w:r w:rsidRPr="003F267F">
        <w:rPr>
          <w:bCs/>
          <w:sz w:val="22"/>
          <w:szCs w:val="22"/>
          <w:lang w:val="sr-Latn-ME"/>
        </w:rPr>
        <w:t>-</w:t>
      </w:r>
      <w:r w:rsidR="00560055" w:rsidRPr="003F267F">
        <w:rPr>
          <w:bCs/>
          <w:sz w:val="22"/>
          <w:szCs w:val="22"/>
          <w:lang w:val="sr-Latn-ME"/>
        </w:rPr>
        <w:t xml:space="preserve"> </w:t>
      </w:r>
      <w:r w:rsidR="002705A9">
        <w:rPr>
          <w:bCs/>
          <w:sz w:val="22"/>
          <w:szCs w:val="22"/>
          <w:lang w:val="sr-Latn-ME"/>
        </w:rPr>
        <w:t>Montenegro, PharmaSwiss doo</w:t>
      </w:r>
      <w:bookmarkStart w:id="2" w:name="_GoBack"/>
      <w:bookmarkEnd w:id="2"/>
      <w:r w:rsidRPr="003F267F">
        <w:rPr>
          <w:bCs/>
          <w:sz w:val="22"/>
          <w:szCs w:val="22"/>
          <w:lang w:val="sr-Latn-ME"/>
        </w:rPr>
        <w:t xml:space="preserve"> Beograd,  dio stranog društva u Podgorici, Rimski </w:t>
      </w:r>
      <w:r w:rsidR="00560055" w:rsidRPr="003F267F">
        <w:rPr>
          <w:bCs/>
          <w:sz w:val="22"/>
          <w:szCs w:val="22"/>
          <w:lang w:val="sr-Latn-ME"/>
        </w:rPr>
        <w:t>t</w:t>
      </w:r>
      <w:r w:rsidRPr="003F267F">
        <w:rPr>
          <w:bCs/>
          <w:sz w:val="22"/>
          <w:szCs w:val="22"/>
          <w:lang w:val="sr-Latn-ME"/>
        </w:rPr>
        <w:t xml:space="preserve">rg </w:t>
      </w:r>
      <w:r w:rsidR="00A80EFC" w:rsidRPr="003F267F">
        <w:rPr>
          <w:bCs/>
          <w:sz w:val="22"/>
          <w:szCs w:val="22"/>
          <w:lang w:val="sr-Latn-ME"/>
        </w:rPr>
        <w:t xml:space="preserve">br. </w:t>
      </w:r>
      <w:r w:rsidRPr="003F267F">
        <w:rPr>
          <w:bCs/>
          <w:sz w:val="22"/>
          <w:szCs w:val="22"/>
          <w:lang w:val="sr-Latn-ME"/>
        </w:rPr>
        <w:t>16, Podgorica, Crna Gora</w:t>
      </w:r>
    </w:p>
    <w:p w14:paraId="25F1EDBB" w14:textId="14114DD7" w:rsidR="00C37FD7" w:rsidRPr="003F267F" w:rsidRDefault="00C37FD7" w:rsidP="00A80EFC">
      <w:pPr>
        <w:tabs>
          <w:tab w:val="left" w:pos="540"/>
          <w:tab w:val="left" w:pos="569"/>
        </w:tabs>
        <w:jc w:val="both"/>
        <w:rPr>
          <w:bCs/>
          <w:sz w:val="22"/>
          <w:szCs w:val="22"/>
          <w:lang w:val="sr-Latn-ME"/>
        </w:rPr>
      </w:pPr>
    </w:p>
    <w:p w14:paraId="76E3F91C" w14:textId="77777777" w:rsidR="00BE15CB" w:rsidRPr="003F267F" w:rsidRDefault="00BE15CB" w:rsidP="00A80EFC">
      <w:pPr>
        <w:tabs>
          <w:tab w:val="left" w:pos="540"/>
          <w:tab w:val="left" w:pos="569"/>
        </w:tabs>
        <w:jc w:val="both"/>
        <w:rPr>
          <w:bCs/>
          <w:sz w:val="22"/>
          <w:szCs w:val="22"/>
          <w:lang w:val="sr-Latn-ME"/>
        </w:rPr>
      </w:pPr>
    </w:p>
    <w:p w14:paraId="25F1EDBC" w14:textId="77777777" w:rsidR="0072020E" w:rsidRPr="003F267F" w:rsidRDefault="0072020E" w:rsidP="00A80EFC">
      <w:pPr>
        <w:tabs>
          <w:tab w:val="left" w:pos="540"/>
          <w:tab w:val="left" w:pos="569"/>
        </w:tabs>
        <w:jc w:val="both"/>
        <w:rPr>
          <w:b/>
          <w:bCs/>
          <w:sz w:val="22"/>
          <w:szCs w:val="22"/>
          <w:lang w:val="sr-Latn-ME"/>
        </w:rPr>
      </w:pPr>
      <w:r w:rsidRPr="003F267F">
        <w:rPr>
          <w:b/>
          <w:bCs/>
          <w:sz w:val="22"/>
          <w:szCs w:val="22"/>
          <w:lang w:val="sr-Latn-ME"/>
        </w:rPr>
        <w:t xml:space="preserve">8. </w:t>
      </w:r>
      <w:r w:rsidR="00480FB1" w:rsidRPr="003F267F">
        <w:rPr>
          <w:b/>
          <w:bCs/>
          <w:sz w:val="22"/>
          <w:szCs w:val="22"/>
          <w:lang w:val="sr-Latn-ME"/>
        </w:rPr>
        <w:tab/>
      </w:r>
      <w:r w:rsidRPr="003F267F">
        <w:rPr>
          <w:b/>
          <w:bCs/>
          <w:sz w:val="22"/>
          <w:szCs w:val="22"/>
          <w:lang w:val="sr-Latn-ME"/>
        </w:rPr>
        <w:t>BROJ DOZVOLE</w:t>
      </w:r>
      <w:r w:rsidR="008A6D43" w:rsidRPr="003F267F">
        <w:rPr>
          <w:b/>
          <w:bCs/>
          <w:sz w:val="22"/>
          <w:szCs w:val="22"/>
          <w:lang w:val="sr-Latn-ME"/>
        </w:rPr>
        <w:t xml:space="preserve"> ZA STAVLJANJE LIJEKA U PROMET</w:t>
      </w:r>
    </w:p>
    <w:p w14:paraId="62F22123" w14:textId="77777777" w:rsidR="003773E6" w:rsidRPr="003F267F" w:rsidRDefault="003773E6">
      <w:pPr>
        <w:pStyle w:val="leipa"/>
        <w:spacing w:before="0" w:beforeAutospacing="0" w:after="0" w:afterAutospacing="0"/>
        <w:jc w:val="both"/>
        <w:rPr>
          <w:rFonts w:ascii="Times New Roman" w:hAnsi="Times New Roman" w:cs="Times New Roman"/>
          <w:bCs/>
          <w:sz w:val="22"/>
          <w:szCs w:val="22"/>
          <w:lang w:val="sr-Latn-ME"/>
        </w:rPr>
      </w:pPr>
    </w:p>
    <w:p w14:paraId="36B720F8" w14:textId="027D99F8" w:rsidR="003773E6" w:rsidRPr="003F267F" w:rsidRDefault="00BF6466">
      <w:pPr>
        <w:pStyle w:val="leipa"/>
        <w:spacing w:before="0" w:beforeAutospacing="0" w:after="0" w:afterAutospacing="0"/>
        <w:jc w:val="both"/>
        <w:rPr>
          <w:rFonts w:ascii="Times New Roman" w:hAnsi="Times New Roman" w:cs="Times New Roman"/>
          <w:sz w:val="22"/>
          <w:szCs w:val="22"/>
          <w:lang w:val="sr-Latn-ME"/>
        </w:rPr>
      </w:pPr>
      <w:r w:rsidRPr="003F267F">
        <w:rPr>
          <w:rFonts w:ascii="Times New Roman" w:hAnsi="Times New Roman" w:cs="Times New Roman"/>
          <w:sz w:val="22"/>
          <w:szCs w:val="22"/>
          <w:lang w:val="sr-Latn-ME" w:eastAsia="sr-Latn-ME"/>
        </w:rPr>
        <w:t>2030/23/3562 - 8430</w:t>
      </w:r>
    </w:p>
    <w:p w14:paraId="57598AB0" w14:textId="77777777" w:rsidR="003773E6" w:rsidRPr="003F267F" w:rsidRDefault="003773E6">
      <w:pPr>
        <w:pStyle w:val="leipa"/>
        <w:spacing w:before="0" w:beforeAutospacing="0" w:after="0" w:afterAutospacing="0"/>
        <w:jc w:val="both"/>
        <w:rPr>
          <w:rFonts w:ascii="Times New Roman" w:eastAsia="Times New Roman" w:hAnsi="Times New Roman" w:cs="Times New Roman"/>
          <w:color w:val="auto"/>
          <w:sz w:val="22"/>
          <w:szCs w:val="22"/>
          <w:highlight w:val="yellow"/>
          <w:lang w:val="sr-Latn-ME"/>
        </w:rPr>
      </w:pPr>
    </w:p>
    <w:p w14:paraId="25F1EDBF" w14:textId="7FD8AA33" w:rsidR="0072020E" w:rsidRPr="003F267F" w:rsidRDefault="0072020E" w:rsidP="00A80EFC">
      <w:pPr>
        <w:tabs>
          <w:tab w:val="left" w:pos="540"/>
          <w:tab w:val="left" w:pos="569"/>
        </w:tabs>
        <w:jc w:val="both"/>
        <w:rPr>
          <w:b/>
          <w:bCs/>
          <w:sz w:val="22"/>
          <w:szCs w:val="22"/>
          <w:lang w:val="sr-Latn-ME"/>
        </w:rPr>
      </w:pPr>
      <w:r w:rsidRPr="003F267F">
        <w:rPr>
          <w:b/>
          <w:bCs/>
          <w:sz w:val="22"/>
          <w:szCs w:val="22"/>
          <w:lang w:val="sr-Latn-ME"/>
        </w:rPr>
        <w:t xml:space="preserve">9. </w:t>
      </w:r>
      <w:r w:rsidR="00480FB1" w:rsidRPr="003F267F">
        <w:rPr>
          <w:b/>
          <w:bCs/>
          <w:sz w:val="22"/>
          <w:szCs w:val="22"/>
          <w:lang w:val="sr-Latn-ME"/>
        </w:rPr>
        <w:tab/>
      </w:r>
      <w:r w:rsidRPr="003F267F">
        <w:rPr>
          <w:b/>
          <w:bCs/>
          <w:sz w:val="22"/>
          <w:szCs w:val="22"/>
          <w:lang w:val="sr-Latn-ME"/>
        </w:rPr>
        <w:t xml:space="preserve">DATUM </w:t>
      </w:r>
      <w:r w:rsidR="00C05DF8" w:rsidRPr="003F267F">
        <w:rPr>
          <w:b/>
          <w:bCs/>
          <w:sz w:val="22"/>
          <w:szCs w:val="22"/>
          <w:lang w:val="sr-Latn-ME"/>
        </w:rPr>
        <w:t xml:space="preserve">PRVE </w:t>
      </w:r>
      <w:r w:rsidR="008A6D43" w:rsidRPr="003F267F">
        <w:rPr>
          <w:b/>
          <w:bCs/>
          <w:sz w:val="22"/>
          <w:szCs w:val="22"/>
          <w:lang w:val="sr-Latn-ME"/>
        </w:rPr>
        <w:t>DOZVOLE</w:t>
      </w:r>
      <w:r w:rsidR="00C05DF8" w:rsidRPr="003F267F">
        <w:rPr>
          <w:b/>
          <w:bCs/>
          <w:sz w:val="22"/>
          <w:szCs w:val="22"/>
          <w:lang w:val="sr-Latn-ME"/>
        </w:rPr>
        <w:t>/OBNOVE DOZVOLE</w:t>
      </w:r>
      <w:r w:rsidR="008A6D43" w:rsidRPr="003F267F">
        <w:rPr>
          <w:b/>
          <w:bCs/>
          <w:sz w:val="22"/>
          <w:szCs w:val="22"/>
          <w:lang w:val="sr-Latn-ME"/>
        </w:rPr>
        <w:t xml:space="preserve"> ZA STAVLJANJE LIJEKA U PROMET</w:t>
      </w:r>
    </w:p>
    <w:p w14:paraId="36066AF7" w14:textId="6B22F2A1" w:rsidR="003773E6" w:rsidRPr="003F267F" w:rsidRDefault="003773E6" w:rsidP="00A80EFC">
      <w:pPr>
        <w:tabs>
          <w:tab w:val="left" w:pos="540"/>
          <w:tab w:val="left" w:pos="569"/>
        </w:tabs>
        <w:jc w:val="both"/>
        <w:rPr>
          <w:b/>
          <w:bCs/>
          <w:sz w:val="22"/>
          <w:szCs w:val="22"/>
          <w:lang w:val="sr-Latn-ME"/>
        </w:rPr>
      </w:pPr>
    </w:p>
    <w:p w14:paraId="36C30AD7" w14:textId="23A2949E" w:rsidR="00F577DA" w:rsidRPr="003F267F" w:rsidRDefault="00F577DA" w:rsidP="00A80EFC">
      <w:pPr>
        <w:tabs>
          <w:tab w:val="left" w:pos="540"/>
          <w:tab w:val="left" w:pos="569"/>
        </w:tabs>
        <w:jc w:val="both"/>
        <w:rPr>
          <w:bCs/>
          <w:sz w:val="22"/>
          <w:szCs w:val="22"/>
          <w:lang w:val="sr-Latn-ME"/>
        </w:rPr>
      </w:pPr>
      <w:r w:rsidRPr="003F267F">
        <w:rPr>
          <w:bCs/>
          <w:sz w:val="22"/>
          <w:szCs w:val="22"/>
          <w:lang w:val="sr-Latn-ME"/>
        </w:rPr>
        <w:t>Datum prve dozvole:</w:t>
      </w:r>
      <w:r w:rsidR="00BF6466" w:rsidRPr="003F267F">
        <w:rPr>
          <w:bCs/>
          <w:sz w:val="22"/>
          <w:szCs w:val="22"/>
          <w:lang w:val="sr-Latn-ME"/>
        </w:rPr>
        <w:t xml:space="preserve"> 21.12.2012. godine</w:t>
      </w:r>
    </w:p>
    <w:p w14:paraId="4C3C61E9" w14:textId="612D8F82" w:rsidR="00F577DA" w:rsidRPr="003F267F" w:rsidRDefault="00F577DA" w:rsidP="00A80EFC">
      <w:pPr>
        <w:tabs>
          <w:tab w:val="left" w:pos="540"/>
          <w:tab w:val="left" w:pos="569"/>
        </w:tabs>
        <w:jc w:val="both"/>
        <w:rPr>
          <w:bCs/>
          <w:sz w:val="22"/>
          <w:szCs w:val="22"/>
          <w:lang w:val="sr-Latn-ME"/>
        </w:rPr>
      </w:pPr>
      <w:r w:rsidRPr="003F267F">
        <w:rPr>
          <w:bCs/>
          <w:sz w:val="22"/>
          <w:szCs w:val="22"/>
          <w:lang w:val="sr-Latn-ME"/>
        </w:rPr>
        <w:t>Datum poslednje obnove dozvole:</w:t>
      </w:r>
      <w:r w:rsidR="00BF6466" w:rsidRPr="003F267F">
        <w:rPr>
          <w:bCs/>
          <w:sz w:val="22"/>
          <w:szCs w:val="22"/>
          <w:lang w:val="sr-Latn-ME"/>
        </w:rPr>
        <w:t xml:space="preserve"> 04.10.2023. godine</w:t>
      </w:r>
    </w:p>
    <w:p w14:paraId="25F1EDC1" w14:textId="25914A74" w:rsidR="00836B35" w:rsidRPr="003F267F" w:rsidRDefault="00836B35">
      <w:pPr>
        <w:pStyle w:val="leipa"/>
        <w:spacing w:before="0" w:beforeAutospacing="0" w:after="0" w:afterAutospacing="0"/>
        <w:jc w:val="both"/>
        <w:rPr>
          <w:rFonts w:ascii="Times New Roman" w:hAnsi="Times New Roman" w:cs="Times New Roman"/>
          <w:sz w:val="22"/>
          <w:szCs w:val="22"/>
          <w:lang w:val="sr-Latn-ME"/>
        </w:rPr>
      </w:pPr>
    </w:p>
    <w:p w14:paraId="2424FC2E" w14:textId="77777777" w:rsidR="003773E6" w:rsidRPr="003F267F" w:rsidRDefault="003773E6">
      <w:pPr>
        <w:pStyle w:val="leipa"/>
        <w:spacing w:before="0" w:beforeAutospacing="0" w:after="0" w:afterAutospacing="0"/>
        <w:jc w:val="both"/>
        <w:rPr>
          <w:bCs/>
          <w:sz w:val="22"/>
          <w:szCs w:val="22"/>
          <w:lang w:val="sr-Latn-ME"/>
        </w:rPr>
      </w:pPr>
    </w:p>
    <w:p w14:paraId="25F1EDC2" w14:textId="77777777" w:rsidR="003F6A59" w:rsidRPr="003F267F" w:rsidRDefault="0072020E" w:rsidP="00A80EFC">
      <w:pPr>
        <w:tabs>
          <w:tab w:val="left" w:pos="540"/>
          <w:tab w:val="left" w:pos="569"/>
        </w:tabs>
        <w:ind w:left="540" w:hanging="540"/>
        <w:jc w:val="both"/>
        <w:rPr>
          <w:bCs/>
          <w:sz w:val="22"/>
          <w:szCs w:val="22"/>
          <w:lang w:val="sr-Latn-ME"/>
        </w:rPr>
      </w:pPr>
      <w:r w:rsidRPr="003F267F">
        <w:rPr>
          <w:b/>
          <w:bCs/>
          <w:sz w:val="22"/>
          <w:szCs w:val="22"/>
          <w:lang w:val="sr-Latn-ME"/>
        </w:rPr>
        <w:t xml:space="preserve">10. </w:t>
      </w:r>
      <w:r w:rsidR="00480FB1" w:rsidRPr="003F267F">
        <w:rPr>
          <w:b/>
          <w:bCs/>
          <w:sz w:val="22"/>
          <w:szCs w:val="22"/>
          <w:lang w:val="sr-Latn-ME"/>
        </w:rPr>
        <w:tab/>
      </w:r>
      <w:r w:rsidR="002846DB" w:rsidRPr="003F267F">
        <w:rPr>
          <w:b/>
          <w:bCs/>
          <w:sz w:val="22"/>
          <w:szCs w:val="22"/>
          <w:lang w:val="sr-Latn-ME"/>
        </w:rPr>
        <w:t>D</w:t>
      </w:r>
      <w:r w:rsidR="00EC2532" w:rsidRPr="003F267F">
        <w:rPr>
          <w:b/>
          <w:bCs/>
          <w:sz w:val="22"/>
          <w:szCs w:val="22"/>
          <w:lang w:val="sr-Latn-ME"/>
        </w:rPr>
        <w:t xml:space="preserve">ATUM REVIZIJE TEKSTA </w:t>
      </w:r>
    </w:p>
    <w:p w14:paraId="25F1EDC3" w14:textId="77777777" w:rsidR="003F6A59" w:rsidRPr="003F267F" w:rsidRDefault="003F6A59" w:rsidP="00A80EFC">
      <w:pPr>
        <w:tabs>
          <w:tab w:val="left" w:pos="540"/>
          <w:tab w:val="left" w:pos="569"/>
        </w:tabs>
        <w:jc w:val="both"/>
        <w:rPr>
          <w:bCs/>
          <w:sz w:val="22"/>
          <w:szCs w:val="22"/>
          <w:lang w:val="sr-Latn-ME"/>
        </w:rPr>
      </w:pPr>
    </w:p>
    <w:p w14:paraId="1A28B0B7" w14:textId="63E44079" w:rsidR="00EA6981" w:rsidRPr="003F267F" w:rsidRDefault="00BF6466" w:rsidP="00A80EFC">
      <w:pPr>
        <w:jc w:val="both"/>
        <w:rPr>
          <w:sz w:val="22"/>
          <w:szCs w:val="22"/>
          <w:lang w:val="sr-Latn-ME"/>
        </w:rPr>
      </w:pPr>
      <w:r w:rsidRPr="003F267F">
        <w:rPr>
          <w:sz w:val="22"/>
          <w:szCs w:val="22"/>
          <w:lang w:val="sr-Latn-ME"/>
        </w:rPr>
        <w:t>Oktobar</w:t>
      </w:r>
      <w:r w:rsidR="00EA6981" w:rsidRPr="003F267F">
        <w:rPr>
          <w:sz w:val="22"/>
          <w:szCs w:val="22"/>
          <w:lang w:val="sr-Latn-ME"/>
        </w:rPr>
        <w:t>, 2023. godine</w:t>
      </w:r>
    </w:p>
    <w:sectPr w:rsidR="00EA6981" w:rsidRPr="003F267F"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4F777" w14:textId="77777777" w:rsidR="009D436C" w:rsidRDefault="009D436C">
      <w:r>
        <w:separator/>
      </w:r>
    </w:p>
  </w:endnote>
  <w:endnote w:type="continuationSeparator" w:id="0">
    <w:p w14:paraId="2CE49D6F" w14:textId="77777777" w:rsidR="009D436C" w:rsidRDefault="009D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EDD2" w14:textId="5592DDB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705A9">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705A9">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C024" w14:textId="77777777" w:rsidR="009D436C" w:rsidRDefault="009D436C">
      <w:r>
        <w:separator/>
      </w:r>
    </w:p>
  </w:footnote>
  <w:footnote w:type="continuationSeparator" w:id="0">
    <w:p w14:paraId="30F547BF" w14:textId="77777777" w:rsidR="009D436C" w:rsidRDefault="009D4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FB4"/>
    <w:rsid w:val="00012BCF"/>
    <w:rsid w:val="000176CA"/>
    <w:rsid w:val="00036FA0"/>
    <w:rsid w:val="0003793F"/>
    <w:rsid w:val="0005557C"/>
    <w:rsid w:val="00057E35"/>
    <w:rsid w:val="00060720"/>
    <w:rsid w:val="00063F42"/>
    <w:rsid w:val="00076726"/>
    <w:rsid w:val="00080303"/>
    <w:rsid w:val="000A3F58"/>
    <w:rsid w:val="000A6C70"/>
    <w:rsid w:val="000D2343"/>
    <w:rsid w:val="000D3449"/>
    <w:rsid w:val="000D425A"/>
    <w:rsid w:val="000D60CC"/>
    <w:rsid w:val="000E2084"/>
    <w:rsid w:val="000E6BB1"/>
    <w:rsid w:val="000E6F55"/>
    <w:rsid w:val="000F77FA"/>
    <w:rsid w:val="00105587"/>
    <w:rsid w:val="00107BF7"/>
    <w:rsid w:val="00126F53"/>
    <w:rsid w:val="0014766D"/>
    <w:rsid w:val="001536CC"/>
    <w:rsid w:val="001A3FBA"/>
    <w:rsid w:val="001A5518"/>
    <w:rsid w:val="001B1C6A"/>
    <w:rsid w:val="001C1263"/>
    <w:rsid w:val="001C1417"/>
    <w:rsid w:val="001E1D1A"/>
    <w:rsid w:val="001E390B"/>
    <w:rsid w:val="001F42FB"/>
    <w:rsid w:val="001F719A"/>
    <w:rsid w:val="002031B3"/>
    <w:rsid w:val="0020687B"/>
    <w:rsid w:val="00215931"/>
    <w:rsid w:val="00227BDB"/>
    <w:rsid w:val="00234CB1"/>
    <w:rsid w:val="002352F8"/>
    <w:rsid w:val="002510A5"/>
    <w:rsid w:val="00254A0A"/>
    <w:rsid w:val="002603E1"/>
    <w:rsid w:val="00266046"/>
    <w:rsid w:val="002705A9"/>
    <w:rsid w:val="00280332"/>
    <w:rsid w:val="00280ACA"/>
    <w:rsid w:val="002846DB"/>
    <w:rsid w:val="00284CCD"/>
    <w:rsid w:val="00294E75"/>
    <w:rsid w:val="002C22B2"/>
    <w:rsid w:val="002C6637"/>
    <w:rsid w:val="002D0464"/>
    <w:rsid w:val="002E0135"/>
    <w:rsid w:val="002E37A5"/>
    <w:rsid w:val="002E4DA1"/>
    <w:rsid w:val="003068B1"/>
    <w:rsid w:val="00306C24"/>
    <w:rsid w:val="00307DA5"/>
    <w:rsid w:val="00310F03"/>
    <w:rsid w:val="00317E6A"/>
    <w:rsid w:val="003247D2"/>
    <w:rsid w:val="003445C1"/>
    <w:rsid w:val="003537EF"/>
    <w:rsid w:val="00355B61"/>
    <w:rsid w:val="00362686"/>
    <w:rsid w:val="00371510"/>
    <w:rsid w:val="003773E6"/>
    <w:rsid w:val="00377450"/>
    <w:rsid w:val="0039212F"/>
    <w:rsid w:val="00396DFD"/>
    <w:rsid w:val="003A7059"/>
    <w:rsid w:val="003B7A36"/>
    <w:rsid w:val="003C17AB"/>
    <w:rsid w:val="003C7823"/>
    <w:rsid w:val="003E1DCC"/>
    <w:rsid w:val="003F267F"/>
    <w:rsid w:val="003F6A59"/>
    <w:rsid w:val="004065C8"/>
    <w:rsid w:val="00411B4B"/>
    <w:rsid w:val="00413E95"/>
    <w:rsid w:val="00415BEE"/>
    <w:rsid w:val="00427F85"/>
    <w:rsid w:val="00436F42"/>
    <w:rsid w:val="004378B4"/>
    <w:rsid w:val="00451314"/>
    <w:rsid w:val="00452E9D"/>
    <w:rsid w:val="004534C7"/>
    <w:rsid w:val="004671AA"/>
    <w:rsid w:val="00480FB1"/>
    <w:rsid w:val="00483928"/>
    <w:rsid w:val="004A1670"/>
    <w:rsid w:val="004C078B"/>
    <w:rsid w:val="004D5D9E"/>
    <w:rsid w:val="004D6103"/>
    <w:rsid w:val="004E09C3"/>
    <w:rsid w:val="004E3BCE"/>
    <w:rsid w:val="004F0E97"/>
    <w:rsid w:val="00501DD1"/>
    <w:rsid w:val="00513393"/>
    <w:rsid w:val="00515C21"/>
    <w:rsid w:val="00530BD7"/>
    <w:rsid w:val="00545CD2"/>
    <w:rsid w:val="005476F3"/>
    <w:rsid w:val="00560055"/>
    <w:rsid w:val="005622FC"/>
    <w:rsid w:val="00572527"/>
    <w:rsid w:val="00573E40"/>
    <w:rsid w:val="00576348"/>
    <w:rsid w:val="005A0B2E"/>
    <w:rsid w:val="005A23D2"/>
    <w:rsid w:val="005A36CB"/>
    <w:rsid w:val="005B49B8"/>
    <w:rsid w:val="005C0741"/>
    <w:rsid w:val="005C5EF4"/>
    <w:rsid w:val="005E2B5F"/>
    <w:rsid w:val="005E2E0B"/>
    <w:rsid w:val="005E7A7D"/>
    <w:rsid w:val="00601EF6"/>
    <w:rsid w:val="006362C1"/>
    <w:rsid w:val="00646BD1"/>
    <w:rsid w:val="006561C2"/>
    <w:rsid w:val="00671CB3"/>
    <w:rsid w:val="00674BAF"/>
    <w:rsid w:val="00682200"/>
    <w:rsid w:val="006845F6"/>
    <w:rsid w:val="006A05EE"/>
    <w:rsid w:val="006A1497"/>
    <w:rsid w:val="006B0BD1"/>
    <w:rsid w:val="006C0522"/>
    <w:rsid w:val="006D20A5"/>
    <w:rsid w:val="006D37BF"/>
    <w:rsid w:val="00702E22"/>
    <w:rsid w:val="0071116C"/>
    <w:rsid w:val="00714833"/>
    <w:rsid w:val="0071547B"/>
    <w:rsid w:val="00715C49"/>
    <w:rsid w:val="0072020E"/>
    <w:rsid w:val="0073332D"/>
    <w:rsid w:val="00760FCA"/>
    <w:rsid w:val="00786071"/>
    <w:rsid w:val="007A39A8"/>
    <w:rsid w:val="007A3ECB"/>
    <w:rsid w:val="007B67FA"/>
    <w:rsid w:val="007F6435"/>
    <w:rsid w:val="0080458C"/>
    <w:rsid w:val="00824AB9"/>
    <w:rsid w:val="00834D68"/>
    <w:rsid w:val="00836B35"/>
    <w:rsid w:val="00843BDE"/>
    <w:rsid w:val="00874D9E"/>
    <w:rsid w:val="00880FAC"/>
    <w:rsid w:val="00882803"/>
    <w:rsid w:val="00894C8A"/>
    <w:rsid w:val="0089705C"/>
    <w:rsid w:val="008A6D43"/>
    <w:rsid w:val="008B491E"/>
    <w:rsid w:val="008C1A28"/>
    <w:rsid w:val="008C2E98"/>
    <w:rsid w:val="008C3911"/>
    <w:rsid w:val="008E49BD"/>
    <w:rsid w:val="008E53E9"/>
    <w:rsid w:val="008E5771"/>
    <w:rsid w:val="008E5D0A"/>
    <w:rsid w:val="008F2EE7"/>
    <w:rsid w:val="009035E2"/>
    <w:rsid w:val="0092198E"/>
    <w:rsid w:val="00924954"/>
    <w:rsid w:val="00940B9B"/>
    <w:rsid w:val="009536E6"/>
    <w:rsid w:val="0095676E"/>
    <w:rsid w:val="00956983"/>
    <w:rsid w:val="00963CF0"/>
    <w:rsid w:val="00964BB1"/>
    <w:rsid w:val="009775D9"/>
    <w:rsid w:val="00997175"/>
    <w:rsid w:val="009A0E35"/>
    <w:rsid w:val="009A1847"/>
    <w:rsid w:val="009B062A"/>
    <w:rsid w:val="009D436C"/>
    <w:rsid w:val="009D437E"/>
    <w:rsid w:val="009E1376"/>
    <w:rsid w:val="009E3BAA"/>
    <w:rsid w:val="009E7C6F"/>
    <w:rsid w:val="009F1793"/>
    <w:rsid w:val="009F2D23"/>
    <w:rsid w:val="00A01D69"/>
    <w:rsid w:val="00A02335"/>
    <w:rsid w:val="00A46C9A"/>
    <w:rsid w:val="00A619F3"/>
    <w:rsid w:val="00A62A73"/>
    <w:rsid w:val="00A80EFC"/>
    <w:rsid w:val="00A85291"/>
    <w:rsid w:val="00A87FF6"/>
    <w:rsid w:val="00AA0A3B"/>
    <w:rsid w:val="00AA2763"/>
    <w:rsid w:val="00AA337C"/>
    <w:rsid w:val="00AA33B6"/>
    <w:rsid w:val="00AB50CA"/>
    <w:rsid w:val="00AB6D64"/>
    <w:rsid w:val="00AC53CE"/>
    <w:rsid w:val="00AD2193"/>
    <w:rsid w:val="00AF2AC7"/>
    <w:rsid w:val="00AF53F4"/>
    <w:rsid w:val="00AF74CE"/>
    <w:rsid w:val="00B12EFB"/>
    <w:rsid w:val="00B208DB"/>
    <w:rsid w:val="00B2237C"/>
    <w:rsid w:val="00B22D06"/>
    <w:rsid w:val="00B23F69"/>
    <w:rsid w:val="00B60619"/>
    <w:rsid w:val="00B66A70"/>
    <w:rsid w:val="00B67366"/>
    <w:rsid w:val="00B80EE1"/>
    <w:rsid w:val="00B82A4C"/>
    <w:rsid w:val="00B84135"/>
    <w:rsid w:val="00BE15CB"/>
    <w:rsid w:val="00BF0D9B"/>
    <w:rsid w:val="00BF6466"/>
    <w:rsid w:val="00C04D34"/>
    <w:rsid w:val="00C05DF8"/>
    <w:rsid w:val="00C06864"/>
    <w:rsid w:val="00C075D7"/>
    <w:rsid w:val="00C10F54"/>
    <w:rsid w:val="00C23D8D"/>
    <w:rsid w:val="00C37AA3"/>
    <w:rsid w:val="00C37FD7"/>
    <w:rsid w:val="00C43419"/>
    <w:rsid w:val="00C44CF3"/>
    <w:rsid w:val="00C560CB"/>
    <w:rsid w:val="00C61BE0"/>
    <w:rsid w:val="00C70B0E"/>
    <w:rsid w:val="00C76E07"/>
    <w:rsid w:val="00C773CA"/>
    <w:rsid w:val="00C83785"/>
    <w:rsid w:val="00C9152F"/>
    <w:rsid w:val="00C94C0D"/>
    <w:rsid w:val="00CA1FEB"/>
    <w:rsid w:val="00CD4F85"/>
    <w:rsid w:val="00CD6F02"/>
    <w:rsid w:val="00CE246D"/>
    <w:rsid w:val="00CF07A0"/>
    <w:rsid w:val="00CF3E03"/>
    <w:rsid w:val="00D0082A"/>
    <w:rsid w:val="00D21455"/>
    <w:rsid w:val="00D4676D"/>
    <w:rsid w:val="00D47634"/>
    <w:rsid w:val="00D709B3"/>
    <w:rsid w:val="00DA2ED6"/>
    <w:rsid w:val="00DB76B8"/>
    <w:rsid w:val="00DC2EA1"/>
    <w:rsid w:val="00DD6AAF"/>
    <w:rsid w:val="00DE3F5C"/>
    <w:rsid w:val="00DF0EDF"/>
    <w:rsid w:val="00DF1D20"/>
    <w:rsid w:val="00E02002"/>
    <w:rsid w:val="00E21324"/>
    <w:rsid w:val="00E246B9"/>
    <w:rsid w:val="00E31FEA"/>
    <w:rsid w:val="00E37035"/>
    <w:rsid w:val="00E45169"/>
    <w:rsid w:val="00E47787"/>
    <w:rsid w:val="00E50E44"/>
    <w:rsid w:val="00E514B5"/>
    <w:rsid w:val="00E51C30"/>
    <w:rsid w:val="00E56E5D"/>
    <w:rsid w:val="00E64180"/>
    <w:rsid w:val="00E74AEE"/>
    <w:rsid w:val="00E868E5"/>
    <w:rsid w:val="00E92348"/>
    <w:rsid w:val="00E9237A"/>
    <w:rsid w:val="00E939FA"/>
    <w:rsid w:val="00EA5765"/>
    <w:rsid w:val="00EA6981"/>
    <w:rsid w:val="00EC2532"/>
    <w:rsid w:val="00ED7392"/>
    <w:rsid w:val="00ED7812"/>
    <w:rsid w:val="00EF3B86"/>
    <w:rsid w:val="00F317E9"/>
    <w:rsid w:val="00F34554"/>
    <w:rsid w:val="00F45F77"/>
    <w:rsid w:val="00F5167F"/>
    <w:rsid w:val="00F52258"/>
    <w:rsid w:val="00F577DA"/>
    <w:rsid w:val="00F63768"/>
    <w:rsid w:val="00F8570A"/>
    <w:rsid w:val="00F91C7B"/>
    <w:rsid w:val="00F9477F"/>
    <w:rsid w:val="00F96D47"/>
    <w:rsid w:val="00FC3397"/>
    <w:rsid w:val="00FC51B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1ED5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 Char Char Ch"/>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basedOn w:val="DefaultParagraphFont"/>
    <w:link w:val="Header"/>
    <w:uiPriority w:val="99"/>
    <w:locked/>
    <w:rsid w:val="00513393"/>
    <w:rPr>
      <w:sz w:val="24"/>
      <w:szCs w:val="24"/>
      <w:lang w:val="en-US" w:eastAsia="en-US"/>
    </w:rPr>
  </w:style>
  <w:style w:type="paragraph" w:styleId="NormalWeb">
    <w:name w:val="Normal (Web)"/>
    <w:basedOn w:val="Normal"/>
    <w:rsid w:val="00060720"/>
    <w:pPr>
      <w:spacing w:before="100" w:beforeAutospacing="1" w:after="100" w:afterAutospacing="1"/>
    </w:pPr>
    <w:rPr>
      <w:lang w:val="sr-Latn-CS" w:eastAsia="sr-Latn-CS"/>
    </w:rPr>
  </w:style>
  <w:style w:type="paragraph" w:customStyle="1" w:styleId="Subsection">
    <w:name w:val="Subsection"/>
    <w:rsid w:val="00D4676D"/>
    <w:pPr>
      <w:keepLines/>
      <w:widowControl w:val="0"/>
    </w:pPr>
    <w:rPr>
      <w:snapToGrid w:val="0"/>
      <w:sz w:val="24"/>
      <w:lang w:val="en-GB" w:eastAsia="en-US"/>
    </w:rPr>
  </w:style>
  <w:style w:type="paragraph" w:customStyle="1" w:styleId="leipa">
    <w:name w:val="leipa"/>
    <w:basedOn w:val="Normal"/>
    <w:rsid w:val="006C0522"/>
    <w:pPr>
      <w:spacing w:before="100" w:beforeAutospacing="1" w:after="100" w:afterAutospacing="1"/>
    </w:pPr>
    <w:rPr>
      <w:rFonts w:ascii="Arial" w:eastAsia="Arial Unicode MS" w:hAnsi="Arial" w:cs="Arial"/>
      <w:color w:val="000000"/>
      <w:lang w:val="en-GB"/>
    </w:rPr>
  </w:style>
  <w:style w:type="paragraph" w:styleId="Revision">
    <w:name w:val="Revision"/>
    <w:hidden/>
    <w:uiPriority w:val="99"/>
    <w:semiHidden/>
    <w:rsid w:val="003773E6"/>
    <w:rPr>
      <w:sz w:val="24"/>
      <w:szCs w:val="24"/>
      <w:lang w:val="en-US" w:eastAsia="en-US"/>
    </w:rPr>
  </w:style>
  <w:style w:type="character" w:styleId="Hyperlink">
    <w:name w:val="Hyperlink"/>
    <w:basedOn w:val="DefaultParagraphFont"/>
    <w:rsid w:val="00FC3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28DA-2455-4630-9D04-11AE546D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24130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Anđela Drašković</cp:lastModifiedBy>
  <cp:revision>5</cp:revision>
  <dcterms:created xsi:type="dcterms:W3CDTF">2023-10-04T07:11:00Z</dcterms:created>
  <dcterms:modified xsi:type="dcterms:W3CDTF">2023-10-04T11:39:00Z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