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CD072" w14:textId="77777777" w:rsidR="001A5518" w:rsidRDefault="001A5518" w:rsidP="001A5518">
      <w:pPr>
        <w:rPr>
          <w:b/>
          <w:bCs/>
          <w:i/>
          <w:iCs/>
          <w:sz w:val="22"/>
          <w:szCs w:val="22"/>
          <w:u w:val="single"/>
        </w:rPr>
      </w:pPr>
    </w:p>
    <w:p w14:paraId="08456C13" w14:textId="77777777" w:rsidR="00F91C7B" w:rsidRPr="00786071" w:rsidRDefault="00F91C7B" w:rsidP="001A5518">
      <w:pPr>
        <w:rPr>
          <w:b/>
          <w:bCs/>
          <w:i/>
          <w:iCs/>
          <w:sz w:val="22"/>
          <w:szCs w:val="22"/>
          <w:u w:val="single"/>
        </w:rPr>
      </w:pPr>
    </w:p>
    <w:p w14:paraId="6A4FD364"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136D8FE7" w14:textId="77777777" w:rsidR="002510A5" w:rsidRPr="002510A5" w:rsidRDefault="002510A5" w:rsidP="002510A5">
      <w:pPr>
        <w:rPr>
          <w:b/>
          <w:bCs/>
          <w:i/>
          <w:iCs/>
          <w:sz w:val="22"/>
          <w:szCs w:val="22"/>
          <w:u w:val="single"/>
        </w:rPr>
      </w:pPr>
    </w:p>
    <w:p w14:paraId="28119835" w14:textId="77777777" w:rsidR="003C17AB" w:rsidRDefault="003C17AB" w:rsidP="00F5167F">
      <w:pPr>
        <w:tabs>
          <w:tab w:val="left" w:pos="540"/>
          <w:tab w:val="left" w:pos="569"/>
        </w:tabs>
        <w:rPr>
          <w:noProof/>
          <w:sz w:val="22"/>
          <w:szCs w:val="22"/>
          <w:lang w:val="hr-HR"/>
        </w:rPr>
      </w:pPr>
    </w:p>
    <w:p w14:paraId="4608FDEC" w14:textId="77777777" w:rsidR="00C37FD7" w:rsidRPr="00786071" w:rsidRDefault="00C37FD7" w:rsidP="00F5167F">
      <w:pPr>
        <w:tabs>
          <w:tab w:val="left" w:pos="540"/>
          <w:tab w:val="left" w:pos="569"/>
        </w:tabs>
        <w:rPr>
          <w:bCs/>
          <w:sz w:val="22"/>
          <w:szCs w:val="22"/>
        </w:rPr>
      </w:pPr>
    </w:p>
    <w:p w14:paraId="62022A50" w14:textId="77777777" w:rsidR="00411B4B" w:rsidRPr="00E51051" w:rsidRDefault="00411B4B" w:rsidP="00F5167F">
      <w:pPr>
        <w:tabs>
          <w:tab w:val="left" w:pos="540"/>
          <w:tab w:val="left" w:pos="569"/>
        </w:tabs>
        <w:rPr>
          <w:b/>
          <w:bCs/>
          <w:sz w:val="22"/>
          <w:szCs w:val="22"/>
        </w:rPr>
      </w:pPr>
      <w:r w:rsidRPr="00E51051">
        <w:rPr>
          <w:b/>
          <w:bCs/>
          <w:sz w:val="22"/>
          <w:szCs w:val="22"/>
        </w:rPr>
        <w:t>1.</w:t>
      </w:r>
      <w:r w:rsidR="00F5167F" w:rsidRPr="00E51051">
        <w:rPr>
          <w:b/>
          <w:bCs/>
          <w:sz w:val="22"/>
          <w:szCs w:val="22"/>
        </w:rPr>
        <w:tab/>
      </w:r>
      <w:r w:rsidR="002846DB" w:rsidRPr="00E51051">
        <w:rPr>
          <w:b/>
          <w:bCs/>
          <w:sz w:val="22"/>
          <w:szCs w:val="22"/>
        </w:rPr>
        <w:t xml:space="preserve">NAZIV </w:t>
      </w:r>
      <w:r w:rsidRPr="00E51051">
        <w:rPr>
          <w:b/>
          <w:bCs/>
          <w:sz w:val="22"/>
          <w:szCs w:val="22"/>
        </w:rPr>
        <w:t>LIJEKA</w:t>
      </w:r>
    </w:p>
    <w:p w14:paraId="081E2844" w14:textId="77777777" w:rsidR="00EC2532" w:rsidRPr="00E51051" w:rsidRDefault="00EC2532">
      <w:pPr>
        <w:rPr>
          <w:sz w:val="22"/>
          <w:szCs w:val="22"/>
          <w:lang w:val="pl-PL"/>
        </w:rPr>
      </w:pPr>
    </w:p>
    <w:p w14:paraId="6CAE6DB7" w14:textId="2CB0DA92" w:rsidR="00273C3F" w:rsidRPr="00E51051" w:rsidRDefault="00273C3F" w:rsidP="00273C3F">
      <w:pPr>
        <w:rPr>
          <w:bCs/>
          <w:sz w:val="22"/>
          <w:szCs w:val="22"/>
          <w:lang w:val="sr-Latn-CS"/>
        </w:rPr>
      </w:pPr>
      <w:r w:rsidRPr="00E51051">
        <w:rPr>
          <w:bCs/>
          <w:sz w:val="22"/>
          <w:szCs w:val="22"/>
          <w:lang w:val="sr-Latn-CS"/>
        </w:rPr>
        <w:t xml:space="preserve">ZERBAXA, </w:t>
      </w:r>
      <w:r w:rsidR="00E51051">
        <w:rPr>
          <w:bCs/>
          <w:sz w:val="22"/>
          <w:szCs w:val="22"/>
          <w:lang w:val="sr-Latn-CS"/>
        </w:rPr>
        <w:t>1 g</w:t>
      </w:r>
      <w:r w:rsidR="00157168" w:rsidRPr="00E51051">
        <w:rPr>
          <w:bCs/>
          <w:sz w:val="22"/>
          <w:szCs w:val="22"/>
          <w:lang w:val="sr-Latn-CS"/>
        </w:rPr>
        <w:t xml:space="preserve"> + 0,5 g</w:t>
      </w:r>
      <w:r w:rsidRPr="00E51051">
        <w:rPr>
          <w:bCs/>
          <w:sz w:val="22"/>
          <w:szCs w:val="22"/>
          <w:lang w:val="sr-Latn-CS"/>
        </w:rPr>
        <w:t xml:space="preserve">, prašak za koncentrat za rastvor za infuziju  </w:t>
      </w:r>
    </w:p>
    <w:p w14:paraId="07FB6D15" w14:textId="4A4FA65F" w:rsidR="00107BF7" w:rsidRPr="00E51051" w:rsidRDefault="00107BF7">
      <w:pPr>
        <w:rPr>
          <w:color w:val="808080"/>
          <w:sz w:val="22"/>
          <w:szCs w:val="22"/>
          <w:lang w:val="sr-Latn-ME"/>
        </w:rPr>
      </w:pPr>
    </w:p>
    <w:p w14:paraId="539470D4" w14:textId="77777777" w:rsidR="000D425A" w:rsidRPr="00E51051" w:rsidRDefault="000D425A">
      <w:pPr>
        <w:rPr>
          <w:bCs/>
          <w:sz w:val="22"/>
          <w:szCs w:val="22"/>
          <w:lang w:val="sv-SE"/>
        </w:rPr>
      </w:pPr>
    </w:p>
    <w:p w14:paraId="00B969AF" w14:textId="6FA444A7" w:rsidR="006D20A5" w:rsidRPr="00E51051" w:rsidRDefault="006D20A5" w:rsidP="006D20A5">
      <w:pPr>
        <w:rPr>
          <w:sz w:val="22"/>
          <w:szCs w:val="22"/>
          <w:lang w:val="sr-Latn-CS"/>
        </w:rPr>
      </w:pPr>
      <w:r w:rsidRPr="00E51051">
        <w:rPr>
          <w:sz w:val="22"/>
          <w:szCs w:val="22"/>
          <w:lang w:val="sv-SE"/>
        </w:rPr>
        <w:t>INN:</w:t>
      </w:r>
      <w:r w:rsidR="00273C3F" w:rsidRPr="00E51051">
        <w:rPr>
          <w:sz w:val="22"/>
          <w:szCs w:val="22"/>
          <w:lang w:val="sv-SE"/>
        </w:rPr>
        <w:t xml:space="preserve"> </w:t>
      </w:r>
      <w:r w:rsidR="0050553C" w:rsidRPr="00E51051">
        <w:rPr>
          <w:sz w:val="22"/>
          <w:szCs w:val="22"/>
          <w:lang w:val="sv-SE"/>
        </w:rPr>
        <w:t>ceftolozan, tazobaktam</w:t>
      </w:r>
    </w:p>
    <w:p w14:paraId="64180AEE" w14:textId="77777777" w:rsidR="006D20A5" w:rsidRPr="00E51051" w:rsidRDefault="006D20A5">
      <w:pPr>
        <w:rPr>
          <w:bCs/>
          <w:sz w:val="22"/>
          <w:szCs w:val="22"/>
          <w:lang w:val="sv-SE"/>
        </w:rPr>
      </w:pPr>
    </w:p>
    <w:p w14:paraId="09683AAF" w14:textId="77777777" w:rsidR="00530BD7" w:rsidRPr="00E51051" w:rsidRDefault="00530BD7">
      <w:pPr>
        <w:rPr>
          <w:bCs/>
          <w:sz w:val="22"/>
          <w:szCs w:val="22"/>
          <w:lang w:val="sv-SE"/>
        </w:rPr>
      </w:pPr>
    </w:p>
    <w:p w14:paraId="7EA011EE" w14:textId="77777777" w:rsidR="00411B4B" w:rsidRPr="00E51051" w:rsidRDefault="00411B4B" w:rsidP="00F5167F">
      <w:pPr>
        <w:tabs>
          <w:tab w:val="left" w:pos="540"/>
          <w:tab w:val="left" w:pos="569"/>
        </w:tabs>
        <w:rPr>
          <w:b/>
          <w:bCs/>
          <w:sz w:val="22"/>
          <w:szCs w:val="22"/>
        </w:rPr>
      </w:pPr>
      <w:r w:rsidRPr="00E51051">
        <w:rPr>
          <w:b/>
          <w:bCs/>
          <w:sz w:val="22"/>
          <w:szCs w:val="22"/>
        </w:rPr>
        <w:t xml:space="preserve">2. </w:t>
      </w:r>
      <w:r w:rsidR="00F5167F" w:rsidRPr="00E51051">
        <w:rPr>
          <w:b/>
          <w:bCs/>
          <w:sz w:val="22"/>
          <w:szCs w:val="22"/>
        </w:rPr>
        <w:tab/>
      </w:r>
      <w:r w:rsidRPr="00E51051">
        <w:rPr>
          <w:b/>
          <w:bCs/>
          <w:sz w:val="22"/>
          <w:szCs w:val="22"/>
        </w:rPr>
        <w:t>KVALITATIVNI I KVANTITATIVNI SASTAV</w:t>
      </w:r>
    </w:p>
    <w:p w14:paraId="5DDCC6CE" w14:textId="77777777" w:rsidR="005A0B2E" w:rsidRPr="00E51051" w:rsidRDefault="005A0B2E">
      <w:pPr>
        <w:rPr>
          <w:sz w:val="22"/>
          <w:szCs w:val="22"/>
          <w:lang w:val="sr-Latn-CS"/>
        </w:rPr>
      </w:pPr>
    </w:p>
    <w:p w14:paraId="6544E11A" w14:textId="7B180E3E" w:rsidR="00273C3F" w:rsidRPr="00E51051" w:rsidRDefault="00273C3F" w:rsidP="00273C3F">
      <w:pPr>
        <w:rPr>
          <w:sz w:val="22"/>
          <w:szCs w:val="22"/>
          <w:lang w:val="sr-Latn-CS"/>
        </w:rPr>
      </w:pPr>
      <w:r w:rsidRPr="00E51051">
        <w:rPr>
          <w:sz w:val="22"/>
          <w:szCs w:val="22"/>
          <w:lang w:val="sr-Latn-CS"/>
        </w:rPr>
        <w:t>Jedna bočica sadrži 1 g ceftolozana (u obliku ceftolozan</w:t>
      </w:r>
      <w:r w:rsidR="00817472" w:rsidRPr="00E51051">
        <w:rPr>
          <w:sz w:val="22"/>
          <w:szCs w:val="22"/>
          <w:lang w:val="sr-Latn-CS"/>
        </w:rPr>
        <w:t xml:space="preserve"> </w:t>
      </w:r>
      <w:r w:rsidRPr="00E51051">
        <w:rPr>
          <w:sz w:val="22"/>
          <w:szCs w:val="22"/>
          <w:lang w:val="sr-Latn-CS"/>
        </w:rPr>
        <w:t>sulfata) i 0,5 g tazobaktama (u obliku tazobaktam</w:t>
      </w:r>
      <w:r w:rsidR="00817472" w:rsidRPr="00E51051">
        <w:rPr>
          <w:sz w:val="22"/>
          <w:szCs w:val="22"/>
          <w:lang w:val="sr-Latn-CS"/>
        </w:rPr>
        <w:t xml:space="preserve"> </w:t>
      </w:r>
      <w:r w:rsidRPr="00E51051">
        <w:rPr>
          <w:sz w:val="22"/>
          <w:szCs w:val="22"/>
          <w:lang w:val="sr-Latn-CS"/>
        </w:rPr>
        <w:t>natrijuma).</w:t>
      </w:r>
    </w:p>
    <w:p w14:paraId="1E7C8487" w14:textId="77777777" w:rsidR="00273C3F" w:rsidRPr="00E51051" w:rsidRDefault="00273C3F" w:rsidP="00273C3F">
      <w:pPr>
        <w:rPr>
          <w:sz w:val="22"/>
          <w:szCs w:val="22"/>
          <w:lang w:val="sr-Latn-CS"/>
        </w:rPr>
      </w:pPr>
    </w:p>
    <w:p w14:paraId="29F4FFF8" w14:textId="7FBDA7FB" w:rsidR="00273C3F" w:rsidRPr="00E51051" w:rsidRDefault="00273C3F" w:rsidP="00273C3F">
      <w:pPr>
        <w:rPr>
          <w:sz w:val="22"/>
          <w:szCs w:val="22"/>
          <w:lang w:val="sr-Latn-CS"/>
        </w:rPr>
      </w:pPr>
      <w:r w:rsidRPr="00E51051">
        <w:rPr>
          <w:sz w:val="22"/>
          <w:szCs w:val="22"/>
          <w:lang w:val="sr-Latn-CS"/>
        </w:rPr>
        <w:t>Nakon rekonstitucije sa 10</w:t>
      </w:r>
      <w:r w:rsidR="00157168" w:rsidRPr="00E51051">
        <w:rPr>
          <w:sz w:val="22"/>
          <w:szCs w:val="22"/>
          <w:lang w:val="sr-Latn-CS"/>
        </w:rPr>
        <w:t xml:space="preserve"> ml </w:t>
      </w:r>
      <w:r w:rsidRPr="00E51051">
        <w:rPr>
          <w:sz w:val="22"/>
          <w:szCs w:val="22"/>
          <w:lang w:val="sr-Latn-CS"/>
        </w:rPr>
        <w:t>rastvarača, ukupna zapremina rastvora u bočici je 11,4</w:t>
      </w:r>
      <w:r w:rsidR="00157168" w:rsidRPr="00E51051">
        <w:rPr>
          <w:sz w:val="22"/>
          <w:szCs w:val="22"/>
          <w:lang w:val="sr-Latn-CS"/>
        </w:rPr>
        <w:t xml:space="preserve"> ml,</w:t>
      </w:r>
      <w:r w:rsidRPr="00E51051">
        <w:rPr>
          <w:sz w:val="22"/>
          <w:szCs w:val="22"/>
          <w:lang w:val="sr-Latn-CS"/>
        </w:rPr>
        <w:t xml:space="preserve"> koja sadrži 88 mg</w:t>
      </w:r>
      <w:r w:rsidR="00157168" w:rsidRPr="00E51051">
        <w:rPr>
          <w:sz w:val="22"/>
          <w:szCs w:val="22"/>
          <w:lang w:val="sr-Latn-CS"/>
        </w:rPr>
        <w:t xml:space="preserve"> /ml</w:t>
      </w:r>
      <w:r w:rsidRPr="00E51051">
        <w:rPr>
          <w:sz w:val="22"/>
          <w:szCs w:val="22"/>
          <w:lang w:val="sr-Latn-CS"/>
        </w:rPr>
        <w:t xml:space="preserve"> ceftolozana i 44 mg</w:t>
      </w:r>
      <w:r w:rsidR="00157168" w:rsidRPr="00E51051">
        <w:rPr>
          <w:sz w:val="22"/>
          <w:szCs w:val="22"/>
          <w:lang w:val="sr-Latn-CS"/>
        </w:rPr>
        <w:t xml:space="preserve"> /ml</w:t>
      </w:r>
      <w:r w:rsidRPr="00E51051">
        <w:rPr>
          <w:sz w:val="22"/>
          <w:szCs w:val="22"/>
          <w:lang w:val="sr-Latn-CS"/>
        </w:rPr>
        <w:t xml:space="preserve"> tazobaktama.</w:t>
      </w:r>
    </w:p>
    <w:p w14:paraId="370C872A" w14:textId="77777777" w:rsidR="00273C3F" w:rsidRPr="00E51051" w:rsidRDefault="00273C3F" w:rsidP="00273C3F">
      <w:pPr>
        <w:rPr>
          <w:sz w:val="22"/>
          <w:szCs w:val="22"/>
          <w:lang w:val="sr-Latn-CS"/>
        </w:rPr>
      </w:pPr>
    </w:p>
    <w:p w14:paraId="76AA2754" w14:textId="77777777" w:rsidR="00273C3F" w:rsidRPr="00E51051" w:rsidRDefault="00273C3F" w:rsidP="00273C3F">
      <w:pPr>
        <w:rPr>
          <w:sz w:val="22"/>
          <w:szCs w:val="22"/>
          <w:u w:val="single"/>
          <w:lang w:val="sr-Latn-CS"/>
        </w:rPr>
      </w:pPr>
      <w:r w:rsidRPr="00E51051">
        <w:rPr>
          <w:sz w:val="22"/>
          <w:szCs w:val="22"/>
          <w:u w:val="single"/>
          <w:lang w:val="sr-Latn-CS"/>
        </w:rPr>
        <w:t>Pomoćna supstanca sa potvrđenim dejstvom:</w:t>
      </w:r>
    </w:p>
    <w:p w14:paraId="78B3AFE2" w14:textId="77777777" w:rsidR="00273C3F" w:rsidRPr="00E51051" w:rsidRDefault="00273C3F" w:rsidP="00273C3F">
      <w:pPr>
        <w:rPr>
          <w:sz w:val="22"/>
          <w:szCs w:val="22"/>
          <w:lang w:val="sr-Latn-CS"/>
        </w:rPr>
      </w:pPr>
    </w:p>
    <w:p w14:paraId="206F605F" w14:textId="77777777" w:rsidR="00273C3F" w:rsidRPr="00E51051" w:rsidRDefault="00273C3F" w:rsidP="00273C3F">
      <w:pPr>
        <w:rPr>
          <w:sz w:val="22"/>
          <w:szCs w:val="22"/>
          <w:lang w:val="sr-Latn-CS"/>
        </w:rPr>
      </w:pPr>
      <w:r w:rsidRPr="00E51051">
        <w:rPr>
          <w:sz w:val="22"/>
          <w:szCs w:val="22"/>
          <w:lang w:val="sr-Latn-CS"/>
        </w:rPr>
        <w:t>Jedna bočica sadrži 10 mmol (230 mg) natrijuma.</w:t>
      </w:r>
    </w:p>
    <w:p w14:paraId="6BD0EC4F" w14:textId="77777777" w:rsidR="00273C3F" w:rsidRPr="00E51051" w:rsidRDefault="00273C3F" w:rsidP="00273C3F">
      <w:pPr>
        <w:rPr>
          <w:sz w:val="22"/>
          <w:szCs w:val="22"/>
          <w:lang w:val="sr-Latn-CS"/>
        </w:rPr>
      </w:pPr>
    </w:p>
    <w:p w14:paraId="58423CE0" w14:textId="273C085A" w:rsidR="00273C3F" w:rsidRPr="00E51051" w:rsidRDefault="00273C3F" w:rsidP="00273C3F">
      <w:pPr>
        <w:rPr>
          <w:sz w:val="22"/>
          <w:szCs w:val="22"/>
          <w:lang w:val="sr-Latn-CS"/>
        </w:rPr>
      </w:pPr>
      <w:r w:rsidRPr="00E51051">
        <w:rPr>
          <w:sz w:val="22"/>
          <w:szCs w:val="22"/>
          <w:lang w:val="sr-Latn-CS"/>
        </w:rPr>
        <w:t>Kada se prašak rekonstituiše sa 10</w:t>
      </w:r>
      <w:r w:rsidR="00157168" w:rsidRPr="00E51051">
        <w:rPr>
          <w:sz w:val="22"/>
          <w:szCs w:val="22"/>
          <w:lang w:val="sr-Latn-CS"/>
        </w:rPr>
        <w:t xml:space="preserve"> ml </w:t>
      </w:r>
      <w:r w:rsidRPr="00E51051">
        <w:rPr>
          <w:sz w:val="22"/>
          <w:szCs w:val="22"/>
          <w:lang w:val="sr-Latn-CS"/>
        </w:rPr>
        <w:t>rastvora za injekciju natrijum</w:t>
      </w:r>
      <w:r w:rsidR="00AA2F33" w:rsidRPr="00E51051">
        <w:rPr>
          <w:sz w:val="22"/>
          <w:szCs w:val="22"/>
          <w:lang w:val="sr-Latn-CS"/>
        </w:rPr>
        <w:t xml:space="preserve"> </w:t>
      </w:r>
      <w:r w:rsidRPr="00E51051">
        <w:rPr>
          <w:sz w:val="22"/>
          <w:szCs w:val="22"/>
          <w:lang w:val="sr-Latn-CS"/>
        </w:rPr>
        <w:t>hlorida od 9 mg</w:t>
      </w:r>
      <w:r w:rsidR="00157168" w:rsidRPr="00E51051">
        <w:rPr>
          <w:sz w:val="22"/>
          <w:szCs w:val="22"/>
          <w:lang w:val="sr-Latn-CS"/>
        </w:rPr>
        <w:t xml:space="preserve"> /ml</w:t>
      </w:r>
      <w:r w:rsidRPr="00E51051">
        <w:rPr>
          <w:sz w:val="22"/>
          <w:szCs w:val="22"/>
          <w:lang w:val="sr-Latn-CS"/>
        </w:rPr>
        <w:t xml:space="preserve"> (0,9%), bočica sadrži 11,5 mmol (265 mg) natrijuma.</w:t>
      </w:r>
    </w:p>
    <w:p w14:paraId="3BF46030" w14:textId="77777777" w:rsidR="00273C3F" w:rsidRPr="00E51051" w:rsidRDefault="00273C3F" w:rsidP="00273C3F">
      <w:pPr>
        <w:rPr>
          <w:sz w:val="22"/>
          <w:szCs w:val="22"/>
          <w:lang w:val="sr-Latn-CS"/>
        </w:rPr>
      </w:pPr>
    </w:p>
    <w:p w14:paraId="79C3A3AD" w14:textId="47D1D76D" w:rsidR="0003793F" w:rsidRPr="00E51051" w:rsidRDefault="0003793F">
      <w:pPr>
        <w:rPr>
          <w:sz w:val="22"/>
          <w:szCs w:val="22"/>
          <w:lang w:val="sr-Latn-CS"/>
        </w:rPr>
      </w:pPr>
      <w:r w:rsidRPr="00E51051">
        <w:rPr>
          <w:sz w:val="22"/>
          <w:szCs w:val="22"/>
          <w:lang w:val="sr-Latn-CS"/>
        </w:rPr>
        <w:t>Za spisak svih ekscipijenasa, pogledati dio 6.1.</w:t>
      </w:r>
    </w:p>
    <w:p w14:paraId="616B11B1" w14:textId="77777777" w:rsidR="0003793F" w:rsidRPr="00E51051" w:rsidRDefault="0003793F">
      <w:pPr>
        <w:rPr>
          <w:sz w:val="22"/>
          <w:szCs w:val="22"/>
          <w:lang w:val="sr-Latn-CS"/>
        </w:rPr>
      </w:pPr>
    </w:p>
    <w:p w14:paraId="6392983A" w14:textId="77777777" w:rsidR="00C37FD7" w:rsidRPr="00E51051" w:rsidRDefault="00C37FD7">
      <w:pPr>
        <w:rPr>
          <w:sz w:val="22"/>
          <w:szCs w:val="22"/>
          <w:lang w:val="sr-Latn-CS"/>
        </w:rPr>
      </w:pPr>
    </w:p>
    <w:p w14:paraId="56FB5A1E" w14:textId="03BD06FF" w:rsidR="00273C3F" w:rsidRPr="00E51051" w:rsidRDefault="00411B4B" w:rsidP="00F5167F">
      <w:pPr>
        <w:tabs>
          <w:tab w:val="left" w:pos="540"/>
          <w:tab w:val="left" w:pos="569"/>
        </w:tabs>
        <w:rPr>
          <w:b/>
          <w:bCs/>
          <w:sz w:val="22"/>
          <w:szCs w:val="22"/>
        </w:rPr>
      </w:pPr>
      <w:r w:rsidRPr="00E51051">
        <w:rPr>
          <w:b/>
          <w:bCs/>
          <w:sz w:val="22"/>
          <w:szCs w:val="22"/>
        </w:rPr>
        <w:t xml:space="preserve">3. </w:t>
      </w:r>
      <w:r w:rsidR="00F5167F" w:rsidRPr="00E51051">
        <w:rPr>
          <w:b/>
          <w:bCs/>
          <w:sz w:val="22"/>
          <w:szCs w:val="22"/>
        </w:rPr>
        <w:tab/>
      </w:r>
      <w:r w:rsidRPr="00E51051">
        <w:rPr>
          <w:b/>
          <w:bCs/>
          <w:sz w:val="22"/>
          <w:szCs w:val="22"/>
        </w:rPr>
        <w:t>FARMACEUTSKI OBLIK</w:t>
      </w:r>
      <w:r w:rsidR="009F2D23" w:rsidRPr="00E51051">
        <w:rPr>
          <w:b/>
          <w:bCs/>
          <w:sz w:val="22"/>
          <w:szCs w:val="22"/>
        </w:rPr>
        <w:t xml:space="preserve"> </w:t>
      </w:r>
    </w:p>
    <w:p w14:paraId="78AA29F4" w14:textId="77777777" w:rsidR="00411B4B" w:rsidRPr="00E51051" w:rsidRDefault="00411B4B">
      <w:pPr>
        <w:rPr>
          <w:bCs/>
          <w:sz w:val="22"/>
          <w:szCs w:val="22"/>
          <w:lang w:val="sr-Latn-CS"/>
        </w:rPr>
      </w:pPr>
    </w:p>
    <w:p w14:paraId="0BCF4C10" w14:textId="77777777" w:rsidR="00273C3F" w:rsidRPr="00E51051" w:rsidRDefault="00273C3F" w:rsidP="00273C3F">
      <w:pPr>
        <w:rPr>
          <w:bCs/>
          <w:sz w:val="22"/>
          <w:szCs w:val="22"/>
          <w:lang w:val="sr-Latn-CS"/>
        </w:rPr>
      </w:pPr>
      <w:r w:rsidRPr="00E51051">
        <w:rPr>
          <w:bCs/>
          <w:sz w:val="22"/>
          <w:szCs w:val="22"/>
          <w:lang w:val="sr-Latn-CS"/>
        </w:rPr>
        <w:t>Prašak za koncentrat za rastvor za infuziju (prašak za koncentrat).</w:t>
      </w:r>
    </w:p>
    <w:p w14:paraId="2AA5BF41" w14:textId="77777777" w:rsidR="00273C3F" w:rsidRPr="00E51051" w:rsidRDefault="00273C3F" w:rsidP="00273C3F">
      <w:pPr>
        <w:rPr>
          <w:bCs/>
          <w:sz w:val="22"/>
          <w:szCs w:val="22"/>
          <w:lang w:val="sr-Latn-CS"/>
        </w:rPr>
      </w:pPr>
    </w:p>
    <w:p w14:paraId="33187B50" w14:textId="2953E512" w:rsidR="00EC2532" w:rsidRPr="00E51051" w:rsidRDefault="00273C3F" w:rsidP="00273C3F">
      <w:pPr>
        <w:rPr>
          <w:bCs/>
          <w:sz w:val="22"/>
          <w:szCs w:val="22"/>
          <w:lang w:val="sr-Latn-CS"/>
        </w:rPr>
      </w:pPr>
      <w:r w:rsidRPr="00E51051">
        <w:rPr>
          <w:bCs/>
          <w:sz w:val="22"/>
          <w:szCs w:val="22"/>
          <w:lang w:val="sr-Latn-CS"/>
        </w:rPr>
        <w:t>Bijeli do žućkasti prašak.</w:t>
      </w:r>
    </w:p>
    <w:p w14:paraId="3BAF4104" w14:textId="1287B105" w:rsidR="00273C3F" w:rsidRPr="00E51051" w:rsidRDefault="00273C3F" w:rsidP="00273C3F">
      <w:pPr>
        <w:rPr>
          <w:bCs/>
          <w:sz w:val="22"/>
          <w:szCs w:val="22"/>
          <w:lang w:val="sr-Latn-CS"/>
        </w:rPr>
      </w:pPr>
    </w:p>
    <w:p w14:paraId="7A9EB93F" w14:textId="77777777" w:rsidR="00273C3F" w:rsidRPr="00E51051" w:rsidRDefault="00273C3F" w:rsidP="00273C3F">
      <w:pPr>
        <w:rPr>
          <w:bCs/>
          <w:sz w:val="22"/>
          <w:szCs w:val="22"/>
          <w:lang w:val="sr-Latn-CS"/>
        </w:rPr>
      </w:pPr>
    </w:p>
    <w:p w14:paraId="4D3F87B3" w14:textId="77777777" w:rsidR="00411B4B" w:rsidRPr="00E51051" w:rsidRDefault="00411B4B" w:rsidP="00187482">
      <w:pPr>
        <w:tabs>
          <w:tab w:val="left" w:pos="540"/>
          <w:tab w:val="left" w:pos="569"/>
        </w:tabs>
        <w:jc w:val="both"/>
        <w:rPr>
          <w:b/>
          <w:bCs/>
          <w:sz w:val="22"/>
          <w:szCs w:val="22"/>
        </w:rPr>
      </w:pPr>
      <w:r w:rsidRPr="00E51051">
        <w:rPr>
          <w:b/>
          <w:bCs/>
          <w:sz w:val="22"/>
          <w:szCs w:val="22"/>
        </w:rPr>
        <w:t xml:space="preserve">4. </w:t>
      </w:r>
      <w:r w:rsidR="00480FB1" w:rsidRPr="00E51051">
        <w:rPr>
          <w:b/>
          <w:bCs/>
          <w:sz w:val="22"/>
          <w:szCs w:val="22"/>
        </w:rPr>
        <w:tab/>
      </w:r>
      <w:r w:rsidRPr="00E51051">
        <w:rPr>
          <w:b/>
          <w:bCs/>
          <w:sz w:val="22"/>
          <w:szCs w:val="22"/>
        </w:rPr>
        <w:t>KLINIČKI PODACI</w:t>
      </w:r>
    </w:p>
    <w:p w14:paraId="1945BD7D" w14:textId="77777777" w:rsidR="00CD6F02" w:rsidRPr="00E51051" w:rsidRDefault="00CD6F02" w:rsidP="00187482">
      <w:pPr>
        <w:tabs>
          <w:tab w:val="left" w:pos="540"/>
          <w:tab w:val="left" w:pos="569"/>
        </w:tabs>
        <w:jc w:val="both"/>
        <w:rPr>
          <w:bCs/>
          <w:sz w:val="22"/>
          <w:szCs w:val="22"/>
        </w:rPr>
      </w:pPr>
    </w:p>
    <w:p w14:paraId="2383279F" w14:textId="5275DA6C" w:rsidR="00411B4B" w:rsidRPr="00E51051" w:rsidRDefault="00411B4B" w:rsidP="00187482">
      <w:pPr>
        <w:tabs>
          <w:tab w:val="left" w:pos="540"/>
          <w:tab w:val="left" w:pos="569"/>
        </w:tabs>
        <w:jc w:val="both"/>
        <w:rPr>
          <w:b/>
          <w:bCs/>
          <w:sz w:val="22"/>
          <w:szCs w:val="22"/>
        </w:rPr>
      </w:pPr>
      <w:r w:rsidRPr="00E51051">
        <w:rPr>
          <w:b/>
          <w:bCs/>
          <w:sz w:val="22"/>
          <w:szCs w:val="22"/>
        </w:rPr>
        <w:t xml:space="preserve">4.1. </w:t>
      </w:r>
      <w:r w:rsidR="00480FB1" w:rsidRPr="00E51051">
        <w:rPr>
          <w:b/>
          <w:bCs/>
          <w:sz w:val="22"/>
          <w:szCs w:val="22"/>
        </w:rPr>
        <w:tab/>
      </w:r>
      <w:r w:rsidRPr="00E51051">
        <w:rPr>
          <w:b/>
          <w:bCs/>
          <w:sz w:val="22"/>
          <w:szCs w:val="22"/>
        </w:rPr>
        <w:t>Terapijske indikacije</w:t>
      </w:r>
    </w:p>
    <w:p w14:paraId="0E4934A2" w14:textId="77777777" w:rsidR="00273C3F" w:rsidRPr="00E51051" w:rsidRDefault="00273C3F" w:rsidP="00187482">
      <w:pPr>
        <w:tabs>
          <w:tab w:val="left" w:pos="540"/>
          <w:tab w:val="left" w:pos="569"/>
        </w:tabs>
        <w:jc w:val="both"/>
        <w:rPr>
          <w:b/>
          <w:bCs/>
          <w:sz w:val="22"/>
          <w:szCs w:val="22"/>
        </w:rPr>
      </w:pPr>
    </w:p>
    <w:p w14:paraId="6CD06B03" w14:textId="64E7526A" w:rsidR="00273C3F" w:rsidRPr="00E51051" w:rsidRDefault="00273C3F" w:rsidP="00187482">
      <w:pPr>
        <w:tabs>
          <w:tab w:val="left" w:pos="540"/>
          <w:tab w:val="left" w:pos="569"/>
        </w:tabs>
        <w:jc w:val="both"/>
        <w:rPr>
          <w:bCs/>
          <w:sz w:val="22"/>
          <w:szCs w:val="22"/>
        </w:rPr>
      </w:pPr>
      <w:r w:rsidRPr="00E51051">
        <w:rPr>
          <w:bCs/>
          <w:sz w:val="22"/>
          <w:szCs w:val="22"/>
        </w:rPr>
        <w:t>L</w:t>
      </w:r>
      <w:r w:rsidR="00F13AD9" w:rsidRPr="00E51051">
        <w:rPr>
          <w:bCs/>
          <w:sz w:val="22"/>
          <w:szCs w:val="22"/>
        </w:rPr>
        <w:t>i</w:t>
      </w:r>
      <w:r w:rsidRPr="00E51051">
        <w:rPr>
          <w:bCs/>
          <w:sz w:val="22"/>
          <w:szCs w:val="22"/>
        </w:rPr>
        <w:t>jek ZERBAXA je indikovan za liječenje sljedećih infekcija kod odraslih i pedijatrijskih pacijenata</w:t>
      </w:r>
      <w:r w:rsidR="00F547A1" w:rsidRPr="00E51051">
        <w:rPr>
          <w:bCs/>
          <w:sz w:val="22"/>
          <w:szCs w:val="22"/>
        </w:rPr>
        <w:t xml:space="preserve"> </w:t>
      </w:r>
      <w:r w:rsidRPr="00E51051">
        <w:rPr>
          <w:bCs/>
          <w:sz w:val="22"/>
          <w:szCs w:val="22"/>
        </w:rPr>
        <w:t>(</w:t>
      </w:r>
      <w:r w:rsidR="00F547A1" w:rsidRPr="00E51051">
        <w:rPr>
          <w:bCs/>
          <w:sz w:val="22"/>
          <w:szCs w:val="22"/>
        </w:rPr>
        <w:t>vidjeti</w:t>
      </w:r>
      <w:r w:rsidRPr="00E51051">
        <w:rPr>
          <w:bCs/>
          <w:sz w:val="22"/>
          <w:szCs w:val="22"/>
        </w:rPr>
        <w:t xml:space="preserve"> djelove 4.2 i 5.1):</w:t>
      </w:r>
    </w:p>
    <w:p w14:paraId="12A630F4" w14:textId="77777777" w:rsidR="00273C3F" w:rsidRPr="00E51051" w:rsidRDefault="00273C3F" w:rsidP="00187482">
      <w:pPr>
        <w:tabs>
          <w:tab w:val="left" w:pos="540"/>
          <w:tab w:val="left" w:pos="569"/>
        </w:tabs>
        <w:jc w:val="both"/>
        <w:rPr>
          <w:bCs/>
          <w:sz w:val="22"/>
          <w:szCs w:val="22"/>
        </w:rPr>
      </w:pPr>
    </w:p>
    <w:p w14:paraId="0CB0B29F" w14:textId="481ABDC3" w:rsidR="00273C3F" w:rsidRPr="00E51051" w:rsidRDefault="00273C3F" w:rsidP="002F676D">
      <w:pPr>
        <w:pStyle w:val="ListParagraph"/>
        <w:numPr>
          <w:ilvl w:val="0"/>
          <w:numId w:val="21"/>
        </w:numPr>
        <w:tabs>
          <w:tab w:val="clear" w:pos="284"/>
          <w:tab w:val="left" w:pos="540"/>
          <w:tab w:val="left" w:pos="569"/>
        </w:tabs>
        <w:ind w:left="540" w:hanging="540"/>
        <w:rPr>
          <w:bCs/>
          <w:szCs w:val="22"/>
        </w:rPr>
      </w:pPr>
      <w:r w:rsidRPr="00E51051">
        <w:rPr>
          <w:bCs/>
          <w:szCs w:val="22"/>
        </w:rPr>
        <w:t>komplikovane intraabdominalne infekcije (</w:t>
      </w:r>
      <w:r w:rsidR="00F547A1" w:rsidRPr="00E51051">
        <w:rPr>
          <w:bCs/>
          <w:szCs w:val="22"/>
        </w:rPr>
        <w:t>vidjeti</w:t>
      </w:r>
      <w:r w:rsidRPr="00E51051">
        <w:rPr>
          <w:bCs/>
          <w:szCs w:val="22"/>
        </w:rPr>
        <w:t xml:space="preserve"> dio 4.4);</w:t>
      </w:r>
    </w:p>
    <w:p w14:paraId="71C13727" w14:textId="44EEC306" w:rsidR="00273C3F" w:rsidRPr="00E51051" w:rsidRDefault="00273C3F" w:rsidP="001B0F06">
      <w:pPr>
        <w:pStyle w:val="ListParagraph"/>
        <w:numPr>
          <w:ilvl w:val="0"/>
          <w:numId w:val="21"/>
        </w:numPr>
        <w:tabs>
          <w:tab w:val="clear" w:pos="284"/>
          <w:tab w:val="left" w:pos="540"/>
          <w:tab w:val="left" w:pos="569"/>
        </w:tabs>
        <w:ind w:left="540" w:hanging="540"/>
        <w:rPr>
          <w:bCs/>
          <w:szCs w:val="22"/>
        </w:rPr>
      </w:pPr>
      <w:r w:rsidRPr="00E51051">
        <w:rPr>
          <w:bCs/>
          <w:szCs w:val="22"/>
        </w:rPr>
        <w:t>akutni pijelonefritis;</w:t>
      </w:r>
    </w:p>
    <w:p w14:paraId="1C6DD89E" w14:textId="16BC8736" w:rsidR="00273C3F" w:rsidRPr="00E51051" w:rsidRDefault="00273C3F" w:rsidP="003F22BA">
      <w:pPr>
        <w:pStyle w:val="ListParagraph"/>
        <w:numPr>
          <w:ilvl w:val="0"/>
          <w:numId w:val="21"/>
        </w:numPr>
        <w:tabs>
          <w:tab w:val="clear" w:pos="284"/>
          <w:tab w:val="left" w:pos="540"/>
          <w:tab w:val="left" w:pos="569"/>
        </w:tabs>
        <w:ind w:left="540" w:hanging="540"/>
        <w:rPr>
          <w:bCs/>
          <w:szCs w:val="22"/>
        </w:rPr>
      </w:pPr>
      <w:r w:rsidRPr="00E51051">
        <w:rPr>
          <w:bCs/>
          <w:szCs w:val="22"/>
        </w:rPr>
        <w:t>komplikovane infekcije urinarnog trakta (</w:t>
      </w:r>
      <w:r w:rsidR="00F547A1" w:rsidRPr="00E51051">
        <w:rPr>
          <w:bCs/>
          <w:szCs w:val="22"/>
        </w:rPr>
        <w:t>vidjeti</w:t>
      </w:r>
      <w:r w:rsidRPr="00E51051">
        <w:rPr>
          <w:bCs/>
          <w:szCs w:val="22"/>
        </w:rPr>
        <w:t xml:space="preserve"> dio 4.4);</w:t>
      </w:r>
    </w:p>
    <w:p w14:paraId="3D1BEC35" w14:textId="77777777" w:rsidR="00273C3F" w:rsidRPr="00E51051" w:rsidRDefault="00273C3F" w:rsidP="00187482">
      <w:pPr>
        <w:tabs>
          <w:tab w:val="left" w:pos="540"/>
          <w:tab w:val="left" w:pos="569"/>
        </w:tabs>
        <w:jc w:val="both"/>
        <w:rPr>
          <w:bCs/>
          <w:sz w:val="22"/>
          <w:szCs w:val="22"/>
        </w:rPr>
      </w:pPr>
    </w:p>
    <w:p w14:paraId="305790A9" w14:textId="77777777" w:rsidR="00F547A1" w:rsidRPr="00E51051" w:rsidRDefault="00273C3F" w:rsidP="00187482">
      <w:pPr>
        <w:tabs>
          <w:tab w:val="left" w:pos="540"/>
          <w:tab w:val="left" w:pos="569"/>
        </w:tabs>
        <w:jc w:val="both"/>
        <w:rPr>
          <w:bCs/>
          <w:sz w:val="22"/>
          <w:szCs w:val="22"/>
        </w:rPr>
      </w:pPr>
      <w:r w:rsidRPr="00E51051">
        <w:rPr>
          <w:bCs/>
          <w:sz w:val="22"/>
          <w:szCs w:val="22"/>
        </w:rPr>
        <w:t>L</w:t>
      </w:r>
      <w:r w:rsidR="00F13AD9" w:rsidRPr="00E51051">
        <w:rPr>
          <w:bCs/>
          <w:sz w:val="22"/>
          <w:szCs w:val="22"/>
        </w:rPr>
        <w:t>i</w:t>
      </w:r>
      <w:r w:rsidRPr="00E51051">
        <w:rPr>
          <w:bCs/>
          <w:sz w:val="22"/>
          <w:szCs w:val="22"/>
        </w:rPr>
        <w:t xml:space="preserve">jek ZERBAXA je takođe indikovan za liječenje sljedećih infekcija kod </w:t>
      </w:r>
      <w:r w:rsidRPr="00E51051">
        <w:rPr>
          <w:bCs/>
          <w:sz w:val="22"/>
          <w:szCs w:val="22"/>
          <w:lang w:val="sr-Latn-RS"/>
        </w:rPr>
        <w:t>odraslih (</w:t>
      </w:r>
      <w:proofErr w:type="gramStart"/>
      <w:r w:rsidRPr="00E51051">
        <w:rPr>
          <w:bCs/>
          <w:sz w:val="22"/>
          <w:szCs w:val="22"/>
          <w:lang w:val="sr-Latn-RS"/>
        </w:rPr>
        <w:t>18 godina</w:t>
      </w:r>
      <w:proofErr w:type="gramEnd"/>
      <w:r w:rsidRPr="00E51051">
        <w:rPr>
          <w:bCs/>
          <w:sz w:val="22"/>
          <w:szCs w:val="22"/>
          <w:lang w:val="sr-Latn-RS"/>
        </w:rPr>
        <w:t xml:space="preserve"> ili starijih)</w:t>
      </w:r>
      <w:r w:rsidRPr="00E51051">
        <w:rPr>
          <w:bCs/>
          <w:sz w:val="22"/>
          <w:szCs w:val="22"/>
        </w:rPr>
        <w:t xml:space="preserve"> (</w:t>
      </w:r>
      <w:r w:rsidR="00F547A1" w:rsidRPr="00E51051">
        <w:rPr>
          <w:bCs/>
          <w:sz w:val="22"/>
          <w:szCs w:val="22"/>
        </w:rPr>
        <w:t>vidjeti</w:t>
      </w:r>
      <w:r w:rsidRPr="00E51051">
        <w:rPr>
          <w:bCs/>
          <w:sz w:val="22"/>
          <w:szCs w:val="22"/>
        </w:rPr>
        <w:t xml:space="preserve"> dio 5.1)</w:t>
      </w:r>
      <w:r w:rsidR="00F547A1" w:rsidRPr="00E51051">
        <w:rPr>
          <w:bCs/>
          <w:sz w:val="22"/>
          <w:szCs w:val="22"/>
        </w:rPr>
        <w:t>:</w:t>
      </w:r>
    </w:p>
    <w:p w14:paraId="31E5EC8B" w14:textId="2218E6B6" w:rsidR="00273C3F" w:rsidRPr="00E51051" w:rsidRDefault="00273C3F" w:rsidP="00187482">
      <w:pPr>
        <w:tabs>
          <w:tab w:val="left" w:pos="540"/>
          <w:tab w:val="left" w:pos="569"/>
        </w:tabs>
        <w:jc w:val="both"/>
        <w:rPr>
          <w:bCs/>
          <w:sz w:val="22"/>
          <w:szCs w:val="22"/>
        </w:rPr>
      </w:pPr>
      <w:r w:rsidRPr="00E51051">
        <w:rPr>
          <w:bCs/>
          <w:sz w:val="22"/>
          <w:szCs w:val="22"/>
        </w:rPr>
        <w:t xml:space="preserve"> </w:t>
      </w:r>
    </w:p>
    <w:p w14:paraId="5CB04C5D" w14:textId="599BE7C6" w:rsidR="00273C3F" w:rsidRPr="00E51051" w:rsidRDefault="00273C3F" w:rsidP="002F676D">
      <w:pPr>
        <w:pStyle w:val="ListParagraph"/>
        <w:numPr>
          <w:ilvl w:val="0"/>
          <w:numId w:val="21"/>
        </w:numPr>
        <w:tabs>
          <w:tab w:val="clear" w:pos="284"/>
          <w:tab w:val="left" w:pos="540"/>
          <w:tab w:val="left" w:pos="569"/>
        </w:tabs>
        <w:ind w:left="540" w:hanging="540"/>
        <w:rPr>
          <w:bCs/>
          <w:szCs w:val="22"/>
        </w:rPr>
      </w:pPr>
      <w:r w:rsidRPr="00E51051">
        <w:rPr>
          <w:bCs/>
          <w:szCs w:val="22"/>
          <w:lang w:val="sr-Latn-RS"/>
        </w:rPr>
        <w:t>bolnički stečena</w:t>
      </w:r>
      <w:r w:rsidRPr="00E51051">
        <w:rPr>
          <w:bCs/>
          <w:szCs w:val="22"/>
        </w:rPr>
        <w:t xml:space="preserve"> pneumonija (engl. </w:t>
      </w:r>
      <w:r w:rsidRPr="00E51051">
        <w:rPr>
          <w:bCs/>
          <w:i/>
          <w:szCs w:val="22"/>
        </w:rPr>
        <w:t>hospital-acquired pneumonia</w:t>
      </w:r>
      <w:r w:rsidRPr="00E51051">
        <w:rPr>
          <w:bCs/>
          <w:szCs w:val="22"/>
        </w:rPr>
        <w:t xml:space="preserve">, HAP), uključujući pneumoniju povezanu sa mehaničkom ventilacijom (engl. </w:t>
      </w:r>
      <w:r w:rsidRPr="00E51051">
        <w:rPr>
          <w:bCs/>
          <w:i/>
          <w:szCs w:val="22"/>
        </w:rPr>
        <w:t>ventilator-associated pneumonia</w:t>
      </w:r>
      <w:r w:rsidRPr="00E51051">
        <w:rPr>
          <w:bCs/>
          <w:szCs w:val="22"/>
        </w:rPr>
        <w:t>, VAP).</w:t>
      </w:r>
    </w:p>
    <w:p w14:paraId="726E6AA4" w14:textId="77777777" w:rsidR="00273C3F" w:rsidRPr="00E51051" w:rsidRDefault="00273C3F" w:rsidP="00187482">
      <w:pPr>
        <w:tabs>
          <w:tab w:val="left" w:pos="540"/>
          <w:tab w:val="left" w:pos="569"/>
        </w:tabs>
        <w:jc w:val="both"/>
        <w:rPr>
          <w:bCs/>
          <w:sz w:val="22"/>
          <w:szCs w:val="22"/>
        </w:rPr>
      </w:pPr>
    </w:p>
    <w:p w14:paraId="7993D5FA" w14:textId="34E78103" w:rsidR="00411B4B" w:rsidRPr="00E51051" w:rsidRDefault="00273C3F" w:rsidP="00187482">
      <w:pPr>
        <w:tabs>
          <w:tab w:val="left" w:pos="540"/>
          <w:tab w:val="left" w:pos="569"/>
        </w:tabs>
        <w:jc w:val="both"/>
        <w:rPr>
          <w:bCs/>
          <w:sz w:val="22"/>
          <w:szCs w:val="22"/>
        </w:rPr>
      </w:pPr>
      <w:r w:rsidRPr="00E51051">
        <w:rPr>
          <w:bCs/>
          <w:sz w:val="22"/>
          <w:szCs w:val="22"/>
        </w:rPr>
        <w:t>Potrebno je uzeti u obzir zvanične smjernice o odgovarajućoj primjeni antibakterijskih ljekova.</w:t>
      </w:r>
    </w:p>
    <w:p w14:paraId="2CA369E3" w14:textId="77777777" w:rsidR="00273C3F" w:rsidRPr="00E51051" w:rsidRDefault="00273C3F" w:rsidP="00273C3F">
      <w:pPr>
        <w:tabs>
          <w:tab w:val="left" w:pos="540"/>
          <w:tab w:val="left" w:pos="569"/>
        </w:tabs>
        <w:rPr>
          <w:bCs/>
          <w:sz w:val="22"/>
          <w:szCs w:val="22"/>
        </w:rPr>
      </w:pPr>
    </w:p>
    <w:p w14:paraId="3784C225" w14:textId="77777777" w:rsidR="00411B4B" w:rsidRPr="00E51051" w:rsidRDefault="00411B4B" w:rsidP="00187482">
      <w:pPr>
        <w:tabs>
          <w:tab w:val="left" w:pos="540"/>
          <w:tab w:val="left" w:pos="569"/>
        </w:tabs>
        <w:jc w:val="both"/>
        <w:rPr>
          <w:b/>
          <w:bCs/>
          <w:sz w:val="22"/>
          <w:szCs w:val="22"/>
          <w:lang w:val="sr-Latn-RS"/>
        </w:rPr>
      </w:pPr>
      <w:r w:rsidRPr="00E51051">
        <w:rPr>
          <w:b/>
          <w:bCs/>
          <w:sz w:val="22"/>
          <w:szCs w:val="22"/>
          <w:lang w:val="sr-Latn-RS"/>
        </w:rPr>
        <w:t xml:space="preserve">4.2. </w:t>
      </w:r>
      <w:r w:rsidR="00480FB1" w:rsidRPr="00E51051">
        <w:rPr>
          <w:b/>
          <w:bCs/>
          <w:sz w:val="22"/>
          <w:szCs w:val="22"/>
          <w:lang w:val="sr-Latn-RS"/>
        </w:rPr>
        <w:tab/>
      </w:r>
      <w:r w:rsidRPr="00E51051">
        <w:rPr>
          <w:b/>
          <w:bCs/>
          <w:sz w:val="22"/>
          <w:szCs w:val="22"/>
          <w:lang w:val="sr-Latn-RS"/>
        </w:rPr>
        <w:t>Doziranje i način primjene</w:t>
      </w:r>
    </w:p>
    <w:p w14:paraId="7B18D5B0" w14:textId="77777777" w:rsidR="0072020E" w:rsidRPr="00E51051" w:rsidRDefault="0072020E" w:rsidP="00187482">
      <w:pPr>
        <w:tabs>
          <w:tab w:val="left" w:pos="540"/>
          <w:tab w:val="left" w:pos="569"/>
        </w:tabs>
        <w:jc w:val="both"/>
        <w:rPr>
          <w:bCs/>
          <w:sz w:val="22"/>
          <w:szCs w:val="22"/>
          <w:lang w:val="sr-Latn-RS"/>
        </w:rPr>
      </w:pPr>
    </w:p>
    <w:p w14:paraId="02CAAF63" w14:textId="586DBC20" w:rsidR="00452E9D" w:rsidRPr="00E51051" w:rsidRDefault="00452E9D" w:rsidP="00187482">
      <w:pPr>
        <w:tabs>
          <w:tab w:val="left" w:pos="540"/>
          <w:tab w:val="left" w:pos="569"/>
        </w:tabs>
        <w:jc w:val="both"/>
        <w:rPr>
          <w:bCs/>
          <w:sz w:val="22"/>
          <w:szCs w:val="22"/>
          <w:u w:val="single"/>
          <w:lang w:val="sr-Latn-RS"/>
        </w:rPr>
      </w:pPr>
      <w:r w:rsidRPr="00E51051">
        <w:rPr>
          <w:bCs/>
          <w:sz w:val="22"/>
          <w:szCs w:val="22"/>
          <w:u w:val="single"/>
          <w:lang w:val="sr-Latn-RS"/>
        </w:rPr>
        <w:t>Doziranje</w:t>
      </w:r>
    </w:p>
    <w:p w14:paraId="04D701F4" w14:textId="77777777" w:rsidR="00F13AD9" w:rsidRPr="00E51051" w:rsidRDefault="00F13AD9" w:rsidP="00187482">
      <w:pPr>
        <w:tabs>
          <w:tab w:val="left" w:pos="540"/>
          <w:tab w:val="left" w:pos="569"/>
        </w:tabs>
        <w:jc w:val="both"/>
        <w:rPr>
          <w:bCs/>
          <w:sz w:val="22"/>
          <w:szCs w:val="22"/>
          <w:u w:val="single"/>
          <w:lang w:val="sr-Latn-RS"/>
        </w:rPr>
      </w:pPr>
    </w:p>
    <w:p w14:paraId="5AB3876F" w14:textId="7D4F3554" w:rsidR="00F13AD9" w:rsidRPr="00E51051" w:rsidRDefault="00F13AD9" w:rsidP="00187482">
      <w:pPr>
        <w:tabs>
          <w:tab w:val="left" w:pos="540"/>
          <w:tab w:val="left" w:pos="569"/>
        </w:tabs>
        <w:jc w:val="both"/>
        <w:rPr>
          <w:bCs/>
          <w:sz w:val="22"/>
          <w:szCs w:val="22"/>
          <w:lang w:val="sr-Latn-RS"/>
        </w:rPr>
      </w:pPr>
      <w:r w:rsidRPr="00E51051">
        <w:rPr>
          <w:bCs/>
          <w:sz w:val="22"/>
          <w:szCs w:val="22"/>
          <w:lang w:val="sr-Latn-RS"/>
        </w:rPr>
        <w:t>Preporučeni režim intravenskog doziranja kod odraslih pacijenata sa klirensom kreatinina &gt; 50</w:t>
      </w:r>
      <w:r w:rsidR="00157168" w:rsidRPr="00E51051">
        <w:rPr>
          <w:bCs/>
          <w:sz w:val="22"/>
          <w:szCs w:val="22"/>
          <w:lang w:val="sr-Latn-RS"/>
        </w:rPr>
        <w:t xml:space="preserve"> ml/</w:t>
      </w:r>
      <w:r w:rsidRPr="00E51051">
        <w:rPr>
          <w:bCs/>
          <w:sz w:val="22"/>
          <w:szCs w:val="22"/>
          <w:lang w:val="sr-Latn-RS"/>
        </w:rPr>
        <w:t>min prikazan je prema vrsti infekcije u tabeli 1.</w:t>
      </w:r>
    </w:p>
    <w:p w14:paraId="345F904E" w14:textId="77777777" w:rsidR="00F13AD9" w:rsidRPr="00E51051" w:rsidRDefault="00F13AD9" w:rsidP="00187482">
      <w:pPr>
        <w:tabs>
          <w:tab w:val="left" w:pos="540"/>
          <w:tab w:val="left" w:pos="569"/>
        </w:tabs>
        <w:jc w:val="both"/>
        <w:rPr>
          <w:bCs/>
          <w:sz w:val="22"/>
          <w:szCs w:val="22"/>
          <w:u w:val="single"/>
          <w:lang w:val="sr-Latn-RS"/>
        </w:rPr>
      </w:pPr>
    </w:p>
    <w:p w14:paraId="512FD827" w14:textId="59B063F1" w:rsidR="00F13AD9" w:rsidRPr="00E51051" w:rsidRDefault="00F13AD9" w:rsidP="00187482">
      <w:pPr>
        <w:tabs>
          <w:tab w:val="left" w:pos="540"/>
          <w:tab w:val="left" w:pos="569"/>
        </w:tabs>
        <w:jc w:val="both"/>
        <w:rPr>
          <w:b/>
          <w:sz w:val="22"/>
          <w:szCs w:val="22"/>
          <w:lang w:val="sr-Latn-RS"/>
        </w:rPr>
      </w:pPr>
      <w:r w:rsidRPr="00E51051">
        <w:rPr>
          <w:b/>
          <w:sz w:val="22"/>
          <w:szCs w:val="22"/>
          <w:lang w:val="sr-Latn-RS"/>
        </w:rPr>
        <w:t>Tabela 1: Intravenska doza ljeka ZERBAXA prema vrsti infekcije kod odraslih pacijenata (18 godina ili starijih) sa klirensom kreatinina* &gt; 50</w:t>
      </w:r>
      <w:r w:rsidR="00157168" w:rsidRPr="00E51051">
        <w:rPr>
          <w:b/>
          <w:sz w:val="22"/>
          <w:szCs w:val="22"/>
          <w:lang w:val="sr-Latn-RS"/>
        </w:rPr>
        <w:t xml:space="preserve"> ml/</w:t>
      </w:r>
      <w:r w:rsidRPr="00E51051">
        <w:rPr>
          <w:b/>
          <w:sz w:val="22"/>
          <w:szCs w:val="22"/>
          <w:lang w:val="sr-Latn-RS"/>
        </w:rPr>
        <w:t>min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6"/>
        <w:gridCol w:w="1829"/>
        <w:gridCol w:w="1448"/>
        <w:gridCol w:w="1381"/>
        <w:gridCol w:w="1379"/>
      </w:tblGrid>
      <w:tr w:rsidR="00F13AD9" w:rsidRPr="00E51051" w14:paraId="493E6AA2" w14:textId="77777777" w:rsidTr="00F547A1">
        <w:trPr>
          <w:cantSplit/>
          <w:tblHeader/>
        </w:trPr>
        <w:tc>
          <w:tcPr>
            <w:tcW w:w="1669" w:type="pct"/>
            <w:shd w:val="clear" w:color="auto" w:fill="auto"/>
          </w:tcPr>
          <w:p w14:paraId="00915035" w14:textId="77777777" w:rsidR="00F13AD9" w:rsidRPr="00E51051" w:rsidRDefault="00F13AD9" w:rsidP="004A38AE">
            <w:pPr>
              <w:pStyle w:val="Header"/>
              <w:tabs>
                <w:tab w:val="left" w:pos="284"/>
              </w:tabs>
              <w:rPr>
                <w:b/>
                <w:sz w:val="22"/>
                <w:szCs w:val="22"/>
                <w:lang w:val="sr-Latn-RS"/>
              </w:rPr>
            </w:pPr>
            <w:r w:rsidRPr="00E51051">
              <w:rPr>
                <w:b/>
                <w:sz w:val="22"/>
                <w:szCs w:val="22"/>
                <w:lang w:val="sr-Latn-RS"/>
              </w:rPr>
              <w:t>Vrsta infekcije</w:t>
            </w:r>
          </w:p>
        </w:tc>
        <w:tc>
          <w:tcPr>
            <w:tcW w:w="1009" w:type="pct"/>
            <w:shd w:val="clear" w:color="auto" w:fill="auto"/>
          </w:tcPr>
          <w:p w14:paraId="61BEBE18" w14:textId="77777777" w:rsidR="00F13AD9" w:rsidRPr="00E51051" w:rsidRDefault="00F13AD9" w:rsidP="004A38AE">
            <w:pPr>
              <w:pStyle w:val="Header"/>
              <w:tabs>
                <w:tab w:val="left" w:pos="284"/>
              </w:tabs>
              <w:rPr>
                <w:b/>
                <w:sz w:val="22"/>
                <w:szCs w:val="22"/>
                <w:lang w:val="sr-Latn-RS"/>
              </w:rPr>
            </w:pPr>
            <w:r w:rsidRPr="00E51051">
              <w:rPr>
                <w:b/>
                <w:sz w:val="22"/>
                <w:szCs w:val="22"/>
                <w:lang w:val="sr-Latn-RS"/>
              </w:rPr>
              <w:t>Doza</w:t>
            </w:r>
          </w:p>
        </w:tc>
        <w:tc>
          <w:tcPr>
            <w:tcW w:w="799" w:type="pct"/>
            <w:shd w:val="clear" w:color="auto" w:fill="auto"/>
          </w:tcPr>
          <w:p w14:paraId="6D8F8B70" w14:textId="77777777" w:rsidR="00F13AD9" w:rsidRPr="00E51051" w:rsidRDefault="00F13AD9" w:rsidP="004A38AE">
            <w:pPr>
              <w:pStyle w:val="Header"/>
              <w:tabs>
                <w:tab w:val="left" w:pos="284"/>
              </w:tabs>
              <w:rPr>
                <w:b/>
                <w:sz w:val="22"/>
                <w:szCs w:val="22"/>
                <w:lang w:val="sr-Latn-RS"/>
              </w:rPr>
            </w:pPr>
            <w:r w:rsidRPr="00E51051">
              <w:rPr>
                <w:b/>
                <w:sz w:val="22"/>
                <w:szCs w:val="22"/>
                <w:lang w:val="sr-Latn-RS"/>
              </w:rPr>
              <w:t>Učestalost</w:t>
            </w:r>
          </w:p>
        </w:tc>
        <w:tc>
          <w:tcPr>
            <w:tcW w:w="762" w:type="pct"/>
            <w:shd w:val="clear" w:color="auto" w:fill="auto"/>
          </w:tcPr>
          <w:p w14:paraId="36E5427F" w14:textId="77777777" w:rsidR="00F13AD9" w:rsidRPr="00E51051" w:rsidRDefault="00F13AD9" w:rsidP="004A38AE">
            <w:pPr>
              <w:pStyle w:val="Header"/>
              <w:tabs>
                <w:tab w:val="left" w:pos="284"/>
              </w:tabs>
              <w:rPr>
                <w:b/>
                <w:sz w:val="22"/>
                <w:szCs w:val="22"/>
                <w:lang w:val="sr-Latn-RS"/>
              </w:rPr>
            </w:pPr>
            <w:r w:rsidRPr="00E51051">
              <w:rPr>
                <w:b/>
                <w:sz w:val="22"/>
                <w:szCs w:val="22"/>
                <w:lang w:val="sr-Latn-RS"/>
              </w:rPr>
              <w:t>Trajanje infuzije</w:t>
            </w:r>
          </w:p>
        </w:tc>
        <w:tc>
          <w:tcPr>
            <w:tcW w:w="761" w:type="pct"/>
          </w:tcPr>
          <w:p w14:paraId="1434D0E4" w14:textId="33C9C363" w:rsidR="00F13AD9" w:rsidRPr="00E51051" w:rsidRDefault="00F13AD9" w:rsidP="004A38AE">
            <w:pPr>
              <w:pStyle w:val="Header"/>
              <w:tabs>
                <w:tab w:val="left" w:pos="284"/>
              </w:tabs>
              <w:rPr>
                <w:b/>
                <w:sz w:val="22"/>
                <w:szCs w:val="22"/>
                <w:lang w:val="sr-Latn-RS"/>
              </w:rPr>
            </w:pPr>
            <w:r w:rsidRPr="00E51051">
              <w:rPr>
                <w:b/>
                <w:sz w:val="22"/>
                <w:szCs w:val="22"/>
                <w:lang w:val="sr-Latn-RS"/>
              </w:rPr>
              <w:t>Trajanje liječenja</w:t>
            </w:r>
          </w:p>
        </w:tc>
      </w:tr>
      <w:tr w:rsidR="00F13AD9" w:rsidRPr="00E51051" w14:paraId="741E2608" w14:textId="77777777" w:rsidTr="00F547A1">
        <w:trPr>
          <w:cantSplit/>
        </w:trPr>
        <w:tc>
          <w:tcPr>
            <w:tcW w:w="1669" w:type="pct"/>
            <w:shd w:val="clear" w:color="auto" w:fill="auto"/>
          </w:tcPr>
          <w:p w14:paraId="7A8D9E57" w14:textId="77777777" w:rsidR="00F13AD9" w:rsidRPr="00E51051" w:rsidRDefault="00F13AD9" w:rsidP="004A38AE">
            <w:pPr>
              <w:pStyle w:val="Header"/>
              <w:tabs>
                <w:tab w:val="left" w:pos="284"/>
              </w:tabs>
              <w:rPr>
                <w:sz w:val="22"/>
                <w:szCs w:val="22"/>
                <w:lang w:val="sr-Latn-RS"/>
              </w:rPr>
            </w:pPr>
            <w:r w:rsidRPr="00E51051">
              <w:rPr>
                <w:sz w:val="22"/>
                <w:szCs w:val="22"/>
                <w:lang w:val="sr-Latn-RS"/>
              </w:rPr>
              <w:t>Komplikovana intraabdominalna infekcija**</w:t>
            </w:r>
          </w:p>
        </w:tc>
        <w:tc>
          <w:tcPr>
            <w:tcW w:w="1009" w:type="pct"/>
            <w:shd w:val="clear" w:color="auto" w:fill="auto"/>
          </w:tcPr>
          <w:p w14:paraId="2600797A" w14:textId="705DF570" w:rsidR="00F13AD9" w:rsidRPr="00E51051" w:rsidRDefault="00F13AD9" w:rsidP="00F547A1">
            <w:pPr>
              <w:pStyle w:val="Header"/>
              <w:tabs>
                <w:tab w:val="left" w:pos="284"/>
              </w:tabs>
              <w:rPr>
                <w:sz w:val="22"/>
                <w:szCs w:val="22"/>
                <w:lang w:val="sr-Latn-RS"/>
              </w:rPr>
            </w:pPr>
            <w:r w:rsidRPr="00E51051">
              <w:rPr>
                <w:sz w:val="22"/>
                <w:szCs w:val="22"/>
                <w:lang w:val="sr-Latn-RS"/>
              </w:rPr>
              <w:t>1 g</w:t>
            </w:r>
            <w:r w:rsidR="00F547A1" w:rsidRPr="00E51051">
              <w:rPr>
                <w:sz w:val="22"/>
                <w:szCs w:val="22"/>
                <w:lang w:val="sr-Latn-RS"/>
              </w:rPr>
              <w:t xml:space="preserve"> </w:t>
            </w:r>
            <w:r w:rsidRPr="00E51051">
              <w:rPr>
                <w:sz w:val="22"/>
                <w:szCs w:val="22"/>
                <w:lang w:val="sr-Latn-RS"/>
              </w:rPr>
              <w:t>ceftolozana/0,5 g tazobaktama</w:t>
            </w:r>
          </w:p>
        </w:tc>
        <w:tc>
          <w:tcPr>
            <w:tcW w:w="799" w:type="pct"/>
            <w:shd w:val="clear" w:color="auto" w:fill="auto"/>
          </w:tcPr>
          <w:p w14:paraId="7B40F92F" w14:textId="77777777" w:rsidR="00F13AD9" w:rsidRPr="00E51051" w:rsidRDefault="00F13AD9" w:rsidP="00F13AD9">
            <w:pPr>
              <w:pStyle w:val="Header"/>
              <w:tabs>
                <w:tab w:val="left" w:pos="284"/>
              </w:tabs>
              <w:jc w:val="center"/>
              <w:rPr>
                <w:sz w:val="22"/>
                <w:szCs w:val="22"/>
                <w:lang w:val="sr-Latn-RS"/>
              </w:rPr>
            </w:pPr>
            <w:r w:rsidRPr="00E51051">
              <w:rPr>
                <w:sz w:val="22"/>
                <w:szCs w:val="22"/>
                <w:lang w:val="sr-Latn-RS"/>
              </w:rPr>
              <w:t>svakih 8 sati</w:t>
            </w:r>
          </w:p>
        </w:tc>
        <w:tc>
          <w:tcPr>
            <w:tcW w:w="762" w:type="pct"/>
            <w:shd w:val="clear" w:color="auto" w:fill="auto"/>
          </w:tcPr>
          <w:p w14:paraId="06A4854D" w14:textId="77777777" w:rsidR="00F13AD9" w:rsidRPr="00E51051" w:rsidRDefault="00F13AD9" w:rsidP="00F13AD9">
            <w:pPr>
              <w:pStyle w:val="Header"/>
              <w:tabs>
                <w:tab w:val="left" w:pos="284"/>
              </w:tabs>
              <w:jc w:val="center"/>
              <w:rPr>
                <w:sz w:val="22"/>
                <w:szCs w:val="22"/>
                <w:lang w:val="sr-Latn-RS"/>
              </w:rPr>
            </w:pPr>
            <w:r w:rsidRPr="00E51051">
              <w:rPr>
                <w:sz w:val="22"/>
                <w:szCs w:val="22"/>
                <w:lang w:val="sr-Latn-RS"/>
              </w:rPr>
              <w:t>1 sat</w:t>
            </w:r>
          </w:p>
        </w:tc>
        <w:tc>
          <w:tcPr>
            <w:tcW w:w="761" w:type="pct"/>
          </w:tcPr>
          <w:p w14:paraId="709A8CF2" w14:textId="77777777" w:rsidR="00F13AD9" w:rsidRPr="00E51051" w:rsidRDefault="00F13AD9" w:rsidP="00F13AD9">
            <w:pPr>
              <w:pStyle w:val="Header"/>
              <w:tabs>
                <w:tab w:val="left" w:pos="284"/>
              </w:tabs>
              <w:jc w:val="center"/>
              <w:rPr>
                <w:sz w:val="22"/>
                <w:szCs w:val="22"/>
                <w:lang w:val="sr-Latn-RS"/>
              </w:rPr>
            </w:pPr>
            <w:r w:rsidRPr="00E51051">
              <w:rPr>
                <w:sz w:val="22"/>
                <w:szCs w:val="22"/>
                <w:lang w:val="sr-Latn-RS"/>
              </w:rPr>
              <w:t>4</w:t>
            </w:r>
            <w:r w:rsidRPr="00E51051">
              <w:rPr>
                <w:sz w:val="22"/>
                <w:szCs w:val="22"/>
                <w:lang w:val="sr-Latn-RS"/>
              </w:rPr>
              <w:noBreakHyphen/>
              <w:t>14 dana</w:t>
            </w:r>
          </w:p>
        </w:tc>
      </w:tr>
      <w:tr w:rsidR="00F13AD9" w:rsidRPr="00E51051" w14:paraId="71B83201" w14:textId="77777777" w:rsidTr="00F547A1">
        <w:trPr>
          <w:cantSplit/>
        </w:trPr>
        <w:tc>
          <w:tcPr>
            <w:tcW w:w="1669" w:type="pct"/>
            <w:shd w:val="clear" w:color="auto" w:fill="auto"/>
          </w:tcPr>
          <w:p w14:paraId="43A60681" w14:textId="77777777" w:rsidR="00F13AD9" w:rsidRPr="00E51051" w:rsidRDefault="00F13AD9" w:rsidP="004A38AE">
            <w:pPr>
              <w:pStyle w:val="Header"/>
              <w:tabs>
                <w:tab w:val="left" w:pos="284"/>
              </w:tabs>
              <w:rPr>
                <w:sz w:val="22"/>
                <w:szCs w:val="22"/>
                <w:lang w:val="sr-Latn-RS"/>
              </w:rPr>
            </w:pPr>
            <w:r w:rsidRPr="00E51051">
              <w:rPr>
                <w:sz w:val="22"/>
                <w:szCs w:val="22"/>
                <w:lang w:val="sr-Latn-RS"/>
              </w:rPr>
              <w:t>Komplikovana infekcija urinarnog trakta</w:t>
            </w:r>
          </w:p>
          <w:p w14:paraId="5354579B" w14:textId="77777777" w:rsidR="00F13AD9" w:rsidRPr="00E51051" w:rsidRDefault="00F13AD9" w:rsidP="004A38AE">
            <w:pPr>
              <w:pStyle w:val="Header"/>
              <w:tabs>
                <w:tab w:val="left" w:pos="284"/>
              </w:tabs>
              <w:rPr>
                <w:sz w:val="22"/>
                <w:szCs w:val="22"/>
                <w:lang w:val="sr-Latn-RS"/>
              </w:rPr>
            </w:pPr>
            <w:r w:rsidRPr="00E51051">
              <w:rPr>
                <w:sz w:val="22"/>
                <w:szCs w:val="22"/>
                <w:lang w:val="sr-Latn-RS"/>
              </w:rPr>
              <w:t>Akutni pijelonefritis</w:t>
            </w:r>
          </w:p>
        </w:tc>
        <w:tc>
          <w:tcPr>
            <w:tcW w:w="1009" w:type="pct"/>
            <w:shd w:val="clear" w:color="auto" w:fill="auto"/>
          </w:tcPr>
          <w:p w14:paraId="65B1BFDB" w14:textId="415198DB" w:rsidR="00F13AD9" w:rsidRPr="00E51051" w:rsidRDefault="00F13AD9" w:rsidP="00F547A1">
            <w:pPr>
              <w:pStyle w:val="Header"/>
              <w:tabs>
                <w:tab w:val="left" w:pos="284"/>
              </w:tabs>
              <w:rPr>
                <w:sz w:val="22"/>
                <w:szCs w:val="22"/>
                <w:lang w:val="sr-Latn-RS"/>
              </w:rPr>
            </w:pPr>
            <w:r w:rsidRPr="00E51051">
              <w:rPr>
                <w:sz w:val="22"/>
                <w:szCs w:val="22"/>
                <w:lang w:val="sr-Latn-RS"/>
              </w:rPr>
              <w:t>1 g</w:t>
            </w:r>
            <w:r w:rsidR="00F547A1" w:rsidRPr="00E51051">
              <w:rPr>
                <w:sz w:val="22"/>
                <w:szCs w:val="22"/>
                <w:lang w:val="sr-Latn-RS"/>
              </w:rPr>
              <w:t xml:space="preserve"> </w:t>
            </w:r>
            <w:r w:rsidRPr="00E51051">
              <w:rPr>
                <w:sz w:val="22"/>
                <w:szCs w:val="22"/>
                <w:lang w:val="sr-Latn-RS"/>
              </w:rPr>
              <w:t>ceftolozana/0,5 g tazobaktama</w:t>
            </w:r>
          </w:p>
        </w:tc>
        <w:tc>
          <w:tcPr>
            <w:tcW w:w="799" w:type="pct"/>
            <w:shd w:val="clear" w:color="auto" w:fill="auto"/>
          </w:tcPr>
          <w:p w14:paraId="6F1A19A2" w14:textId="77777777" w:rsidR="00F13AD9" w:rsidRPr="00E51051" w:rsidRDefault="00F13AD9" w:rsidP="00F13AD9">
            <w:pPr>
              <w:pStyle w:val="Header"/>
              <w:tabs>
                <w:tab w:val="left" w:pos="284"/>
              </w:tabs>
              <w:jc w:val="center"/>
              <w:rPr>
                <w:sz w:val="22"/>
                <w:szCs w:val="22"/>
                <w:lang w:val="sr-Latn-RS"/>
              </w:rPr>
            </w:pPr>
            <w:r w:rsidRPr="00E51051">
              <w:rPr>
                <w:sz w:val="22"/>
                <w:szCs w:val="22"/>
                <w:lang w:val="sr-Latn-RS"/>
              </w:rPr>
              <w:t>svakih 8 sati</w:t>
            </w:r>
          </w:p>
        </w:tc>
        <w:tc>
          <w:tcPr>
            <w:tcW w:w="762" w:type="pct"/>
            <w:shd w:val="clear" w:color="auto" w:fill="auto"/>
          </w:tcPr>
          <w:p w14:paraId="57565D54" w14:textId="77777777" w:rsidR="00F13AD9" w:rsidRPr="00E51051" w:rsidRDefault="00F13AD9" w:rsidP="00F13AD9">
            <w:pPr>
              <w:pStyle w:val="Header"/>
              <w:tabs>
                <w:tab w:val="left" w:pos="284"/>
              </w:tabs>
              <w:jc w:val="center"/>
              <w:rPr>
                <w:sz w:val="22"/>
                <w:szCs w:val="22"/>
                <w:lang w:val="sr-Latn-RS"/>
              </w:rPr>
            </w:pPr>
            <w:r w:rsidRPr="00E51051">
              <w:rPr>
                <w:sz w:val="22"/>
                <w:szCs w:val="22"/>
                <w:lang w:val="sr-Latn-RS"/>
              </w:rPr>
              <w:t>1 sat</w:t>
            </w:r>
          </w:p>
        </w:tc>
        <w:tc>
          <w:tcPr>
            <w:tcW w:w="761" w:type="pct"/>
          </w:tcPr>
          <w:p w14:paraId="27473490" w14:textId="77777777" w:rsidR="00F13AD9" w:rsidRPr="00E51051" w:rsidRDefault="00F13AD9" w:rsidP="00F13AD9">
            <w:pPr>
              <w:pStyle w:val="Header"/>
              <w:tabs>
                <w:tab w:val="left" w:pos="284"/>
              </w:tabs>
              <w:jc w:val="center"/>
              <w:rPr>
                <w:sz w:val="22"/>
                <w:szCs w:val="22"/>
                <w:lang w:val="sr-Latn-RS"/>
              </w:rPr>
            </w:pPr>
            <w:r w:rsidRPr="00E51051">
              <w:rPr>
                <w:sz w:val="22"/>
                <w:szCs w:val="22"/>
                <w:lang w:val="sr-Latn-RS"/>
              </w:rPr>
              <w:t>7 dana</w:t>
            </w:r>
          </w:p>
        </w:tc>
      </w:tr>
      <w:tr w:rsidR="00F547A1" w:rsidRPr="00E51051" w14:paraId="10B09350" w14:textId="77777777" w:rsidTr="00F547A1">
        <w:trPr>
          <w:cantSplit/>
        </w:trPr>
        <w:tc>
          <w:tcPr>
            <w:tcW w:w="1669" w:type="pct"/>
            <w:shd w:val="clear" w:color="auto" w:fill="auto"/>
          </w:tcPr>
          <w:p w14:paraId="42634B52" w14:textId="77777777" w:rsidR="00F547A1" w:rsidRPr="00E51051" w:rsidRDefault="00F547A1" w:rsidP="00F547A1">
            <w:pPr>
              <w:pStyle w:val="Header"/>
              <w:tabs>
                <w:tab w:val="left" w:pos="284"/>
              </w:tabs>
              <w:rPr>
                <w:sz w:val="22"/>
                <w:szCs w:val="22"/>
                <w:lang w:val="sr-Latn-RS"/>
              </w:rPr>
            </w:pPr>
            <w:r w:rsidRPr="00E51051">
              <w:rPr>
                <w:sz w:val="22"/>
                <w:szCs w:val="22"/>
                <w:lang w:val="sr-Latn-RS"/>
              </w:rPr>
              <w:t>Bolnički stečena pneumonija, uključujući pneumoniju povezanu sa mehaničkom ventilacijom***</w:t>
            </w:r>
          </w:p>
        </w:tc>
        <w:tc>
          <w:tcPr>
            <w:tcW w:w="1009" w:type="pct"/>
            <w:shd w:val="clear" w:color="auto" w:fill="auto"/>
          </w:tcPr>
          <w:p w14:paraId="764D6579" w14:textId="77777777" w:rsidR="00F547A1" w:rsidRPr="00E51051" w:rsidRDefault="00F547A1" w:rsidP="00F547A1">
            <w:pPr>
              <w:pStyle w:val="Header"/>
              <w:tabs>
                <w:tab w:val="left" w:pos="284"/>
              </w:tabs>
              <w:rPr>
                <w:sz w:val="22"/>
                <w:szCs w:val="22"/>
                <w:lang w:val="sr-Latn-RS"/>
              </w:rPr>
            </w:pPr>
            <w:r w:rsidRPr="00E51051">
              <w:rPr>
                <w:sz w:val="22"/>
                <w:szCs w:val="22"/>
                <w:lang w:val="sr-Latn-RS"/>
              </w:rPr>
              <w:t>2 g ceftolozana/1 g tazobaktama</w:t>
            </w:r>
          </w:p>
        </w:tc>
        <w:tc>
          <w:tcPr>
            <w:tcW w:w="799" w:type="pct"/>
            <w:shd w:val="clear" w:color="auto" w:fill="auto"/>
          </w:tcPr>
          <w:p w14:paraId="123AC740" w14:textId="77777777" w:rsidR="00F547A1" w:rsidRPr="00E51051" w:rsidRDefault="00F547A1" w:rsidP="00F547A1">
            <w:pPr>
              <w:pStyle w:val="Header"/>
              <w:tabs>
                <w:tab w:val="left" w:pos="284"/>
              </w:tabs>
              <w:jc w:val="center"/>
              <w:rPr>
                <w:sz w:val="22"/>
                <w:szCs w:val="22"/>
                <w:lang w:val="sr-Latn-RS"/>
              </w:rPr>
            </w:pPr>
            <w:r w:rsidRPr="00E51051">
              <w:rPr>
                <w:sz w:val="22"/>
                <w:szCs w:val="22"/>
                <w:lang w:val="sr-Latn-RS"/>
              </w:rPr>
              <w:t>svakih 8 sati</w:t>
            </w:r>
          </w:p>
        </w:tc>
        <w:tc>
          <w:tcPr>
            <w:tcW w:w="762" w:type="pct"/>
            <w:shd w:val="clear" w:color="auto" w:fill="auto"/>
          </w:tcPr>
          <w:p w14:paraId="73FA9220" w14:textId="63145454" w:rsidR="00F547A1" w:rsidRPr="00E51051" w:rsidRDefault="00F547A1" w:rsidP="00F547A1">
            <w:pPr>
              <w:pStyle w:val="Header"/>
              <w:tabs>
                <w:tab w:val="clear" w:pos="4320"/>
                <w:tab w:val="clear" w:pos="8640"/>
                <w:tab w:val="left" w:pos="284"/>
              </w:tabs>
              <w:jc w:val="center"/>
              <w:rPr>
                <w:sz w:val="22"/>
                <w:szCs w:val="22"/>
                <w:lang w:val="sr-Latn-RS"/>
              </w:rPr>
            </w:pPr>
            <w:r w:rsidRPr="00E51051">
              <w:rPr>
                <w:sz w:val="22"/>
                <w:szCs w:val="22"/>
                <w:lang w:val="sr-Latn-RS"/>
              </w:rPr>
              <w:t>1 sat</w:t>
            </w:r>
          </w:p>
        </w:tc>
        <w:tc>
          <w:tcPr>
            <w:tcW w:w="761" w:type="pct"/>
          </w:tcPr>
          <w:p w14:paraId="6EC4D873" w14:textId="77777777" w:rsidR="00F547A1" w:rsidRPr="00E51051" w:rsidRDefault="00F547A1" w:rsidP="00F547A1">
            <w:pPr>
              <w:pStyle w:val="Header"/>
              <w:tabs>
                <w:tab w:val="left" w:pos="284"/>
              </w:tabs>
              <w:jc w:val="center"/>
              <w:rPr>
                <w:sz w:val="22"/>
                <w:szCs w:val="22"/>
                <w:lang w:val="sr-Latn-RS"/>
              </w:rPr>
            </w:pPr>
            <w:r w:rsidRPr="00E51051">
              <w:rPr>
                <w:sz w:val="22"/>
                <w:szCs w:val="22"/>
                <w:lang w:val="sr-Latn-RS"/>
              </w:rPr>
              <w:t>8-14 dana</w:t>
            </w:r>
          </w:p>
        </w:tc>
      </w:tr>
    </w:tbl>
    <w:p w14:paraId="5A5CC7F5" w14:textId="0F76E482" w:rsidR="00F547A1" w:rsidRPr="00E51051" w:rsidRDefault="00F547A1" w:rsidP="00187482">
      <w:pPr>
        <w:tabs>
          <w:tab w:val="left" w:pos="540"/>
          <w:tab w:val="left" w:pos="569"/>
        </w:tabs>
        <w:jc w:val="both"/>
        <w:rPr>
          <w:bCs/>
          <w:sz w:val="22"/>
          <w:szCs w:val="22"/>
          <w:lang w:val="sr-Latn-RS"/>
        </w:rPr>
      </w:pPr>
      <w:r w:rsidRPr="00E51051">
        <w:rPr>
          <w:bCs/>
          <w:sz w:val="22"/>
          <w:szCs w:val="22"/>
          <w:lang w:val="sr-Latn-RS"/>
        </w:rPr>
        <w:t>*Klirens kreatinina proc</w:t>
      </w:r>
      <w:r w:rsidR="00810047" w:rsidRPr="00E51051">
        <w:rPr>
          <w:bCs/>
          <w:sz w:val="22"/>
          <w:szCs w:val="22"/>
          <w:lang w:val="sr-Latn-RS"/>
        </w:rPr>
        <w:t>ij</w:t>
      </w:r>
      <w:r w:rsidRPr="00E51051">
        <w:rPr>
          <w:bCs/>
          <w:sz w:val="22"/>
          <w:szCs w:val="22"/>
          <w:lang w:val="sr-Latn-RS"/>
        </w:rPr>
        <w:t xml:space="preserve">enjen pomoću </w:t>
      </w:r>
      <w:r w:rsidRPr="00E51051">
        <w:rPr>
          <w:bCs/>
          <w:i/>
          <w:iCs/>
          <w:sz w:val="22"/>
          <w:szCs w:val="22"/>
          <w:lang w:val="sr-Latn-RS"/>
        </w:rPr>
        <w:t>Cockcroft-Gault</w:t>
      </w:r>
      <w:r w:rsidRPr="00E51051">
        <w:rPr>
          <w:bCs/>
          <w:sz w:val="22"/>
          <w:szCs w:val="22"/>
          <w:lang w:val="sr-Latn-RS"/>
        </w:rPr>
        <w:t>-ove formule.</w:t>
      </w:r>
    </w:p>
    <w:p w14:paraId="2B560961" w14:textId="1ED52430" w:rsidR="00F13AD9" w:rsidRPr="00E51051" w:rsidRDefault="00F13AD9" w:rsidP="00187482">
      <w:pPr>
        <w:tabs>
          <w:tab w:val="left" w:pos="540"/>
          <w:tab w:val="left" w:pos="569"/>
        </w:tabs>
        <w:jc w:val="both"/>
        <w:rPr>
          <w:bCs/>
          <w:sz w:val="22"/>
          <w:szCs w:val="22"/>
          <w:lang w:val="sr-Latn-RS"/>
        </w:rPr>
      </w:pPr>
      <w:r w:rsidRPr="00E51051">
        <w:rPr>
          <w:bCs/>
          <w:sz w:val="22"/>
          <w:szCs w:val="22"/>
          <w:lang w:val="sr-Latn-RS"/>
        </w:rPr>
        <w:t>** Primjenjuje se u kombinaciji sa metronidazolom kad se sumnja na anaerobne patogene.</w:t>
      </w:r>
    </w:p>
    <w:p w14:paraId="1EB28D8E" w14:textId="5D86FE42" w:rsidR="00F13AD9" w:rsidRPr="00E51051" w:rsidRDefault="00F13AD9" w:rsidP="00187482">
      <w:pPr>
        <w:tabs>
          <w:tab w:val="left" w:pos="540"/>
          <w:tab w:val="left" w:pos="569"/>
        </w:tabs>
        <w:jc w:val="both"/>
        <w:rPr>
          <w:bCs/>
          <w:sz w:val="22"/>
          <w:szCs w:val="22"/>
          <w:lang w:val="sr-Latn-RS"/>
        </w:rPr>
      </w:pPr>
      <w:r w:rsidRPr="00E51051">
        <w:rPr>
          <w:bCs/>
          <w:sz w:val="22"/>
          <w:szCs w:val="22"/>
          <w:lang w:val="sr-Latn-RS"/>
        </w:rPr>
        <w:t>*** Primjenjuje se u kombinaciji sa antibakterijskim lijekom koji djeluje na Gram-pozitivne patogene kada je potvrđeno ili kada se sumnja da doprinose infektivnom procesu.</w:t>
      </w:r>
    </w:p>
    <w:p w14:paraId="42ED46B8" w14:textId="77777777" w:rsidR="00F13AD9" w:rsidRPr="00E51051" w:rsidRDefault="00F13AD9" w:rsidP="00187482">
      <w:pPr>
        <w:tabs>
          <w:tab w:val="left" w:pos="540"/>
          <w:tab w:val="left" w:pos="569"/>
        </w:tabs>
        <w:jc w:val="both"/>
        <w:rPr>
          <w:bCs/>
          <w:sz w:val="22"/>
          <w:szCs w:val="22"/>
          <w:u w:val="single"/>
          <w:lang w:val="sr-Latn-RS"/>
        </w:rPr>
      </w:pPr>
    </w:p>
    <w:p w14:paraId="23BEDB49" w14:textId="778BD510" w:rsidR="00F13AD9" w:rsidRPr="00E51051" w:rsidRDefault="00F13AD9" w:rsidP="00187482">
      <w:pPr>
        <w:tabs>
          <w:tab w:val="left" w:pos="540"/>
          <w:tab w:val="left" w:pos="569"/>
        </w:tabs>
        <w:jc w:val="both"/>
        <w:rPr>
          <w:bCs/>
          <w:sz w:val="22"/>
          <w:szCs w:val="22"/>
          <w:lang w:val="sr-Latn-RS"/>
        </w:rPr>
      </w:pPr>
      <w:r w:rsidRPr="00E51051">
        <w:rPr>
          <w:bCs/>
          <w:sz w:val="22"/>
          <w:szCs w:val="22"/>
          <w:lang w:val="sr-Latn-RS"/>
        </w:rPr>
        <w:t>Preporučeni intravenski režim doziranja za pedijatrijsku populaciju sa proc</w:t>
      </w:r>
      <w:r w:rsidR="00810047" w:rsidRPr="00E51051">
        <w:rPr>
          <w:bCs/>
          <w:sz w:val="22"/>
          <w:szCs w:val="22"/>
          <w:lang w:val="sr-Latn-RS"/>
        </w:rPr>
        <w:t>i</w:t>
      </w:r>
      <w:r w:rsidRPr="00E51051">
        <w:rPr>
          <w:bCs/>
          <w:sz w:val="22"/>
          <w:szCs w:val="22"/>
          <w:lang w:val="sr-Latn-RS"/>
        </w:rPr>
        <w:t xml:space="preserve">jenjenom brzinom glomerularne filtracije (engl. </w:t>
      </w:r>
      <w:r w:rsidRPr="00E51051">
        <w:rPr>
          <w:bCs/>
          <w:i/>
          <w:iCs/>
          <w:sz w:val="22"/>
          <w:szCs w:val="22"/>
          <w:lang w:val="sr-Latn-RS"/>
        </w:rPr>
        <w:t>estimated glomerular filtration rate</w:t>
      </w:r>
      <w:r w:rsidRPr="00E51051">
        <w:rPr>
          <w:bCs/>
          <w:sz w:val="22"/>
          <w:szCs w:val="22"/>
          <w:lang w:val="sr-Latn-RS"/>
        </w:rPr>
        <w:t xml:space="preserve">, eGFR) &gt; 50 </w:t>
      </w:r>
      <w:r w:rsidR="00157168" w:rsidRPr="00E51051">
        <w:rPr>
          <w:bCs/>
          <w:sz w:val="22"/>
          <w:szCs w:val="22"/>
          <w:lang w:val="sr-Latn-RS"/>
        </w:rPr>
        <w:t>ml/</w:t>
      </w:r>
      <w:r w:rsidRPr="00E51051">
        <w:rPr>
          <w:bCs/>
          <w:sz w:val="22"/>
          <w:szCs w:val="22"/>
          <w:lang w:val="sr-Latn-RS"/>
        </w:rPr>
        <w:t>min/1.73 m</w:t>
      </w:r>
      <w:r w:rsidRPr="00E51051">
        <w:rPr>
          <w:bCs/>
          <w:sz w:val="22"/>
          <w:szCs w:val="22"/>
          <w:vertAlign w:val="superscript"/>
          <w:lang w:val="sr-Latn-RS"/>
        </w:rPr>
        <w:t>2</w:t>
      </w:r>
      <w:r w:rsidRPr="00E51051">
        <w:rPr>
          <w:bCs/>
          <w:sz w:val="22"/>
          <w:szCs w:val="22"/>
          <w:lang w:val="sr-Latn-RS"/>
        </w:rPr>
        <w:t xml:space="preserve"> prema vrsti infekcije prikazano je u tabeli 2.</w:t>
      </w:r>
    </w:p>
    <w:p w14:paraId="6BEF3C36" w14:textId="77777777" w:rsidR="00F13AD9" w:rsidRPr="00E51051" w:rsidRDefault="00F13AD9" w:rsidP="00187482">
      <w:pPr>
        <w:tabs>
          <w:tab w:val="left" w:pos="540"/>
          <w:tab w:val="left" w:pos="569"/>
        </w:tabs>
        <w:jc w:val="both"/>
        <w:rPr>
          <w:bCs/>
          <w:sz w:val="22"/>
          <w:szCs w:val="22"/>
          <w:u w:val="single"/>
          <w:lang w:val="sr-Latn-RS"/>
        </w:rPr>
      </w:pPr>
    </w:p>
    <w:p w14:paraId="53E5C267" w14:textId="2873D5E0" w:rsidR="00F13AD9" w:rsidRPr="00E51051" w:rsidRDefault="00F13AD9" w:rsidP="00187482">
      <w:pPr>
        <w:tabs>
          <w:tab w:val="left" w:pos="540"/>
          <w:tab w:val="left" w:pos="569"/>
        </w:tabs>
        <w:jc w:val="both"/>
        <w:rPr>
          <w:b/>
          <w:sz w:val="22"/>
          <w:szCs w:val="22"/>
          <w:lang w:val="sr-Latn-RS"/>
        </w:rPr>
      </w:pPr>
      <w:r w:rsidRPr="00E51051">
        <w:rPr>
          <w:b/>
          <w:sz w:val="22"/>
          <w:szCs w:val="22"/>
          <w:lang w:val="sr-Latn-RS"/>
        </w:rPr>
        <w:t>Tabela 2: Intravenska doza l</w:t>
      </w:r>
      <w:r w:rsidR="00810047" w:rsidRPr="00E51051">
        <w:rPr>
          <w:b/>
          <w:sz w:val="22"/>
          <w:szCs w:val="22"/>
          <w:lang w:val="sr-Latn-RS"/>
        </w:rPr>
        <w:t>ij</w:t>
      </w:r>
      <w:r w:rsidRPr="00E51051">
        <w:rPr>
          <w:b/>
          <w:sz w:val="22"/>
          <w:szCs w:val="22"/>
          <w:lang w:val="sr-Latn-RS"/>
        </w:rPr>
        <w:t>eka ZERBAXA prema vrsti infekcije kod pedijatrijskih pacijenata (od rođenja* do ispod 18 godina</w:t>
      </w:r>
      <w:r w:rsidR="00F07E80" w:rsidRPr="00E51051">
        <w:rPr>
          <w:b/>
          <w:sz w:val="22"/>
          <w:szCs w:val="22"/>
          <w:lang w:val="sr-Latn-RS"/>
        </w:rPr>
        <w:t xml:space="preserve"> starosti</w:t>
      </w:r>
      <w:r w:rsidRPr="00E51051">
        <w:rPr>
          <w:b/>
          <w:sz w:val="22"/>
          <w:szCs w:val="22"/>
          <w:lang w:val="sr-Latn-RS"/>
        </w:rPr>
        <w:t xml:space="preserve">) sa eGFR** &gt; 50 </w:t>
      </w:r>
      <w:r w:rsidR="00157168" w:rsidRPr="00E51051">
        <w:rPr>
          <w:b/>
          <w:sz w:val="22"/>
          <w:szCs w:val="22"/>
          <w:lang w:val="sr-Latn-RS"/>
        </w:rPr>
        <w:t>ml/</w:t>
      </w:r>
      <w:r w:rsidRPr="00E51051">
        <w:rPr>
          <w:b/>
          <w:sz w:val="22"/>
          <w:szCs w:val="22"/>
          <w:lang w:val="sr-Latn-RS"/>
        </w:rPr>
        <w:t>min/1.73 m</w:t>
      </w:r>
      <w:r w:rsidRPr="00E51051">
        <w:rPr>
          <w:b/>
          <w:sz w:val="22"/>
          <w:szCs w:val="22"/>
          <w:vertAlign w:val="superscript"/>
          <w:lang w:val="sr-Latn-RS"/>
        </w:rPr>
        <w:t>2</w:t>
      </w:r>
    </w:p>
    <w:tbl>
      <w:tblPr>
        <w:tblStyle w:val="TableGrid"/>
        <w:tblW w:w="0" w:type="auto"/>
        <w:tblLook w:val="04A0" w:firstRow="1" w:lastRow="0" w:firstColumn="1" w:lastColumn="0" w:noHBand="0" w:noVBand="1"/>
      </w:tblPr>
      <w:tblGrid>
        <w:gridCol w:w="1890"/>
        <w:gridCol w:w="1893"/>
        <w:gridCol w:w="1768"/>
        <w:gridCol w:w="1742"/>
        <w:gridCol w:w="1770"/>
      </w:tblGrid>
      <w:tr w:rsidR="00F13AD9" w:rsidRPr="00E51051" w14:paraId="3DB391B7" w14:textId="77777777" w:rsidTr="004A38AE">
        <w:tc>
          <w:tcPr>
            <w:tcW w:w="1925" w:type="dxa"/>
          </w:tcPr>
          <w:p w14:paraId="410E5656" w14:textId="77777777" w:rsidR="00F13AD9" w:rsidRPr="00E51051" w:rsidRDefault="00F13AD9" w:rsidP="004A38AE">
            <w:pPr>
              <w:tabs>
                <w:tab w:val="left" w:pos="567"/>
              </w:tabs>
              <w:rPr>
                <w:b/>
                <w:sz w:val="22"/>
                <w:szCs w:val="22"/>
                <w:lang w:val="sr-Latn-RS"/>
              </w:rPr>
            </w:pPr>
            <w:r w:rsidRPr="00E51051">
              <w:rPr>
                <w:b/>
                <w:sz w:val="22"/>
                <w:szCs w:val="22"/>
                <w:lang w:val="sr-Latn-RS"/>
              </w:rPr>
              <w:t>Vrsta infekcije</w:t>
            </w:r>
          </w:p>
        </w:tc>
        <w:tc>
          <w:tcPr>
            <w:tcW w:w="1926" w:type="dxa"/>
          </w:tcPr>
          <w:p w14:paraId="5E130605" w14:textId="77777777" w:rsidR="00F13AD9" w:rsidRPr="00E51051" w:rsidRDefault="00F13AD9" w:rsidP="004A38AE">
            <w:pPr>
              <w:tabs>
                <w:tab w:val="left" w:pos="567"/>
              </w:tabs>
              <w:rPr>
                <w:b/>
                <w:sz w:val="22"/>
                <w:szCs w:val="22"/>
                <w:lang w:val="sr-Latn-RS"/>
              </w:rPr>
            </w:pPr>
            <w:r w:rsidRPr="00E51051">
              <w:rPr>
                <w:b/>
                <w:sz w:val="22"/>
                <w:szCs w:val="22"/>
                <w:lang w:val="sr-Latn-RS"/>
              </w:rPr>
              <w:t>Doza</w:t>
            </w:r>
          </w:p>
        </w:tc>
        <w:tc>
          <w:tcPr>
            <w:tcW w:w="1926" w:type="dxa"/>
          </w:tcPr>
          <w:p w14:paraId="1ADAD36C" w14:textId="77777777" w:rsidR="00F13AD9" w:rsidRPr="00E51051" w:rsidRDefault="00F13AD9" w:rsidP="004A38AE">
            <w:pPr>
              <w:tabs>
                <w:tab w:val="left" w:pos="567"/>
              </w:tabs>
              <w:rPr>
                <w:b/>
                <w:sz w:val="22"/>
                <w:szCs w:val="22"/>
                <w:lang w:val="sr-Latn-RS"/>
              </w:rPr>
            </w:pPr>
            <w:r w:rsidRPr="00E51051">
              <w:rPr>
                <w:b/>
                <w:sz w:val="22"/>
                <w:szCs w:val="22"/>
                <w:lang w:val="sr-Latn-RS"/>
              </w:rPr>
              <w:t>Učestalost</w:t>
            </w:r>
          </w:p>
        </w:tc>
        <w:tc>
          <w:tcPr>
            <w:tcW w:w="1926" w:type="dxa"/>
          </w:tcPr>
          <w:p w14:paraId="57ED9566" w14:textId="77777777" w:rsidR="00F13AD9" w:rsidRPr="00E51051" w:rsidRDefault="00F13AD9" w:rsidP="004A38AE">
            <w:pPr>
              <w:tabs>
                <w:tab w:val="left" w:pos="567"/>
              </w:tabs>
              <w:rPr>
                <w:b/>
                <w:sz w:val="22"/>
                <w:szCs w:val="22"/>
                <w:lang w:val="sr-Latn-RS"/>
              </w:rPr>
            </w:pPr>
            <w:r w:rsidRPr="00E51051">
              <w:rPr>
                <w:b/>
                <w:sz w:val="22"/>
                <w:szCs w:val="22"/>
                <w:lang w:val="sr-Latn-RS"/>
              </w:rPr>
              <w:t>Trajanje infuzije</w:t>
            </w:r>
          </w:p>
        </w:tc>
        <w:tc>
          <w:tcPr>
            <w:tcW w:w="1926" w:type="dxa"/>
          </w:tcPr>
          <w:p w14:paraId="5089489D" w14:textId="13844C88" w:rsidR="00F13AD9" w:rsidRPr="00E51051" w:rsidRDefault="00F13AD9" w:rsidP="004A38AE">
            <w:pPr>
              <w:tabs>
                <w:tab w:val="left" w:pos="567"/>
              </w:tabs>
              <w:rPr>
                <w:b/>
                <w:sz w:val="22"/>
                <w:szCs w:val="22"/>
                <w:lang w:val="sr-Latn-RS"/>
              </w:rPr>
            </w:pPr>
            <w:r w:rsidRPr="00E51051">
              <w:rPr>
                <w:b/>
                <w:sz w:val="22"/>
                <w:szCs w:val="22"/>
                <w:lang w:val="sr-Latn-RS"/>
              </w:rPr>
              <w:t>Trajanje l</w:t>
            </w:r>
            <w:r w:rsidR="004A38AE" w:rsidRPr="00E51051">
              <w:rPr>
                <w:b/>
                <w:sz w:val="22"/>
                <w:szCs w:val="22"/>
                <w:lang w:val="sr-Latn-RS"/>
              </w:rPr>
              <w:t>ij</w:t>
            </w:r>
            <w:r w:rsidRPr="00E51051">
              <w:rPr>
                <w:b/>
                <w:sz w:val="22"/>
                <w:szCs w:val="22"/>
                <w:lang w:val="sr-Latn-RS"/>
              </w:rPr>
              <w:t>ečenja</w:t>
            </w:r>
          </w:p>
        </w:tc>
      </w:tr>
      <w:tr w:rsidR="00F13AD9" w:rsidRPr="00E51051" w14:paraId="6981F858" w14:textId="77777777" w:rsidTr="004A38AE">
        <w:tc>
          <w:tcPr>
            <w:tcW w:w="1925" w:type="dxa"/>
          </w:tcPr>
          <w:p w14:paraId="2CE9FBCA" w14:textId="77777777" w:rsidR="00F13AD9" w:rsidRPr="00E51051" w:rsidRDefault="00F13AD9" w:rsidP="004A38AE">
            <w:pPr>
              <w:tabs>
                <w:tab w:val="left" w:pos="567"/>
              </w:tabs>
              <w:rPr>
                <w:bCs/>
                <w:sz w:val="22"/>
                <w:szCs w:val="22"/>
                <w:lang w:val="sr-Latn-RS"/>
              </w:rPr>
            </w:pPr>
            <w:r w:rsidRPr="00E51051">
              <w:rPr>
                <w:bCs/>
                <w:sz w:val="22"/>
                <w:szCs w:val="22"/>
                <w:lang w:val="sr-Latn-RS"/>
              </w:rPr>
              <w:t>Komplikovana intraabdominalna infekcija***</w:t>
            </w:r>
          </w:p>
        </w:tc>
        <w:tc>
          <w:tcPr>
            <w:tcW w:w="1926" w:type="dxa"/>
          </w:tcPr>
          <w:p w14:paraId="276D33D9" w14:textId="77777777" w:rsidR="00F13AD9" w:rsidRPr="00E51051" w:rsidRDefault="00F13AD9" w:rsidP="004A38AE">
            <w:pPr>
              <w:tabs>
                <w:tab w:val="left" w:pos="567"/>
              </w:tabs>
              <w:rPr>
                <w:bCs/>
                <w:sz w:val="22"/>
                <w:szCs w:val="22"/>
                <w:lang w:val="sr-Latn-RS"/>
              </w:rPr>
            </w:pPr>
            <w:r w:rsidRPr="00E51051">
              <w:rPr>
                <w:bCs/>
                <w:sz w:val="22"/>
                <w:szCs w:val="22"/>
                <w:lang w:val="sr-Latn-RS"/>
              </w:rPr>
              <w:t>20 mg/kg ceftolozana/10 mg/kg tazobaktama do najviše 1 g ceftolozana/0,5 g tazobaktama****</w:t>
            </w:r>
          </w:p>
        </w:tc>
        <w:tc>
          <w:tcPr>
            <w:tcW w:w="1926" w:type="dxa"/>
          </w:tcPr>
          <w:p w14:paraId="236ADFE7" w14:textId="62BDCCA0" w:rsidR="00F13AD9" w:rsidRPr="00E51051" w:rsidRDefault="004A38AE" w:rsidP="004A38AE">
            <w:pPr>
              <w:tabs>
                <w:tab w:val="left" w:pos="567"/>
              </w:tabs>
              <w:rPr>
                <w:bCs/>
                <w:sz w:val="22"/>
                <w:szCs w:val="22"/>
                <w:lang w:val="sr-Latn-RS"/>
              </w:rPr>
            </w:pPr>
            <w:r w:rsidRPr="00E51051">
              <w:rPr>
                <w:bCs/>
                <w:sz w:val="22"/>
                <w:szCs w:val="22"/>
                <w:lang w:val="sr-Latn-RS"/>
              </w:rPr>
              <w:t>s</w:t>
            </w:r>
            <w:r w:rsidR="00F13AD9" w:rsidRPr="00E51051">
              <w:rPr>
                <w:bCs/>
                <w:sz w:val="22"/>
                <w:szCs w:val="22"/>
                <w:lang w:val="sr-Latn-RS"/>
              </w:rPr>
              <w:t>vakih 8 sati</w:t>
            </w:r>
          </w:p>
        </w:tc>
        <w:tc>
          <w:tcPr>
            <w:tcW w:w="1926" w:type="dxa"/>
          </w:tcPr>
          <w:p w14:paraId="561C731D" w14:textId="77777777" w:rsidR="00F13AD9" w:rsidRPr="00E51051" w:rsidRDefault="00F13AD9" w:rsidP="004A38AE">
            <w:pPr>
              <w:tabs>
                <w:tab w:val="left" w:pos="567"/>
              </w:tabs>
              <w:rPr>
                <w:bCs/>
                <w:sz w:val="22"/>
                <w:szCs w:val="22"/>
                <w:lang w:val="sr-Latn-RS"/>
              </w:rPr>
            </w:pPr>
            <w:r w:rsidRPr="00E51051">
              <w:rPr>
                <w:bCs/>
                <w:sz w:val="22"/>
                <w:szCs w:val="22"/>
                <w:lang w:val="sr-Latn-RS"/>
              </w:rPr>
              <w:t>1 sat</w:t>
            </w:r>
          </w:p>
        </w:tc>
        <w:tc>
          <w:tcPr>
            <w:tcW w:w="1926" w:type="dxa"/>
          </w:tcPr>
          <w:p w14:paraId="1C790358" w14:textId="77777777" w:rsidR="00F13AD9" w:rsidRPr="00E51051" w:rsidRDefault="00F13AD9" w:rsidP="004A38AE">
            <w:pPr>
              <w:tabs>
                <w:tab w:val="left" w:pos="567"/>
              </w:tabs>
              <w:rPr>
                <w:bCs/>
                <w:sz w:val="22"/>
                <w:szCs w:val="22"/>
                <w:lang w:val="sr-Latn-RS"/>
              </w:rPr>
            </w:pPr>
            <w:r w:rsidRPr="00E51051">
              <w:rPr>
                <w:bCs/>
                <w:sz w:val="22"/>
                <w:szCs w:val="22"/>
                <w:lang w:val="sr-Latn-RS"/>
              </w:rPr>
              <w:t>5-14 dana*****</w:t>
            </w:r>
          </w:p>
        </w:tc>
      </w:tr>
      <w:tr w:rsidR="00F13AD9" w:rsidRPr="00E51051" w14:paraId="632BFCE9" w14:textId="77777777" w:rsidTr="004A38AE">
        <w:tc>
          <w:tcPr>
            <w:tcW w:w="1925" w:type="dxa"/>
          </w:tcPr>
          <w:p w14:paraId="3A213CB5" w14:textId="77777777" w:rsidR="00F13AD9" w:rsidRPr="00E51051" w:rsidRDefault="00F13AD9" w:rsidP="004A38AE">
            <w:pPr>
              <w:tabs>
                <w:tab w:val="left" w:pos="567"/>
              </w:tabs>
              <w:rPr>
                <w:bCs/>
                <w:sz w:val="22"/>
                <w:szCs w:val="22"/>
                <w:lang w:val="sr-Latn-RS"/>
              </w:rPr>
            </w:pPr>
            <w:r w:rsidRPr="00E51051">
              <w:rPr>
                <w:bCs/>
                <w:sz w:val="22"/>
                <w:szCs w:val="22"/>
                <w:lang w:val="sr-Latn-RS"/>
              </w:rPr>
              <w:t>Komplikovana infekcija urinarnog trakta</w:t>
            </w:r>
          </w:p>
          <w:p w14:paraId="2822C572" w14:textId="77777777" w:rsidR="00F13AD9" w:rsidRPr="00E51051" w:rsidRDefault="00F13AD9" w:rsidP="004A38AE">
            <w:pPr>
              <w:tabs>
                <w:tab w:val="left" w:pos="567"/>
              </w:tabs>
              <w:rPr>
                <w:bCs/>
                <w:sz w:val="22"/>
                <w:szCs w:val="22"/>
                <w:lang w:val="sr-Latn-RS"/>
              </w:rPr>
            </w:pPr>
            <w:r w:rsidRPr="00E51051">
              <w:rPr>
                <w:bCs/>
                <w:sz w:val="22"/>
                <w:szCs w:val="22"/>
                <w:lang w:val="sr-Latn-RS"/>
              </w:rPr>
              <w:t>Akutni pijelonefritis</w:t>
            </w:r>
          </w:p>
        </w:tc>
        <w:tc>
          <w:tcPr>
            <w:tcW w:w="1926" w:type="dxa"/>
          </w:tcPr>
          <w:p w14:paraId="58FD6A26" w14:textId="77777777" w:rsidR="00F13AD9" w:rsidRPr="00E51051" w:rsidRDefault="00F13AD9" w:rsidP="004A38AE">
            <w:pPr>
              <w:tabs>
                <w:tab w:val="left" w:pos="567"/>
              </w:tabs>
              <w:rPr>
                <w:bCs/>
                <w:sz w:val="22"/>
                <w:szCs w:val="22"/>
                <w:lang w:val="sr-Latn-RS"/>
              </w:rPr>
            </w:pPr>
            <w:r w:rsidRPr="00E51051">
              <w:rPr>
                <w:bCs/>
                <w:sz w:val="22"/>
                <w:szCs w:val="22"/>
                <w:lang w:val="sr-Latn-RS"/>
              </w:rPr>
              <w:t>20 mg/kg ceftolozana/10 mg/kg tazobaktama do najviše 1 g ceftolozana/0,5 g tazobaktama****</w:t>
            </w:r>
          </w:p>
        </w:tc>
        <w:tc>
          <w:tcPr>
            <w:tcW w:w="1926" w:type="dxa"/>
          </w:tcPr>
          <w:p w14:paraId="0CDE1571" w14:textId="266012BC" w:rsidR="00F13AD9" w:rsidRPr="00E51051" w:rsidRDefault="004A38AE" w:rsidP="004A38AE">
            <w:pPr>
              <w:tabs>
                <w:tab w:val="left" w:pos="567"/>
              </w:tabs>
              <w:rPr>
                <w:bCs/>
                <w:sz w:val="22"/>
                <w:szCs w:val="22"/>
                <w:lang w:val="sr-Latn-RS"/>
              </w:rPr>
            </w:pPr>
            <w:r w:rsidRPr="00E51051">
              <w:rPr>
                <w:bCs/>
                <w:sz w:val="22"/>
                <w:szCs w:val="22"/>
                <w:lang w:val="sr-Latn-RS"/>
              </w:rPr>
              <w:t>s</w:t>
            </w:r>
            <w:r w:rsidR="00F13AD9" w:rsidRPr="00E51051">
              <w:rPr>
                <w:bCs/>
                <w:sz w:val="22"/>
                <w:szCs w:val="22"/>
                <w:lang w:val="sr-Latn-RS"/>
              </w:rPr>
              <w:t>vakih 8 sati</w:t>
            </w:r>
          </w:p>
        </w:tc>
        <w:tc>
          <w:tcPr>
            <w:tcW w:w="1926" w:type="dxa"/>
          </w:tcPr>
          <w:p w14:paraId="3EE9372A" w14:textId="77777777" w:rsidR="00F13AD9" w:rsidRPr="00E51051" w:rsidRDefault="00F13AD9" w:rsidP="004A38AE">
            <w:pPr>
              <w:tabs>
                <w:tab w:val="left" w:pos="567"/>
              </w:tabs>
              <w:rPr>
                <w:bCs/>
                <w:sz w:val="22"/>
                <w:szCs w:val="22"/>
                <w:lang w:val="sr-Latn-RS"/>
              </w:rPr>
            </w:pPr>
            <w:r w:rsidRPr="00E51051">
              <w:rPr>
                <w:bCs/>
                <w:sz w:val="22"/>
                <w:szCs w:val="22"/>
                <w:lang w:val="sr-Latn-RS"/>
              </w:rPr>
              <w:t>1 sat</w:t>
            </w:r>
          </w:p>
        </w:tc>
        <w:tc>
          <w:tcPr>
            <w:tcW w:w="1926" w:type="dxa"/>
          </w:tcPr>
          <w:p w14:paraId="13F6190E" w14:textId="5859DC5C" w:rsidR="00F13AD9" w:rsidRPr="00E51051" w:rsidRDefault="00F636E5" w:rsidP="00D61CFB">
            <w:pPr>
              <w:rPr>
                <w:bCs/>
                <w:sz w:val="22"/>
                <w:szCs w:val="22"/>
                <w:lang w:val="sr-Latn-RS"/>
              </w:rPr>
            </w:pPr>
            <w:r w:rsidRPr="00E51051">
              <w:rPr>
                <w:bCs/>
                <w:sz w:val="22"/>
                <w:szCs w:val="22"/>
                <w:lang w:val="sr-Latn-RS"/>
              </w:rPr>
              <w:t xml:space="preserve">7-14 </w:t>
            </w:r>
            <w:r w:rsidR="00F13AD9" w:rsidRPr="00E51051">
              <w:rPr>
                <w:bCs/>
                <w:sz w:val="22"/>
                <w:szCs w:val="22"/>
                <w:lang w:val="sr-Latn-RS"/>
              </w:rPr>
              <w:t>dana*****</w:t>
            </w:r>
          </w:p>
        </w:tc>
      </w:tr>
    </w:tbl>
    <w:p w14:paraId="6BB25D83" w14:textId="21F3848B" w:rsidR="00F13AD9" w:rsidRPr="00E51051" w:rsidRDefault="00F13AD9" w:rsidP="00187482">
      <w:pPr>
        <w:tabs>
          <w:tab w:val="left" w:pos="540"/>
          <w:tab w:val="left" w:pos="569"/>
        </w:tabs>
        <w:jc w:val="both"/>
        <w:rPr>
          <w:bCs/>
          <w:sz w:val="22"/>
          <w:szCs w:val="22"/>
          <w:lang w:val="sr-Latn-RS"/>
        </w:rPr>
      </w:pPr>
      <w:r w:rsidRPr="00E51051">
        <w:rPr>
          <w:bCs/>
          <w:sz w:val="22"/>
          <w:szCs w:val="22"/>
          <w:lang w:val="sr-Latn-RS"/>
        </w:rPr>
        <w:t>*Definisano kao &gt; 32 ned</w:t>
      </w:r>
      <w:r w:rsidR="00810047" w:rsidRPr="00E51051">
        <w:rPr>
          <w:bCs/>
          <w:sz w:val="22"/>
          <w:szCs w:val="22"/>
          <w:lang w:val="sr-Latn-RS"/>
        </w:rPr>
        <w:t>j</w:t>
      </w:r>
      <w:r w:rsidRPr="00E51051">
        <w:rPr>
          <w:bCs/>
          <w:sz w:val="22"/>
          <w:szCs w:val="22"/>
          <w:lang w:val="sr-Latn-RS"/>
        </w:rPr>
        <w:t>elje gestacionog perioda ili ≥ 7 dana postnatalnog perioda.</w:t>
      </w:r>
    </w:p>
    <w:p w14:paraId="34BA65C6" w14:textId="50FE65D6" w:rsidR="00F13AD9" w:rsidRPr="00E51051" w:rsidRDefault="00F13AD9" w:rsidP="00187482">
      <w:pPr>
        <w:tabs>
          <w:tab w:val="left" w:pos="540"/>
          <w:tab w:val="left" w:pos="569"/>
        </w:tabs>
        <w:jc w:val="both"/>
        <w:rPr>
          <w:bCs/>
          <w:sz w:val="22"/>
          <w:szCs w:val="22"/>
          <w:lang w:val="sr-Latn-RS"/>
        </w:rPr>
      </w:pPr>
      <w:r w:rsidRPr="00E51051">
        <w:rPr>
          <w:bCs/>
          <w:sz w:val="22"/>
          <w:szCs w:val="22"/>
          <w:lang w:val="sr-Latn-RS"/>
        </w:rPr>
        <w:t>**eGFR proc</w:t>
      </w:r>
      <w:r w:rsidR="00810047" w:rsidRPr="00E51051">
        <w:rPr>
          <w:bCs/>
          <w:sz w:val="22"/>
          <w:szCs w:val="22"/>
          <w:lang w:val="sr-Latn-RS"/>
        </w:rPr>
        <w:t>i</w:t>
      </w:r>
      <w:r w:rsidR="00AD0526" w:rsidRPr="00E51051">
        <w:rPr>
          <w:bCs/>
          <w:sz w:val="22"/>
          <w:szCs w:val="22"/>
          <w:lang w:val="sr-Latn-RS"/>
        </w:rPr>
        <w:t>j</w:t>
      </w:r>
      <w:r w:rsidRPr="00E51051">
        <w:rPr>
          <w:bCs/>
          <w:sz w:val="22"/>
          <w:szCs w:val="22"/>
          <w:lang w:val="sr-Latn-RS"/>
        </w:rPr>
        <w:t>enjen prim</w:t>
      </w:r>
      <w:r w:rsidR="00AD0526" w:rsidRPr="00E51051">
        <w:rPr>
          <w:bCs/>
          <w:sz w:val="22"/>
          <w:szCs w:val="22"/>
          <w:lang w:val="sr-Latn-RS"/>
        </w:rPr>
        <w:t>j</w:t>
      </w:r>
      <w:r w:rsidRPr="00E51051">
        <w:rPr>
          <w:bCs/>
          <w:sz w:val="22"/>
          <w:szCs w:val="22"/>
          <w:lang w:val="sr-Latn-RS"/>
        </w:rPr>
        <w:t xml:space="preserve">enom </w:t>
      </w:r>
      <w:r w:rsidRPr="00E51051">
        <w:rPr>
          <w:bCs/>
          <w:i/>
          <w:iCs/>
          <w:sz w:val="22"/>
          <w:szCs w:val="22"/>
          <w:lang w:val="sr-Latn-RS"/>
        </w:rPr>
        <w:t>Bedside Schwartz</w:t>
      </w:r>
      <w:r w:rsidRPr="00E51051">
        <w:rPr>
          <w:bCs/>
          <w:sz w:val="22"/>
          <w:szCs w:val="22"/>
          <w:lang w:val="sr-Latn-RS"/>
        </w:rPr>
        <w:t>-ove jednačine.</w:t>
      </w:r>
    </w:p>
    <w:p w14:paraId="6DDF2815" w14:textId="030FC008" w:rsidR="00F13AD9" w:rsidRPr="00E51051" w:rsidRDefault="00F13AD9" w:rsidP="00187482">
      <w:pPr>
        <w:tabs>
          <w:tab w:val="left" w:pos="540"/>
          <w:tab w:val="left" w:pos="569"/>
        </w:tabs>
        <w:jc w:val="both"/>
        <w:rPr>
          <w:bCs/>
          <w:sz w:val="22"/>
          <w:szCs w:val="22"/>
          <w:lang w:val="sr-Latn-RS"/>
        </w:rPr>
      </w:pPr>
      <w:r w:rsidRPr="00E51051">
        <w:rPr>
          <w:bCs/>
          <w:sz w:val="22"/>
          <w:szCs w:val="22"/>
          <w:lang w:val="sr-Latn-RS"/>
        </w:rPr>
        <w:t>***Prim</w:t>
      </w:r>
      <w:r w:rsidR="00AD0526" w:rsidRPr="00E51051">
        <w:rPr>
          <w:bCs/>
          <w:sz w:val="22"/>
          <w:szCs w:val="22"/>
          <w:lang w:val="sr-Latn-RS"/>
        </w:rPr>
        <w:t>j</w:t>
      </w:r>
      <w:r w:rsidRPr="00E51051">
        <w:rPr>
          <w:bCs/>
          <w:sz w:val="22"/>
          <w:szCs w:val="22"/>
          <w:lang w:val="sr-Latn-RS"/>
        </w:rPr>
        <w:t>enjuje se u kombinaciji sa metronidazolom kad se sumnja na anaerobne patogene.</w:t>
      </w:r>
    </w:p>
    <w:p w14:paraId="45347097" w14:textId="1C9EBFE6" w:rsidR="00EF188E" w:rsidRPr="00E51051" w:rsidRDefault="00EF188E" w:rsidP="00187482">
      <w:pPr>
        <w:tabs>
          <w:tab w:val="left" w:pos="540"/>
          <w:tab w:val="left" w:pos="569"/>
        </w:tabs>
        <w:jc w:val="both"/>
        <w:rPr>
          <w:bCs/>
          <w:sz w:val="22"/>
          <w:szCs w:val="22"/>
          <w:lang w:val="sr-Latn-RS"/>
        </w:rPr>
      </w:pPr>
      <w:r w:rsidRPr="00E51051">
        <w:rPr>
          <w:bCs/>
          <w:sz w:val="22"/>
          <w:szCs w:val="22"/>
          <w:lang w:val="sr-Latn-RS"/>
        </w:rPr>
        <w:t>****Kod djece tjelesne mase &gt; 50 kg se ne smije prekoračiti maksimalna doza od 1 g ceftolozana/0,5 g tazobaktama.</w:t>
      </w:r>
    </w:p>
    <w:p w14:paraId="72EF1881" w14:textId="7A5FB876" w:rsidR="00F13AD9" w:rsidRPr="00E51051" w:rsidRDefault="00F13AD9" w:rsidP="00187482">
      <w:pPr>
        <w:tabs>
          <w:tab w:val="left" w:pos="540"/>
          <w:tab w:val="left" w:pos="569"/>
        </w:tabs>
        <w:jc w:val="both"/>
        <w:rPr>
          <w:bCs/>
          <w:sz w:val="22"/>
          <w:szCs w:val="22"/>
          <w:lang w:val="sr-Latn-RS"/>
        </w:rPr>
      </w:pPr>
      <w:r w:rsidRPr="00E51051">
        <w:rPr>
          <w:bCs/>
          <w:sz w:val="22"/>
          <w:szCs w:val="22"/>
          <w:lang w:val="sr-Latn-RS"/>
        </w:rPr>
        <w:t>*****Maksimalna dužina trajanja l</w:t>
      </w:r>
      <w:r w:rsidR="00AD0526" w:rsidRPr="00E51051">
        <w:rPr>
          <w:bCs/>
          <w:sz w:val="22"/>
          <w:szCs w:val="22"/>
          <w:lang w:val="sr-Latn-RS"/>
        </w:rPr>
        <w:t>ij</w:t>
      </w:r>
      <w:r w:rsidRPr="00E51051">
        <w:rPr>
          <w:bCs/>
          <w:sz w:val="22"/>
          <w:szCs w:val="22"/>
          <w:lang w:val="sr-Latn-RS"/>
        </w:rPr>
        <w:t>ečenja koja je prikazana može da uključuje intravensku prim</w:t>
      </w:r>
      <w:r w:rsidR="00AD0526" w:rsidRPr="00E51051">
        <w:rPr>
          <w:bCs/>
          <w:sz w:val="22"/>
          <w:szCs w:val="22"/>
          <w:lang w:val="sr-Latn-RS"/>
        </w:rPr>
        <w:t>j</w:t>
      </w:r>
      <w:r w:rsidRPr="00E51051">
        <w:rPr>
          <w:bCs/>
          <w:sz w:val="22"/>
          <w:szCs w:val="22"/>
          <w:lang w:val="sr-Latn-RS"/>
        </w:rPr>
        <w:t>enu l</w:t>
      </w:r>
      <w:r w:rsidR="00AD0526" w:rsidRPr="00E51051">
        <w:rPr>
          <w:bCs/>
          <w:sz w:val="22"/>
          <w:szCs w:val="22"/>
          <w:lang w:val="sr-Latn-RS"/>
        </w:rPr>
        <w:t>ij</w:t>
      </w:r>
      <w:r w:rsidRPr="00E51051">
        <w:rPr>
          <w:bCs/>
          <w:sz w:val="22"/>
          <w:szCs w:val="22"/>
          <w:lang w:val="sr-Latn-RS"/>
        </w:rPr>
        <w:t>eka ZERBAXA nakon čega sl</w:t>
      </w:r>
      <w:r w:rsidR="00AD0526" w:rsidRPr="00E51051">
        <w:rPr>
          <w:bCs/>
          <w:sz w:val="22"/>
          <w:szCs w:val="22"/>
          <w:lang w:val="sr-Latn-RS"/>
        </w:rPr>
        <w:t>ij</w:t>
      </w:r>
      <w:r w:rsidRPr="00E51051">
        <w:rPr>
          <w:bCs/>
          <w:sz w:val="22"/>
          <w:szCs w:val="22"/>
          <w:lang w:val="sr-Latn-RS"/>
        </w:rPr>
        <w:t>edi upotreba odgovarajuće oralne terapije.</w:t>
      </w:r>
    </w:p>
    <w:p w14:paraId="34B7128D" w14:textId="7E81BB4B" w:rsidR="00452E9D" w:rsidRPr="00E51051" w:rsidRDefault="00452E9D" w:rsidP="00187482">
      <w:pPr>
        <w:tabs>
          <w:tab w:val="left" w:pos="540"/>
          <w:tab w:val="left" w:pos="569"/>
        </w:tabs>
        <w:jc w:val="both"/>
        <w:rPr>
          <w:bCs/>
          <w:sz w:val="22"/>
          <w:szCs w:val="22"/>
          <w:u w:val="single"/>
          <w:lang w:val="sr-Latn-RS"/>
        </w:rPr>
      </w:pPr>
    </w:p>
    <w:p w14:paraId="2C5AE426" w14:textId="77777777" w:rsidR="00AD0526" w:rsidRPr="00E51051" w:rsidRDefault="00AD0526" w:rsidP="00187482">
      <w:pPr>
        <w:keepNext/>
        <w:tabs>
          <w:tab w:val="left" w:pos="567"/>
        </w:tabs>
        <w:jc w:val="both"/>
        <w:rPr>
          <w:sz w:val="22"/>
          <w:szCs w:val="22"/>
          <w:u w:val="single"/>
          <w:lang w:val="sr-Latn-RS"/>
        </w:rPr>
      </w:pPr>
      <w:r w:rsidRPr="00E51051">
        <w:rPr>
          <w:sz w:val="22"/>
          <w:szCs w:val="22"/>
          <w:u w:val="single"/>
          <w:lang w:val="sr-Latn-RS"/>
        </w:rPr>
        <w:lastRenderedPageBreak/>
        <w:t>Posebne populacije</w:t>
      </w:r>
    </w:p>
    <w:p w14:paraId="35EF4FAF" w14:textId="77777777" w:rsidR="00AD0526" w:rsidRPr="00E51051" w:rsidRDefault="00AD0526" w:rsidP="00187482">
      <w:pPr>
        <w:keepNext/>
        <w:tabs>
          <w:tab w:val="left" w:pos="567"/>
        </w:tabs>
        <w:jc w:val="both"/>
        <w:rPr>
          <w:i/>
          <w:sz w:val="22"/>
          <w:szCs w:val="22"/>
          <w:lang w:val="sr-Latn-RS"/>
        </w:rPr>
      </w:pPr>
    </w:p>
    <w:p w14:paraId="38D0CA29" w14:textId="77777777" w:rsidR="00AD0526" w:rsidRPr="00E51051" w:rsidRDefault="00AD0526" w:rsidP="00187482">
      <w:pPr>
        <w:keepNext/>
        <w:tabs>
          <w:tab w:val="left" w:pos="567"/>
        </w:tabs>
        <w:jc w:val="both"/>
        <w:rPr>
          <w:sz w:val="22"/>
          <w:szCs w:val="22"/>
          <w:lang w:val="sr-Latn-RS"/>
        </w:rPr>
      </w:pPr>
      <w:r w:rsidRPr="00E51051">
        <w:rPr>
          <w:i/>
          <w:iCs/>
          <w:sz w:val="22"/>
          <w:szCs w:val="22"/>
          <w:lang w:val="sr-Latn-RS"/>
        </w:rPr>
        <w:t xml:space="preserve">Starije osobe (životnog doba ≥ </w:t>
      </w:r>
      <w:r w:rsidRPr="00E51051">
        <w:rPr>
          <w:i/>
          <w:sz w:val="22"/>
          <w:szCs w:val="22"/>
          <w:lang w:val="sr-Latn-RS"/>
        </w:rPr>
        <w:t>65 godina)</w:t>
      </w:r>
    </w:p>
    <w:p w14:paraId="3CE85BB7" w14:textId="1BCFD907" w:rsidR="00AD0526" w:rsidRPr="00E51051" w:rsidRDefault="00AD0526" w:rsidP="00187482">
      <w:pPr>
        <w:tabs>
          <w:tab w:val="left" w:pos="567"/>
        </w:tabs>
        <w:jc w:val="both"/>
        <w:rPr>
          <w:sz w:val="22"/>
          <w:szCs w:val="22"/>
          <w:lang w:val="sr-Latn-RS"/>
        </w:rPr>
      </w:pPr>
      <w:r w:rsidRPr="00E51051">
        <w:rPr>
          <w:bCs/>
          <w:sz w:val="22"/>
          <w:szCs w:val="22"/>
          <w:lang w:val="sr-Latn-RS"/>
        </w:rPr>
        <w:t>Nije potrebno prilagođava</w:t>
      </w:r>
      <w:r w:rsidR="00FA751F" w:rsidRPr="00E51051">
        <w:rPr>
          <w:bCs/>
          <w:sz w:val="22"/>
          <w:szCs w:val="22"/>
          <w:lang w:val="sr-Latn-RS"/>
        </w:rPr>
        <w:t>nje</w:t>
      </w:r>
      <w:r w:rsidRPr="00E51051">
        <w:rPr>
          <w:bCs/>
          <w:sz w:val="22"/>
          <w:szCs w:val="22"/>
          <w:lang w:val="sr-Latn-RS"/>
        </w:rPr>
        <w:t xml:space="preserve"> doz</w:t>
      </w:r>
      <w:r w:rsidR="00FA751F" w:rsidRPr="00E51051">
        <w:rPr>
          <w:bCs/>
          <w:sz w:val="22"/>
          <w:szCs w:val="22"/>
          <w:lang w:val="sr-Latn-RS"/>
        </w:rPr>
        <w:t>e</w:t>
      </w:r>
      <w:r w:rsidRPr="00E51051">
        <w:rPr>
          <w:bCs/>
          <w:sz w:val="22"/>
          <w:szCs w:val="22"/>
          <w:lang w:val="sr-Latn-RS"/>
        </w:rPr>
        <w:t xml:space="preserve"> kod starijih osoba samo na osnovu životnog doba (</w:t>
      </w:r>
      <w:r w:rsidR="0016275A" w:rsidRPr="00E51051">
        <w:rPr>
          <w:bCs/>
          <w:sz w:val="22"/>
          <w:szCs w:val="22"/>
          <w:lang w:val="sr-Latn-RS"/>
        </w:rPr>
        <w:t>vidjeti</w:t>
      </w:r>
      <w:r w:rsidRPr="00E51051">
        <w:rPr>
          <w:bCs/>
          <w:sz w:val="22"/>
          <w:szCs w:val="22"/>
          <w:lang w:val="sr-Latn-RS"/>
        </w:rPr>
        <w:t xml:space="preserve"> dio 5.2).</w:t>
      </w:r>
    </w:p>
    <w:p w14:paraId="391346A2" w14:textId="77777777" w:rsidR="00AD0526" w:rsidRPr="00E51051" w:rsidRDefault="00AD0526" w:rsidP="00187482">
      <w:pPr>
        <w:tabs>
          <w:tab w:val="left" w:pos="567"/>
        </w:tabs>
        <w:jc w:val="both"/>
        <w:rPr>
          <w:i/>
          <w:sz w:val="22"/>
          <w:szCs w:val="22"/>
          <w:lang w:val="sr-Latn-RS"/>
        </w:rPr>
      </w:pPr>
    </w:p>
    <w:p w14:paraId="338995CF" w14:textId="77777777" w:rsidR="00AD0526" w:rsidRPr="00E51051" w:rsidRDefault="00AD0526" w:rsidP="00187482">
      <w:pPr>
        <w:keepNext/>
        <w:tabs>
          <w:tab w:val="left" w:pos="567"/>
        </w:tabs>
        <w:jc w:val="both"/>
        <w:rPr>
          <w:i/>
          <w:sz w:val="22"/>
          <w:szCs w:val="22"/>
          <w:lang w:val="sr-Latn-RS"/>
        </w:rPr>
      </w:pPr>
      <w:r w:rsidRPr="00E51051">
        <w:rPr>
          <w:i/>
          <w:iCs/>
          <w:sz w:val="22"/>
          <w:szCs w:val="22"/>
          <w:lang w:val="sr-Latn-RS"/>
        </w:rPr>
        <w:t>Oštećenje funkcije bubrega</w:t>
      </w:r>
    </w:p>
    <w:p w14:paraId="404501B0" w14:textId="4EBB6C65" w:rsidR="00AD0526" w:rsidRPr="00E51051" w:rsidRDefault="00AD0526" w:rsidP="00187482">
      <w:pPr>
        <w:tabs>
          <w:tab w:val="left" w:pos="567"/>
        </w:tabs>
        <w:jc w:val="both"/>
        <w:rPr>
          <w:bCs/>
          <w:sz w:val="22"/>
          <w:szCs w:val="22"/>
          <w:lang w:val="sr-Latn-RS"/>
        </w:rPr>
      </w:pPr>
      <w:r w:rsidRPr="00E51051">
        <w:rPr>
          <w:bCs/>
          <w:sz w:val="22"/>
          <w:szCs w:val="22"/>
          <w:lang w:val="sr-Latn-RS"/>
        </w:rPr>
        <w:t>Kod pacijenata sa blagim oštećenjem funkcije bubrega (proc</w:t>
      </w:r>
      <w:r w:rsidR="00810047" w:rsidRPr="00E51051">
        <w:rPr>
          <w:bCs/>
          <w:sz w:val="22"/>
          <w:szCs w:val="22"/>
          <w:lang w:val="sr-Latn-RS"/>
        </w:rPr>
        <w:t>i</w:t>
      </w:r>
      <w:r w:rsidRPr="00E51051">
        <w:rPr>
          <w:bCs/>
          <w:sz w:val="22"/>
          <w:szCs w:val="22"/>
          <w:lang w:val="sr-Latn-RS"/>
        </w:rPr>
        <w:t>jenjeni klirens kreatinina &gt; 50 </w:t>
      </w:r>
      <w:r w:rsidR="00157168" w:rsidRPr="00E51051">
        <w:rPr>
          <w:bCs/>
          <w:sz w:val="22"/>
          <w:szCs w:val="22"/>
          <w:lang w:val="sr-Latn-RS"/>
        </w:rPr>
        <w:t xml:space="preserve"> ml/</w:t>
      </w:r>
      <w:r w:rsidRPr="00E51051">
        <w:rPr>
          <w:bCs/>
          <w:sz w:val="22"/>
          <w:szCs w:val="22"/>
          <w:lang w:val="sr-Latn-RS"/>
        </w:rPr>
        <w:t xml:space="preserve">min) nije potrebno </w:t>
      </w:r>
      <w:r w:rsidR="00FA751F" w:rsidRPr="00E51051">
        <w:rPr>
          <w:bCs/>
          <w:sz w:val="22"/>
          <w:szCs w:val="22"/>
          <w:lang w:val="sr-Latn-RS"/>
        </w:rPr>
        <w:t xml:space="preserve">prilagođavanje doze </w:t>
      </w:r>
      <w:r w:rsidRPr="00E51051">
        <w:rPr>
          <w:bCs/>
          <w:sz w:val="22"/>
          <w:szCs w:val="22"/>
          <w:lang w:val="sr-Latn-RS"/>
        </w:rPr>
        <w:t>(</w:t>
      </w:r>
      <w:r w:rsidR="0016275A" w:rsidRPr="00E51051">
        <w:rPr>
          <w:bCs/>
          <w:sz w:val="22"/>
          <w:szCs w:val="22"/>
          <w:lang w:val="sr-Latn-RS"/>
        </w:rPr>
        <w:t>vidjeti</w:t>
      </w:r>
      <w:r w:rsidRPr="00E51051">
        <w:rPr>
          <w:bCs/>
          <w:sz w:val="22"/>
          <w:szCs w:val="22"/>
          <w:lang w:val="sr-Latn-RS"/>
        </w:rPr>
        <w:t xml:space="preserve"> dio 5.2).</w:t>
      </w:r>
    </w:p>
    <w:p w14:paraId="325E8E76" w14:textId="77777777" w:rsidR="00AD0526" w:rsidRPr="00E51051" w:rsidRDefault="00AD0526" w:rsidP="00187482">
      <w:pPr>
        <w:tabs>
          <w:tab w:val="left" w:pos="567"/>
        </w:tabs>
        <w:jc w:val="both"/>
        <w:rPr>
          <w:bCs/>
          <w:sz w:val="22"/>
          <w:szCs w:val="22"/>
          <w:lang w:val="sr-Latn-RS"/>
        </w:rPr>
      </w:pPr>
    </w:p>
    <w:p w14:paraId="708C1051" w14:textId="195189F2" w:rsidR="00AD0526" w:rsidRPr="00E51051" w:rsidRDefault="00AD0526" w:rsidP="00187482">
      <w:pPr>
        <w:tabs>
          <w:tab w:val="left" w:pos="567"/>
        </w:tabs>
        <w:jc w:val="both"/>
        <w:rPr>
          <w:bCs/>
          <w:i/>
          <w:sz w:val="22"/>
          <w:szCs w:val="22"/>
          <w:lang w:val="sr-Latn-RS"/>
        </w:rPr>
      </w:pPr>
      <w:r w:rsidRPr="00E51051">
        <w:rPr>
          <w:bCs/>
          <w:sz w:val="22"/>
          <w:szCs w:val="22"/>
          <w:lang w:val="sr-Latn-RS"/>
        </w:rPr>
        <w:t>Kod odraslih pacijenata sa umjerenim ili teškim oštećenjem funkcije bubrega i kod odraslih pacijenata u terminalnom stadijumu bolesti bubrega, koji su na hemodijalizi, dozu treba prilagoditi kako je navedeno u tabeli 3 (</w:t>
      </w:r>
      <w:r w:rsidR="0016275A" w:rsidRPr="00E51051">
        <w:rPr>
          <w:bCs/>
          <w:sz w:val="22"/>
          <w:szCs w:val="22"/>
          <w:lang w:val="sr-Latn-RS"/>
        </w:rPr>
        <w:t>vidjeti</w:t>
      </w:r>
      <w:r w:rsidRPr="00E51051">
        <w:rPr>
          <w:bCs/>
          <w:sz w:val="22"/>
          <w:szCs w:val="22"/>
          <w:lang w:val="sr-Latn-RS"/>
        </w:rPr>
        <w:t xml:space="preserve"> djelove 5.1 i 6.6)</w:t>
      </w:r>
      <w:r w:rsidRPr="00E51051">
        <w:rPr>
          <w:bCs/>
          <w:i/>
          <w:sz w:val="22"/>
          <w:szCs w:val="22"/>
          <w:lang w:val="sr-Latn-RS"/>
        </w:rPr>
        <w:t>.</w:t>
      </w:r>
    </w:p>
    <w:p w14:paraId="5AF2984A" w14:textId="77777777" w:rsidR="00AD0526" w:rsidRPr="00E51051" w:rsidRDefault="00AD0526" w:rsidP="00187482">
      <w:pPr>
        <w:tabs>
          <w:tab w:val="left" w:pos="567"/>
        </w:tabs>
        <w:jc w:val="both"/>
        <w:rPr>
          <w:bCs/>
          <w:sz w:val="22"/>
          <w:szCs w:val="22"/>
          <w:lang w:val="sr-Latn-RS"/>
        </w:rPr>
      </w:pPr>
    </w:p>
    <w:p w14:paraId="1723F8AD" w14:textId="0FB9C888" w:rsidR="00AD0526" w:rsidRPr="00E51051" w:rsidRDefault="00AD0526" w:rsidP="00187482">
      <w:pPr>
        <w:keepNext/>
        <w:keepLines/>
        <w:tabs>
          <w:tab w:val="left" w:pos="567"/>
        </w:tabs>
        <w:jc w:val="both"/>
        <w:rPr>
          <w:b/>
          <w:bCs/>
          <w:sz w:val="22"/>
          <w:szCs w:val="22"/>
          <w:lang w:val="sr-Latn-RS"/>
        </w:rPr>
      </w:pPr>
      <w:r w:rsidRPr="00E51051">
        <w:rPr>
          <w:b/>
          <w:bCs/>
          <w:sz w:val="22"/>
          <w:szCs w:val="22"/>
          <w:lang w:val="sr-Latn-RS"/>
        </w:rPr>
        <w:t>Tabela 3: Preporučeni režimi intravenskog doziranja lijeka ZERBAXA kod odraslih pacijenata (18 godina ili starijih)  sa klirensom kreatinina* ≤ 50 </w:t>
      </w:r>
      <w:r w:rsidR="00157168" w:rsidRPr="00E51051">
        <w:rPr>
          <w:b/>
          <w:bCs/>
          <w:sz w:val="22"/>
          <w:szCs w:val="22"/>
          <w:lang w:val="sr-Latn-RS"/>
        </w:rPr>
        <w:t xml:space="preserve"> ml/</w:t>
      </w:r>
      <w:r w:rsidRPr="00E51051">
        <w:rPr>
          <w:b/>
          <w:bCs/>
          <w:sz w:val="22"/>
          <w:szCs w:val="22"/>
          <w:lang w:val="sr-Latn-RS"/>
        </w:rPr>
        <w:t>min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97"/>
        <w:gridCol w:w="3283"/>
        <w:gridCol w:w="3283"/>
      </w:tblGrid>
      <w:tr w:rsidR="00AD0526" w:rsidRPr="00E51051" w14:paraId="0AF4F642" w14:textId="77777777" w:rsidTr="004A38AE">
        <w:trPr>
          <w:cantSplit/>
          <w:trHeight w:val="215"/>
          <w:tblHeader/>
        </w:trPr>
        <w:tc>
          <w:tcPr>
            <w:tcW w:w="1378" w:type="pct"/>
            <w:vAlign w:val="center"/>
          </w:tcPr>
          <w:p w14:paraId="5A07C775" w14:textId="1B5FFCDE" w:rsidR="00AD0526" w:rsidRPr="00E51051" w:rsidRDefault="00AD0526" w:rsidP="004A38AE">
            <w:pPr>
              <w:tabs>
                <w:tab w:val="left" w:pos="567"/>
              </w:tabs>
              <w:rPr>
                <w:b/>
                <w:bCs/>
                <w:sz w:val="22"/>
                <w:szCs w:val="22"/>
                <w:lang w:val="sr-Latn-RS"/>
              </w:rPr>
            </w:pPr>
            <w:r w:rsidRPr="00E51051">
              <w:rPr>
                <w:b/>
                <w:bCs/>
                <w:sz w:val="22"/>
                <w:szCs w:val="22"/>
                <w:lang w:val="sr-Latn-RS"/>
              </w:rPr>
              <w:t>Proc</w:t>
            </w:r>
            <w:r w:rsidR="00810047" w:rsidRPr="00E51051">
              <w:rPr>
                <w:b/>
                <w:bCs/>
                <w:sz w:val="22"/>
                <w:szCs w:val="22"/>
                <w:lang w:val="sr-Latn-RS"/>
              </w:rPr>
              <w:t>i</w:t>
            </w:r>
            <w:r w:rsidRPr="00E51051">
              <w:rPr>
                <w:b/>
                <w:bCs/>
                <w:sz w:val="22"/>
                <w:szCs w:val="22"/>
                <w:lang w:val="sr-Latn-RS"/>
              </w:rPr>
              <w:t>jenjeni klirens kreatinina (</w:t>
            </w:r>
            <w:r w:rsidR="00157168" w:rsidRPr="00E51051">
              <w:rPr>
                <w:b/>
                <w:bCs/>
                <w:sz w:val="22"/>
                <w:szCs w:val="22"/>
                <w:lang w:val="sr-Latn-RS"/>
              </w:rPr>
              <w:t xml:space="preserve"> ml/</w:t>
            </w:r>
            <w:r w:rsidRPr="00E51051">
              <w:rPr>
                <w:b/>
                <w:bCs/>
                <w:sz w:val="22"/>
                <w:szCs w:val="22"/>
                <w:lang w:val="sr-Latn-RS"/>
              </w:rPr>
              <w:t>min)*</w:t>
            </w:r>
          </w:p>
        </w:tc>
        <w:tc>
          <w:tcPr>
            <w:tcW w:w="1811" w:type="pct"/>
            <w:vAlign w:val="center"/>
          </w:tcPr>
          <w:p w14:paraId="777BBFB3" w14:textId="77777777" w:rsidR="00AD0526" w:rsidRPr="00E51051" w:rsidRDefault="00AD0526" w:rsidP="004A38AE">
            <w:pPr>
              <w:tabs>
                <w:tab w:val="left" w:pos="567"/>
              </w:tabs>
              <w:rPr>
                <w:b/>
                <w:bCs/>
                <w:sz w:val="22"/>
                <w:szCs w:val="22"/>
                <w:lang w:val="sr-Latn-RS"/>
              </w:rPr>
            </w:pPr>
            <w:r w:rsidRPr="00E51051">
              <w:rPr>
                <w:b/>
                <w:bCs/>
                <w:sz w:val="22"/>
                <w:szCs w:val="22"/>
                <w:lang w:val="sr-Latn-RS"/>
              </w:rPr>
              <w:t xml:space="preserve">Komplikovane intraabdominalne infekcije, </w:t>
            </w:r>
            <w:r w:rsidRPr="00E51051">
              <w:rPr>
                <w:b/>
                <w:sz w:val="22"/>
                <w:szCs w:val="22"/>
                <w:lang w:val="sr-Latn-RS"/>
              </w:rPr>
              <w:t>komplikovane infekcije urinarnog trakta i</w:t>
            </w:r>
            <w:r w:rsidRPr="00E51051">
              <w:rPr>
                <w:b/>
                <w:bCs/>
                <w:sz w:val="22"/>
                <w:szCs w:val="22"/>
                <w:lang w:val="sr-Latn-RS"/>
              </w:rPr>
              <w:t xml:space="preserve"> akutni pijelonefritis**</w:t>
            </w:r>
          </w:p>
        </w:tc>
        <w:tc>
          <w:tcPr>
            <w:tcW w:w="1811" w:type="pct"/>
          </w:tcPr>
          <w:p w14:paraId="61761AF4" w14:textId="77777777" w:rsidR="00AD0526" w:rsidRPr="00E51051" w:rsidRDefault="00AD0526" w:rsidP="004A38AE">
            <w:pPr>
              <w:tabs>
                <w:tab w:val="left" w:pos="567"/>
              </w:tabs>
              <w:rPr>
                <w:b/>
                <w:bCs/>
                <w:sz w:val="22"/>
                <w:szCs w:val="22"/>
                <w:lang w:val="sr-Latn-RS"/>
              </w:rPr>
            </w:pPr>
            <w:r w:rsidRPr="00E51051">
              <w:rPr>
                <w:b/>
                <w:sz w:val="22"/>
                <w:szCs w:val="22"/>
                <w:lang w:val="sr-Latn-RS"/>
              </w:rPr>
              <w:t>Bolnički stečena pneumonija, uključujući pneumoniju povezanu sa mehaničkom ventilacijom**</w:t>
            </w:r>
          </w:p>
        </w:tc>
      </w:tr>
      <w:tr w:rsidR="00AD0526" w:rsidRPr="00E51051" w14:paraId="53F612EC" w14:textId="77777777" w:rsidTr="004A38AE">
        <w:trPr>
          <w:cantSplit/>
        </w:trPr>
        <w:tc>
          <w:tcPr>
            <w:tcW w:w="1378" w:type="pct"/>
            <w:vAlign w:val="center"/>
          </w:tcPr>
          <w:p w14:paraId="7297FFDD" w14:textId="77777777" w:rsidR="00AD0526" w:rsidRPr="00E51051" w:rsidRDefault="00AD0526" w:rsidP="004A38AE">
            <w:pPr>
              <w:tabs>
                <w:tab w:val="left" w:pos="567"/>
              </w:tabs>
              <w:rPr>
                <w:bCs/>
                <w:sz w:val="22"/>
                <w:szCs w:val="22"/>
                <w:lang w:val="sr-Latn-RS"/>
              </w:rPr>
            </w:pPr>
            <w:r w:rsidRPr="00E51051">
              <w:rPr>
                <w:bCs/>
                <w:sz w:val="22"/>
                <w:szCs w:val="22"/>
                <w:lang w:val="sr-Latn-RS"/>
              </w:rPr>
              <w:t>od 30 do 50</w:t>
            </w:r>
          </w:p>
        </w:tc>
        <w:tc>
          <w:tcPr>
            <w:tcW w:w="1811" w:type="pct"/>
            <w:vAlign w:val="center"/>
          </w:tcPr>
          <w:p w14:paraId="4C3FC2D6" w14:textId="77777777" w:rsidR="00AD0526" w:rsidRPr="00E51051" w:rsidRDefault="00AD0526" w:rsidP="004A38AE">
            <w:pPr>
              <w:tabs>
                <w:tab w:val="left" w:pos="567"/>
              </w:tabs>
              <w:rPr>
                <w:bCs/>
                <w:sz w:val="22"/>
                <w:szCs w:val="22"/>
                <w:lang w:val="sr-Latn-RS"/>
              </w:rPr>
            </w:pPr>
            <w:r w:rsidRPr="00E51051">
              <w:rPr>
                <w:bCs/>
                <w:sz w:val="22"/>
                <w:szCs w:val="22"/>
                <w:lang w:val="sr-Latn-RS"/>
              </w:rPr>
              <w:t>500 mg ceftolozana/250 mg tazobaktama intravenski svakih 8 sati</w:t>
            </w:r>
          </w:p>
        </w:tc>
        <w:tc>
          <w:tcPr>
            <w:tcW w:w="1811" w:type="pct"/>
            <w:vAlign w:val="center"/>
          </w:tcPr>
          <w:p w14:paraId="452267D4" w14:textId="77777777" w:rsidR="00AD0526" w:rsidRPr="00E51051" w:rsidRDefault="00AD0526" w:rsidP="004A38AE">
            <w:pPr>
              <w:tabs>
                <w:tab w:val="left" w:pos="567"/>
              </w:tabs>
              <w:rPr>
                <w:bCs/>
                <w:sz w:val="22"/>
                <w:szCs w:val="22"/>
                <w:lang w:val="sr-Latn-RS"/>
              </w:rPr>
            </w:pPr>
            <w:r w:rsidRPr="00E51051">
              <w:rPr>
                <w:bCs/>
                <w:sz w:val="22"/>
                <w:szCs w:val="22"/>
                <w:lang w:val="sr-Latn-RS"/>
              </w:rPr>
              <w:t>1 g ceftolozana/0,5 g tazobaktama intravenski svakih 8 sati</w:t>
            </w:r>
          </w:p>
        </w:tc>
      </w:tr>
      <w:tr w:rsidR="00AD0526" w:rsidRPr="00E51051" w14:paraId="7D0F4323" w14:textId="77777777" w:rsidTr="004A38AE">
        <w:trPr>
          <w:cantSplit/>
        </w:trPr>
        <w:tc>
          <w:tcPr>
            <w:tcW w:w="1378" w:type="pct"/>
            <w:vAlign w:val="center"/>
          </w:tcPr>
          <w:p w14:paraId="2240B896" w14:textId="77777777" w:rsidR="00AD0526" w:rsidRPr="00E51051" w:rsidRDefault="00AD0526" w:rsidP="004A38AE">
            <w:pPr>
              <w:tabs>
                <w:tab w:val="left" w:pos="567"/>
              </w:tabs>
              <w:rPr>
                <w:bCs/>
                <w:sz w:val="22"/>
                <w:szCs w:val="22"/>
                <w:lang w:val="sr-Latn-RS"/>
              </w:rPr>
            </w:pPr>
            <w:r w:rsidRPr="00E51051">
              <w:rPr>
                <w:bCs/>
                <w:sz w:val="22"/>
                <w:szCs w:val="22"/>
                <w:lang w:val="sr-Latn-RS"/>
              </w:rPr>
              <w:t>od 15 do 29</w:t>
            </w:r>
          </w:p>
        </w:tc>
        <w:tc>
          <w:tcPr>
            <w:tcW w:w="1811" w:type="pct"/>
            <w:vAlign w:val="center"/>
          </w:tcPr>
          <w:p w14:paraId="27F60598" w14:textId="77777777" w:rsidR="00AD0526" w:rsidRPr="00E51051" w:rsidRDefault="00AD0526" w:rsidP="004A38AE">
            <w:pPr>
              <w:tabs>
                <w:tab w:val="left" w:pos="567"/>
              </w:tabs>
              <w:rPr>
                <w:bCs/>
                <w:sz w:val="22"/>
                <w:szCs w:val="22"/>
                <w:lang w:val="sr-Latn-RS"/>
              </w:rPr>
            </w:pPr>
            <w:r w:rsidRPr="00E51051">
              <w:rPr>
                <w:bCs/>
                <w:sz w:val="22"/>
                <w:szCs w:val="22"/>
                <w:lang w:val="sr-Latn-RS"/>
              </w:rPr>
              <w:t>250 mg ceftolozana/125 mg tazobaktama intravenski svakih 8 sati</w:t>
            </w:r>
          </w:p>
        </w:tc>
        <w:tc>
          <w:tcPr>
            <w:tcW w:w="1811" w:type="pct"/>
            <w:vAlign w:val="center"/>
          </w:tcPr>
          <w:p w14:paraId="24416D6A" w14:textId="77777777" w:rsidR="00AD0526" w:rsidRPr="00E51051" w:rsidRDefault="00AD0526" w:rsidP="004A38AE">
            <w:pPr>
              <w:tabs>
                <w:tab w:val="left" w:pos="567"/>
              </w:tabs>
              <w:rPr>
                <w:bCs/>
                <w:sz w:val="22"/>
                <w:szCs w:val="22"/>
                <w:lang w:val="sr-Latn-RS"/>
              </w:rPr>
            </w:pPr>
            <w:r w:rsidRPr="00E51051">
              <w:rPr>
                <w:bCs/>
                <w:sz w:val="22"/>
                <w:szCs w:val="22"/>
                <w:lang w:val="sr-Latn-RS"/>
              </w:rPr>
              <w:t>500 mg ceftolozana/250 mg tazobaktama intravenski svakih 8 sati</w:t>
            </w:r>
          </w:p>
        </w:tc>
      </w:tr>
      <w:tr w:rsidR="00AD0526" w:rsidRPr="00E51051" w14:paraId="3869C695" w14:textId="77777777" w:rsidTr="004A38AE">
        <w:trPr>
          <w:cantSplit/>
        </w:trPr>
        <w:tc>
          <w:tcPr>
            <w:tcW w:w="1378" w:type="pct"/>
            <w:vAlign w:val="center"/>
          </w:tcPr>
          <w:p w14:paraId="4D8F886E" w14:textId="77777777" w:rsidR="00AD0526" w:rsidRPr="00E51051" w:rsidRDefault="00AD0526" w:rsidP="004A38AE">
            <w:pPr>
              <w:tabs>
                <w:tab w:val="left" w:pos="567"/>
              </w:tabs>
              <w:rPr>
                <w:bCs/>
                <w:sz w:val="22"/>
                <w:szCs w:val="22"/>
                <w:lang w:val="sr-Latn-RS"/>
              </w:rPr>
            </w:pPr>
            <w:r w:rsidRPr="00E51051">
              <w:rPr>
                <w:bCs/>
                <w:sz w:val="22"/>
                <w:szCs w:val="22"/>
                <w:lang w:val="sr-Latn-RS"/>
              </w:rPr>
              <w:t>Terminalni stadijum bolesti bubrega uz hemodijalizu</w:t>
            </w:r>
          </w:p>
        </w:tc>
        <w:tc>
          <w:tcPr>
            <w:tcW w:w="1811" w:type="pct"/>
            <w:vAlign w:val="center"/>
          </w:tcPr>
          <w:p w14:paraId="1671C166" w14:textId="6E0FF8D1" w:rsidR="00AD0526" w:rsidRPr="00E51051" w:rsidRDefault="00AD0526" w:rsidP="004A38AE">
            <w:pPr>
              <w:tabs>
                <w:tab w:val="left" w:pos="567"/>
              </w:tabs>
              <w:rPr>
                <w:bCs/>
                <w:sz w:val="22"/>
                <w:szCs w:val="22"/>
                <w:lang w:val="sr-Latn-RS"/>
              </w:rPr>
            </w:pPr>
            <w:r w:rsidRPr="00E51051">
              <w:rPr>
                <w:bCs/>
                <w:sz w:val="22"/>
                <w:szCs w:val="22"/>
                <w:lang w:val="sr-Latn-RS"/>
              </w:rPr>
              <w:t>Jedna udarna doza od 500 mg ceftolozana/250 mg tazobaktama, nakon koje se, 8 sati kasnije, primjenjuje doza održavanja od 100 mg ceftolozana/50 mg tazobaktama i zatim svakih 8 sati tokom preostalog perioda liječenja (na dane hemodijalize, dozu treba prim</w:t>
            </w:r>
            <w:r w:rsidR="00810047" w:rsidRPr="00E51051">
              <w:rPr>
                <w:bCs/>
                <w:sz w:val="22"/>
                <w:szCs w:val="22"/>
                <w:lang w:val="sr-Latn-RS"/>
              </w:rPr>
              <w:t>i</w:t>
            </w:r>
            <w:r w:rsidRPr="00E51051">
              <w:rPr>
                <w:bCs/>
                <w:sz w:val="22"/>
                <w:szCs w:val="22"/>
                <w:lang w:val="sr-Latn-RS"/>
              </w:rPr>
              <w:t>jeniti što je prije moguće nakon završetka hemodijalize)</w:t>
            </w:r>
          </w:p>
        </w:tc>
        <w:tc>
          <w:tcPr>
            <w:tcW w:w="1811" w:type="pct"/>
          </w:tcPr>
          <w:p w14:paraId="25152CF0" w14:textId="7B395C5E" w:rsidR="00AD0526" w:rsidRPr="00E51051" w:rsidRDefault="00AD0526" w:rsidP="004A38AE">
            <w:pPr>
              <w:tabs>
                <w:tab w:val="left" w:pos="567"/>
              </w:tabs>
              <w:rPr>
                <w:bCs/>
                <w:sz w:val="22"/>
                <w:szCs w:val="22"/>
                <w:lang w:val="sr-Latn-RS"/>
              </w:rPr>
            </w:pPr>
            <w:r w:rsidRPr="00E51051">
              <w:rPr>
                <w:bCs/>
                <w:sz w:val="22"/>
                <w:szCs w:val="22"/>
                <w:lang w:val="sr-Latn-RS"/>
              </w:rPr>
              <w:t>Jedna udarna doza od 1,5 g ceftolozana/0,75 g tazobaktama, nakon koje se, 8 sati kasnije, prim</w:t>
            </w:r>
            <w:r w:rsidR="00810047" w:rsidRPr="00E51051">
              <w:rPr>
                <w:bCs/>
                <w:sz w:val="22"/>
                <w:szCs w:val="22"/>
                <w:lang w:val="sr-Latn-RS"/>
              </w:rPr>
              <w:t>j</w:t>
            </w:r>
            <w:r w:rsidRPr="00E51051">
              <w:rPr>
                <w:bCs/>
                <w:sz w:val="22"/>
                <w:szCs w:val="22"/>
                <w:lang w:val="sr-Latn-RS"/>
              </w:rPr>
              <w:t>enjuje doza održavanja od 300 mg ceftolozana/150 mg tazobaktama i zatim svakih 8 sati tokom preostalog perioda liječenja (na dane hemodijalize, dozu treba prim</w:t>
            </w:r>
            <w:r w:rsidR="00810047" w:rsidRPr="00E51051">
              <w:rPr>
                <w:bCs/>
                <w:sz w:val="22"/>
                <w:szCs w:val="22"/>
                <w:lang w:val="sr-Latn-RS"/>
              </w:rPr>
              <w:t>i</w:t>
            </w:r>
            <w:r w:rsidRPr="00E51051">
              <w:rPr>
                <w:bCs/>
                <w:sz w:val="22"/>
                <w:szCs w:val="22"/>
                <w:lang w:val="sr-Latn-RS"/>
              </w:rPr>
              <w:t>jeniti što je prije moguće nakon završetka hemodijalize)</w:t>
            </w:r>
          </w:p>
        </w:tc>
      </w:tr>
    </w:tbl>
    <w:p w14:paraId="4CF42256" w14:textId="0DBA0359" w:rsidR="00AD0526" w:rsidRPr="00E51051" w:rsidRDefault="00AD0526" w:rsidP="00187482">
      <w:pPr>
        <w:keepNext/>
        <w:tabs>
          <w:tab w:val="left" w:pos="567"/>
        </w:tabs>
        <w:jc w:val="both"/>
        <w:rPr>
          <w:bCs/>
          <w:sz w:val="22"/>
          <w:szCs w:val="22"/>
          <w:lang w:val="sr-Latn-RS"/>
        </w:rPr>
      </w:pPr>
      <w:r w:rsidRPr="00E51051">
        <w:rPr>
          <w:bCs/>
          <w:sz w:val="22"/>
          <w:szCs w:val="22"/>
          <w:lang w:val="sr-Latn-RS"/>
        </w:rPr>
        <w:t>*Klirens kreatinina proc</w:t>
      </w:r>
      <w:r w:rsidR="00810047" w:rsidRPr="00E51051">
        <w:rPr>
          <w:bCs/>
          <w:sz w:val="22"/>
          <w:szCs w:val="22"/>
          <w:lang w:val="sr-Latn-RS"/>
        </w:rPr>
        <w:t>i</w:t>
      </w:r>
      <w:r w:rsidRPr="00E51051">
        <w:rPr>
          <w:bCs/>
          <w:sz w:val="22"/>
          <w:szCs w:val="22"/>
          <w:lang w:val="sr-Latn-RS"/>
        </w:rPr>
        <w:t xml:space="preserve">jenjen pomoću </w:t>
      </w:r>
      <w:r w:rsidRPr="00E51051">
        <w:rPr>
          <w:bCs/>
          <w:i/>
          <w:sz w:val="22"/>
          <w:szCs w:val="22"/>
          <w:lang w:val="sr-Latn-RS"/>
        </w:rPr>
        <w:t>Cockcroft</w:t>
      </w:r>
      <w:r w:rsidRPr="00E51051">
        <w:rPr>
          <w:bCs/>
          <w:i/>
          <w:sz w:val="22"/>
          <w:szCs w:val="22"/>
          <w:lang w:val="sr-Latn-RS"/>
        </w:rPr>
        <w:noBreakHyphen/>
        <w:t>Gault</w:t>
      </w:r>
      <w:r w:rsidRPr="00E51051">
        <w:rPr>
          <w:bCs/>
          <w:sz w:val="22"/>
          <w:szCs w:val="22"/>
          <w:lang w:val="sr-Latn-RS"/>
        </w:rPr>
        <w:t>-ove formule.</w:t>
      </w:r>
    </w:p>
    <w:p w14:paraId="4CD61FC6" w14:textId="31D326A4" w:rsidR="00AD0526" w:rsidRPr="00E51051" w:rsidRDefault="00AD0526" w:rsidP="00187482">
      <w:pPr>
        <w:tabs>
          <w:tab w:val="left" w:pos="567"/>
        </w:tabs>
        <w:jc w:val="both"/>
        <w:rPr>
          <w:bCs/>
          <w:sz w:val="22"/>
          <w:szCs w:val="22"/>
          <w:lang w:val="sr-Latn-RS"/>
        </w:rPr>
      </w:pPr>
      <w:r w:rsidRPr="00E51051">
        <w:rPr>
          <w:bCs/>
          <w:sz w:val="22"/>
          <w:szCs w:val="22"/>
          <w:lang w:val="sr-Latn-RS"/>
        </w:rPr>
        <w:t>**Sve doze lijeka ZERBAXA primjenjuju se intravenski tokom 1 sata i preporučene su za sve indikacije. Trajanje liječenja treba odrediti pridržavajući se preporuka iz tabele 1.</w:t>
      </w:r>
    </w:p>
    <w:p w14:paraId="0C7E2864" w14:textId="77777777" w:rsidR="00AD0526" w:rsidRPr="00E51051" w:rsidRDefault="00AD0526" w:rsidP="00187482">
      <w:pPr>
        <w:tabs>
          <w:tab w:val="left" w:pos="567"/>
        </w:tabs>
        <w:jc w:val="both"/>
        <w:rPr>
          <w:bCs/>
          <w:sz w:val="22"/>
          <w:szCs w:val="22"/>
          <w:lang w:val="sr-Latn-RS"/>
        </w:rPr>
      </w:pPr>
    </w:p>
    <w:p w14:paraId="3B1D171D" w14:textId="2ECC5C7A" w:rsidR="00AD0526" w:rsidRPr="00E51051" w:rsidRDefault="00AD0526" w:rsidP="00187482">
      <w:pPr>
        <w:tabs>
          <w:tab w:val="left" w:pos="567"/>
        </w:tabs>
        <w:jc w:val="both"/>
        <w:rPr>
          <w:bCs/>
          <w:sz w:val="22"/>
          <w:szCs w:val="22"/>
          <w:lang w:val="sr-Latn-RS"/>
        </w:rPr>
      </w:pPr>
      <w:r w:rsidRPr="00E51051">
        <w:rPr>
          <w:bCs/>
          <w:sz w:val="22"/>
          <w:szCs w:val="22"/>
          <w:lang w:val="sr-Latn-RS"/>
        </w:rPr>
        <w:t>Nema dovoljno podataka da bi se predložio režim doziranja za pedijatrijske pacijente sa umjerenim ili teškim oštećenjem funkcije bubrega (eGFR ≤ 50</w:t>
      </w:r>
      <w:r w:rsidR="00157168" w:rsidRPr="00E51051">
        <w:rPr>
          <w:bCs/>
          <w:sz w:val="22"/>
          <w:szCs w:val="22"/>
          <w:lang w:val="sr-Latn-RS"/>
        </w:rPr>
        <w:t xml:space="preserve"> ml/</w:t>
      </w:r>
      <w:r w:rsidRPr="00E51051">
        <w:rPr>
          <w:bCs/>
          <w:sz w:val="22"/>
          <w:szCs w:val="22"/>
          <w:lang w:val="sr-Latn-RS"/>
        </w:rPr>
        <w:t>min/1.73 m</w:t>
      </w:r>
      <w:r w:rsidRPr="00E51051">
        <w:rPr>
          <w:bCs/>
          <w:sz w:val="22"/>
          <w:szCs w:val="22"/>
          <w:vertAlign w:val="superscript"/>
          <w:lang w:val="sr-Latn-RS"/>
        </w:rPr>
        <w:t>2</w:t>
      </w:r>
      <w:r w:rsidRPr="00E51051">
        <w:rPr>
          <w:bCs/>
          <w:sz w:val="22"/>
          <w:szCs w:val="22"/>
          <w:lang w:val="sr-Latn-RS"/>
        </w:rPr>
        <w:t>) ili terminalnim stadijumom bolesti bubrega (</w:t>
      </w:r>
      <w:r w:rsidR="00B40632" w:rsidRPr="00E51051">
        <w:rPr>
          <w:bCs/>
          <w:sz w:val="22"/>
          <w:szCs w:val="22"/>
          <w:lang w:val="sr-Latn-RS"/>
        </w:rPr>
        <w:t>vidjeti</w:t>
      </w:r>
      <w:r w:rsidRPr="00E51051">
        <w:rPr>
          <w:bCs/>
          <w:sz w:val="22"/>
          <w:szCs w:val="22"/>
          <w:lang w:val="sr-Latn-RS"/>
        </w:rPr>
        <w:t xml:space="preserve"> djelove 5.1 i 5.2).</w:t>
      </w:r>
    </w:p>
    <w:p w14:paraId="660C8DE6" w14:textId="77777777" w:rsidR="00AD0526" w:rsidRPr="00E51051" w:rsidRDefault="00AD0526" w:rsidP="00187482">
      <w:pPr>
        <w:tabs>
          <w:tab w:val="left" w:pos="567"/>
        </w:tabs>
        <w:jc w:val="both"/>
        <w:rPr>
          <w:bCs/>
          <w:sz w:val="22"/>
          <w:szCs w:val="22"/>
          <w:lang w:val="sr-Latn-RS"/>
        </w:rPr>
      </w:pPr>
    </w:p>
    <w:p w14:paraId="0AAC8CA5" w14:textId="77777777" w:rsidR="00AD0526" w:rsidRPr="00E51051" w:rsidRDefault="00AD0526" w:rsidP="00187482">
      <w:pPr>
        <w:keepNext/>
        <w:tabs>
          <w:tab w:val="left" w:pos="567"/>
        </w:tabs>
        <w:jc w:val="both"/>
        <w:rPr>
          <w:i/>
          <w:iCs/>
          <w:sz w:val="22"/>
          <w:szCs w:val="22"/>
          <w:lang w:val="sr-Latn-RS"/>
        </w:rPr>
      </w:pPr>
      <w:r w:rsidRPr="00E51051">
        <w:rPr>
          <w:i/>
          <w:iCs/>
          <w:sz w:val="22"/>
          <w:szCs w:val="22"/>
          <w:lang w:val="sr-Latn-RS"/>
        </w:rPr>
        <w:t>Oštećenje funkcije jetre</w:t>
      </w:r>
    </w:p>
    <w:p w14:paraId="189C527C" w14:textId="252AE127" w:rsidR="00AD0526" w:rsidRPr="00E51051" w:rsidRDefault="00AD0526" w:rsidP="00187482">
      <w:pPr>
        <w:tabs>
          <w:tab w:val="left" w:pos="567"/>
        </w:tabs>
        <w:jc w:val="both"/>
        <w:rPr>
          <w:sz w:val="22"/>
          <w:szCs w:val="22"/>
          <w:lang w:val="sr-Latn-RS"/>
        </w:rPr>
      </w:pPr>
      <w:r w:rsidRPr="00E51051">
        <w:rPr>
          <w:bCs/>
          <w:sz w:val="22"/>
          <w:szCs w:val="22"/>
          <w:lang w:val="sr-Latn-RS"/>
        </w:rPr>
        <w:t xml:space="preserve">Kod pacijenata sa oštećenjem funkcije jetre nije potrebno prilagođavanje doze </w:t>
      </w:r>
      <w:r w:rsidRPr="00E51051">
        <w:rPr>
          <w:sz w:val="22"/>
          <w:szCs w:val="22"/>
          <w:lang w:val="sr-Latn-RS"/>
        </w:rPr>
        <w:t>(</w:t>
      </w:r>
      <w:r w:rsidR="00B40632" w:rsidRPr="00E51051">
        <w:rPr>
          <w:sz w:val="22"/>
          <w:szCs w:val="22"/>
          <w:lang w:val="sr-Latn-RS"/>
        </w:rPr>
        <w:t>vidjeti</w:t>
      </w:r>
      <w:r w:rsidRPr="00E51051">
        <w:rPr>
          <w:sz w:val="22"/>
          <w:szCs w:val="22"/>
          <w:lang w:val="sr-Latn-RS"/>
        </w:rPr>
        <w:t xml:space="preserve"> dio 5.2)</w:t>
      </w:r>
      <w:r w:rsidRPr="00E51051">
        <w:rPr>
          <w:bCs/>
          <w:i/>
          <w:sz w:val="22"/>
          <w:szCs w:val="22"/>
          <w:lang w:val="sr-Latn-RS"/>
        </w:rPr>
        <w:t>.</w:t>
      </w:r>
    </w:p>
    <w:p w14:paraId="40152FE5" w14:textId="77777777" w:rsidR="00AD0526" w:rsidRPr="00E51051" w:rsidRDefault="00AD0526" w:rsidP="00187482">
      <w:pPr>
        <w:tabs>
          <w:tab w:val="left" w:pos="567"/>
        </w:tabs>
        <w:jc w:val="both"/>
        <w:rPr>
          <w:i/>
          <w:sz w:val="22"/>
          <w:szCs w:val="22"/>
          <w:lang w:val="sr-Latn-RS"/>
        </w:rPr>
      </w:pPr>
    </w:p>
    <w:p w14:paraId="07DB3DA9" w14:textId="77777777" w:rsidR="00AD0526" w:rsidRPr="00E51051" w:rsidRDefault="00AD0526" w:rsidP="00187482">
      <w:pPr>
        <w:keepNext/>
        <w:tabs>
          <w:tab w:val="left" w:pos="567"/>
        </w:tabs>
        <w:jc w:val="both"/>
        <w:rPr>
          <w:i/>
          <w:sz w:val="22"/>
          <w:szCs w:val="22"/>
          <w:lang w:val="sr-Latn-RS"/>
        </w:rPr>
      </w:pPr>
      <w:r w:rsidRPr="00E51051">
        <w:rPr>
          <w:i/>
          <w:sz w:val="22"/>
          <w:szCs w:val="22"/>
          <w:lang w:val="sr-Latn-RS"/>
        </w:rPr>
        <w:t>Pedijatrijska populacija</w:t>
      </w:r>
    </w:p>
    <w:p w14:paraId="35B70D98" w14:textId="5CCAF9D6" w:rsidR="00AD0526" w:rsidRPr="00E51051" w:rsidRDefault="00AD0526" w:rsidP="00187482">
      <w:pPr>
        <w:tabs>
          <w:tab w:val="left" w:pos="540"/>
          <w:tab w:val="left" w:pos="569"/>
        </w:tabs>
        <w:jc w:val="both"/>
        <w:rPr>
          <w:bCs/>
          <w:sz w:val="22"/>
          <w:szCs w:val="22"/>
          <w:lang w:val="sr-Latn-RS"/>
        </w:rPr>
      </w:pPr>
      <w:r w:rsidRPr="00E51051">
        <w:rPr>
          <w:bCs/>
          <w:sz w:val="22"/>
          <w:szCs w:val="22"/>
          <w:lang w:val="sr-Latn-RS"/>
        </w:rPr>
        <w:t>Bezbjednost i efikasnost ceftolozana/tazobaktama kod djece i adolescenata mlađih od 18 godina ni</w:t>
      </w:r>
      <w:r w:rsidR="00810047" w:rsidRPr="00E51051">
        <w:rPr>
          <w:bCs/>
          <w:sz w:val="22"/>
          <w:szCs w:val="22"/>
          <w:lang w:val="sr-Latn-RS"/>
        </w:rPr>
        <w:t>je</w:t>
      </w:r>
      <w:r w:rsidRPr="00E51051">
        <w:rPr>
          <w:bCs/>
          <w:sz w:val="22"/>
          <w:szCs w:val="22"/>
          <w:lang w:val="sr-Latn-RS"/>
        </w:rPr>
        <w:t xml:space="preserve">su još ustanovljene za liječenje bolnički stečene pneumonije </w:t>
      </w:r>
      <w:r w:rsidR="00A6064F" w:rsidRPr="00E51051">
        <w:rPr>
          <w:bCs/>
          <w:sz w:val="22"/>
          <w:szCs w:val="22"/>
          <w:lang w:val="sr-Latn-RS"/>
        </w:rPr>
        <w:t xml:space="preserve">(engl. </w:t>
      </w:r>
      <w:r w:rsidR="00A6064F" w:rsidRPr="00E51051">
        <w:rPr>
          <w:bCs/>
          <w:i/>
          <w:iCs/>
          <w:sz w:val="22"/>
          <w:szCs w:val="22"/>
          <w:lang w:val="sr-Latn-RS"/>
        </w:rPr>
        <w:t>hospital-acquired pneumonia, HAP</w:t>
      </w:r>
      <w:r w:rsidR="00A6064F" w:rsidRPr="00E51051">
        <w:rPr>
          <w:bCs/>
          <w:sz w:val="22"/>
          <w:szCs w:val="22"/>
          <w:lang w:val="sr-Latn-RS"/>
        </w:rPr>
        <w:t xml:space="preserve">), uključujući pneumoniju povezanu sa mehaničkom ventilacijom (engl. </w:t>
      </w:r>
      <w:r w:rsidR="00A6064F" w:rsidRPr="00E51051">
        <w:rPr>
          <w:bCs/>
          <w:i/>
          <w:iCs/>
          <w:sz w:val="22"/>
          <w:szCs w:val="22"/>
          <w:lang w:val="sr-Latn-RS"/>
        </w:rPr>
        <w:t>ventilator-associated pneumonia, VAP</w:t>
      </w:r>
      <w:r w:rsidR="00A6064F" w:rsidRPr="00E51051">
        <w:rPr>
          <w:bCs/>
          <w:sz w:val="22"/>
          <w:szCs w:val="22"/>
          <w:lang w:val="sr-Latn-RS"/>
        </w:rPr>
        <w:t>).</w:t>
      </w:r>
    </w:p>
    <w:p w14:paraId="71DF60BA" w14:textId="77777777" w:rsidR="00A6064F" w:rsidRPr="00E51051" w:rsidRDefault="00A6064F" w:rsidP="00187482">
      <w:pPr>
        <w:tabs>
          <w:tab w:val="left" w:pos="540"/>
          <w:tab w:val="left" w:pos="569"/>
        </w:tabs>
        <w:jc w:val="both"/>
        <w:rPr>
          <w:bCs/>
          <w:sz w:val="22"/>
          <w:szCs w:val="22"/>
          <w:u w:val="single"/>
          <w:lang w:val="sr-Latn-RS"/>
        </w:rPr>
      </w:pPr>
    </w:p>
    <w:p w14:paraId="6E4F7DCB" w14:textId="24C0424D" w:rsidR="00452E9D" w:rsidRPr="00E51051" w:rsidRDefault="00452E9D" w:rsidP="00187482">
      <w:pPr>
        <w:tabs>
          <w:tab w:val="left" w:pos="540"/>
          <w:tab w:val="left" w:pos="569"/>
        </w:tabs>
        <w:jc w:val="both"/>
        <w:rPr>
          <w:bCs/>
          <w:sz w:val="22"/>
          <w:szCs w:val="22"/>
          <w:u w:val="single"/>
          <w:lang w:val="sr-Latn-RS"/>
        </w:rPr>
      </w:pPr>
      <w:r w:rsidRPr="00E51051">
        <w:rPr>
          <w:bCs/>
          <w:sz w:val="22"/>
          <w:szCs w:val="22"/>
          <w:u w:val="single"/>
          <w:lang w:val="sr-Latn-RS"/>
        </w:rPr>
        <w:t>Način primjene</w:t>
      </w:r>
    </w:p>
    <w:p w14:paraId="7EBC4D06" w14:textId="77777777" w:rsidR="00AD0526" w:rsidRPr="00E51051" w:rsidRDefault="00AD0526" w:rsidP="00187482">
      <w:pPr>
        <w:tabs>
          <w:tab w:val="left" w:pos="540"/>
          <w:tab w:val="left" w:pos="569"/>
        </w:tabs>
        <w:jc w:val="both"/>
        <w:rPr>
          <w:bCs/>
          <w:sz w:val="22"/>
          <w:szCs w:val="22"/>
          <w:u w:val="single"/>
          <w:lang w:val="sr-Latn-RS"/>
        </w:rPr>
      </w:pPr>
    </w:p>
    <w:p w14:paraId="49E20CC8" w14:textId="0204E6EA" w:rsidR="00AD0526" w:rsidRPr="00E51051" w:rsidRDefault="00AD0526" w:rsidP="00187482">
      <w:pPr>
        <w:tabs>
          <w:tab w:val="left" w:pos="567"/>
        </w:tabs>
        <w:autoSpaceDE w:val="0"/>
        <w:autoSpaceDN w:val="0"/>
        <w:adjustRightInd w:val="0"/>
        <w:jc w:val="both"/>
        <w:rPr>
          <w:sz w:val="22"/>
          <w:szCs w:val="22"/>
          <w:lang w:val="sr-Latn-RS"/>
        </w:rPr>
      </w:pPr>
      <w:r w:rsidRPr="00E51051">
        <w:rPr>
          <w:bCs/>
          <w:sz w:val="22"/>
          <w:szCs w:val="22"/>
          <w:lang w:val="sr-Latn-RS"/>
        </w:rPr>
        <w:t>Lijek ZERBAXA se za sve doze primjenjuje intravenskom infuzijom u trajanju od 1 sata.</w:t>
      </w:r>
    </w:p>
    <w:p w14:paraId="00113744" w14:textId="77777777" w:rsidR="00AD0526" w:rsidRPr="00E51051" w:rsidRDefault="00AD0526" w:rsidP="00187482">
      <w:pPr>
        <w:tabs>
          <w:tab w:val="left" w:pos="567"/>
        </w:tabs>
        <w:autoSpaceDE w:val="0"/>
        <w:autoSpaceDN w:val="0"/>
        <w:adjustRightInd w:val="0"/>
        <w:jc w:val="both"/>
        <w:rPr>
          <w:sz w:val="22"/>
          <w:szCs w:val="22"/>
          <w:lang w:val="sr-Latn-RS"/>
        </w:rPr>
      </w:pPr>
    </w:p>
    <w:p w14:paraId="2F81E0AE" w14:textId="6D3348AB" w:rsidR="00AD0526" w:rsidRPr="00E51051" w:rsidRDefault="00AD0526" w:rsidP="00187482">
      <w:pPr>
        <w:keepNext/>
        <w:tabs>
          <w:tab w:val="left" w:pos="567"/>
        </w:tabs>
        <w:jc w:val="both"/>
        <w:rPr>
          <w:i/>
          <w:sz w:val="22"/>
          <w:szCs w:val="22"/>
          <w:lang w:val="sr-Latn-RS"/>
        </w:rPr>
      </w:pPr>
      <w:r w:rsidRPr="00E51051">
        <w:rPr>
          <w:i/>
          <w:sz w:val="22"/>
          <w:szCs w:val="22"/>
          <w:lang w:val="sr-Latn-RS"/>
        </w:rPr>
        <w:lastRenderedPageBreak/>
        <w:t>M</w:t>
      </w:r>
      <w:r w:rsidR="00EE1A3E" w:rsidRPr="00E51051">
        <w:rPr>
          <w:i/>
          <w:sz w:val="22"/>
          <w:szCs w:val="22"/>
          <w:lang w:val="sr-Latn-RS"/>
        </w:rPr>
        <w:t>j</w:t>
      </w:r>
      <w:r w:rsidRPr="00E51051">
        <w:rPr>
          <w:i/>
          <w:sz w:val="22"/>
          <w:szCs w:val="22"/>
          <w:lang w:val="sr-Latn-RS"/>
        </w:rPr>
        <w:t>ere opreza koje treba preduzeti pr</w:t>
      </w:r>
      <w:r w:rsidR="00EE1A3E" w:rsidRPr="00E51051">
        <w:rPr>
          <w:i/>
          <w:sz w:val="22"/>
          <w:szCs w:val="22"/>
          <w:lang w:val="sr-Latn-RS"/>
        </w:rPr>
        <w:t>ij</w:t>
      </w:r>
      <w:r w:rsidRPr="00E51051">
        <w:rPr>
          <w:i/>
          <w:sz w:val="22"/>
          <w:szCs w:val="22"/>
          <w:lang w:val="sr-Latn-RS"/>
        </w:rPr>
        <w:t>e rukovanja ili prim</w:t>
      </w:r>
      <w:r w:rsidR="00EE1A3E" w:rsidRPr="00E51051">
        <w:rPr>
          <w:i/>
          <w:sz w:val="22"/>
          <w:szCs w:val="22"/>
          <w:lang w:val="sr-Latn-RS"/>
        </w:rPr>
        <w:t>j</w:t>
      </w:r>
      <w:r w:rsidRPr="00E51051">
        <w:rPr>
          <w:i/>
          <w:sz w:val="22"/>
          <w:szCs w:val="22"/>
          <w:lang w:val="sr-Latn-RS"/>
        </w:rPr>
        <w:t>ene l</w:t>
      </w:r>
      <w:r w:rsidR="00EE1A3E" w:rsidRPr="00E51051">
        <w:rPr>
          <w:i/>
          <w:sz w:val="22"/>
          <w:szCs w:val="22"/>
          <w:lang w:val="sr-Latn-RS"/>
        </w:rPr>
        <w:t>ij</w:t>
      </w:r>
      <w:r w:rsidRPr="00E51051">
        <w:rPr>
          <w:i/>
          <w:sz w:val="22"/>
          <w:szCs w:val="22"/>
          <w:lang w:val="sr-Latn-RS"/>
        </w:rPr>
        <w:t>eka</w:t>
      </w:r>
    </w:p>
    <w:p w14:paraId="249536CD" w14:textId="672A2B78" w:rsidR="00AD0526" w:rsidRPr="00E51051" w:rsidRDefault="00AD0526" w:rsidP="00187482">
      <w:pPr>
        <w:tabs>
          <w:tab w:val="left" w:pos="567"/>
        </w:tabs>
        <w:autoSpaceDE w:val="0"/>
        <w:autoSpaceDN w:val="0"/>
        <w:adjustRightInd w:val="0"/>
        <w:jc w:val="both"/>
        <w:rPr>
          <w:sz w:val="22"/>
          <w:szCs w:val="22"/>
          <w:lang w:val="sr-Latn-RS"/>
        </w:rPr>
      </w:pPr>
      <w:r w:rsidRPr="00E51051">
        <w:rPr>
          <w:sz w:val="22"/>
          <w:szCs w:val="22"/>
          <w:lang w:val="sr-Latn-RS"/>
        </w:rPr>
        <w:t xml:space="preserve">Za inkompatibilnosti </w:t>
      </w:r>
      <w:r w:rsidR="0045406B" w:rsidRPr="00E51051">
        <w:rPr>
          <w:sz w:val="22"/>
          <w:szCs w:val="22"/>
          <w:lang w:val="sr-Latn-RS"/>
        </w:rPr>
        <w:t>vidjeti</w:t>
      </w:r>
      <w:r w:rsidR="00EE1A3E" w:rsidRPr="00E51051">
        <w:rPr>
          <w:sz w:val="22"/>
          <w:szCs w:val="22"/>
          <w:lang w:val="sr-Latn-RS"/>
        </w:rPr>
        <w:t xml:space="preserve"> dio</w:t>
      </w:r>
      <w:r w:rsidRPr="00E51051">
        <w:rPr>
          <w:sz w:val="22"/>
          <w:szCs w:val="22"/>
          <w:lang w:val="sr-Latn-RS"/>
        </w:rPr>
        <w:t xml:space="preserve"> 6.2.</w:t>
      </w:r>
    </w:p>
    <w:p w14:paraId="0B641172" w14:textId="77777777" w:rsidR="00AD0526" w:rsidRPr="00E51051" w:rsidRDefault="00AD0526" w:rsidP="00187482">
      <w:pPr>
        <w:tabs>
          <w:tab w:val="left" w:pos="567"/>
        </w:tabs>
        <w:autoSpaceDE w:val="0"/>
        <w:autoSpaceDN w:val="0"/>
        <w:adjustRightInd w:val="0"/>
        <w:jc w:val="both"/>
        <w:rPr>
          <w:sz w:val="22"/>
          <w:szCs w:val="22"/>
          <w:lang w:val="sr-Latn-RS"/>
        </w:rPr>
      </w:pPr>
    </w:p>
    <w:p w14:paraId="7A99CC07" w14:textId="135A5AB2" w:rsidR="00452E9D" w:rsidRPr="00E51051" w:rsidRDefault="00AD0526" w:rsidP="00187482">
      <w:pPr>
        <w:tabs>
          <w:tab w:val="left" w:pos="569"/>
        </w:tabs>
        <w:autoSpaceDE w:val="0"/>
        <w:autoSpaceDN w:val="0"/>
        <w:adjustRightInd w:val="0"/>
        <w:jc w:val="both"/>
        <w:rPr>
          <w:sz w:val="22"/>
          <w:szCs w:val="22"/>
          <w:lang w:val="sr-Latn-RS"/>
        </w:rPr>
      </w:pPr>
      <w:r w:rsidRPr="00E51051">
        <w:rPr>
          <w:sz w:val="22"/>
          <w:szCs w:val="22"/>
          <w:lang w:val="sr-Latn-RS"/>
        </w:rPr>
        <w:t>Za uputstvo o rekonstituciji i razblaživanju l</w:t>
      </w:r>
      <w:r w:rsidR="00EE1A3E" w:rsidRPr="00E51051">
        <w:rPr>
          <w:sz w:val="22"/>
          <w:szCs w:val="22"/>
          <w:lang w:val="sr-Latn-RS"/>
        </w:rPr>
        <w:t>ij</w:t>
      </w:r>
      <w:r w:rsidRPr="00E51051">
        <w:rPr>
          <w:sz w:val="22"/>
          <w:szCs w:val="22"/>
          <w:lang w:val="sr-Latn-RS"/>
        </w:rPr>
        <w:t>eka pr</w:t>
      </w:r>
      <w:r w:rsidR="00EE1A3E" w:rsidRPr="00E51051">
        <w:rPr>
          <w:sz w:val="22"/>
          <w:szCs w:val="22"/>
          <w:lang w:val="sr-Latn-RS"/>
        </w:rPr>
        <w:t>ij</w:t>
      </w:r>
      <w:r w:rsidRPr="00E51051">
        <w:rPr>
          <w:sz w:val="22"/>
          <w:szCs w:val="22"/>
          <w:lang w:val="sr-Latn-RS"/>
        </w:rPr>
        <w:t>e prim</w:t>
      </w:r>
      <w:r w:rsidR="00EE1A3E" w:rsidRPr="00E51051">
        <w:rPr>
          <w:sz w:val="22"/>
          <w:szCs w:val="22"/>
          <w:lang w:val="sr-Latn-RS"/>
        </w:rPr>
        <w:t>j</w:t>
      </w:r>
      <w:r w:rsidRPr="00E51051">
        <w:rPr>
          <w:sz w:val="22"/>
          <w:szCs w:val="22"/>
          <w:lang w:val="sr-Latn-RS"/>
        </w:rPr>
        <w:t>ene</w:t>
      </w:r>
      <w:r w:rsidR="00EE1A3E" w:rsidRPr="00E51051">
        <w:rPr>
          <w:sz w:val="22"/>
          <w:szCs w:val="22"/>
          <w:lang w:val="sr-Latn-RS"/>
        </w:rPr>
        <w:t xml:space="preserve"> </w:t>
      </w:r>
      <w:r w:rsidR="0045406B" w:rsidRPr="00E51051">
        <w:rPr>
          <w:sz w:val="22"/>
          <w:szCs w:val="22"/>
          <w:lang w:val="sr-Latn-RS"/>
        </w:rPr>
        <w:t>vidjeti</w:t>
      </w:r>
      <w:r w:rsidR="00EE1A3E" w:rsidRPr="00E51051">
        <w:rPr>
          <w:sz w:val="22"/>
          <w:szCs w:val="22"/>
          <w:lang w:val="sr-Latn-RS"/>
        </w:rPr>
        <w:t xml:space="preserve"> dio</w:t>
      </w:r>
      <w:r w:rsidRPr="00E51051">
        <w:rPr>
          <w:sz w:val="22"/>
          <w:szCs w:val="22"/>
          <w:lang w:val="sr-Latn-RS"/>
        </w:rPr>
        <w:t xml:space="preserve"> 6.6.</w:t>
      </w:r>
    </w:p>
    <w:p w14:paraId="52DB809E" w14:textId="77777777" w:rsidR="00AD0526" w:rsidRPr="00E51051" w:rsidRDefault="00AD0526" w:rsidP="00187482">
      <w:pPr>
        <w:tabs>
          <w:tab w:val="left" w:pos="540"/>
          <w:tab w:val="left" w:pos="569"/>
        </w:tabs>
        <w:jc w:val="both"/>
        <w:rPr>
          <w:bCs/>
          <w:sz w:val="22"/>
          <w:szCs w:val="22"/>
          <w:lang w:val="sr-Latn-RS"/>
        </w:rPr>
      </w:pPr>
    </w:p>
    <w:p w14:paraId="79352F56" w14:textId="22DCAE3A" w:rsidR="00411B4B" w:rsidRPr="00E51051" w:rsidRDefault="00411B4B" w:rsidP="00187482">
      <w:pPr>
        <w:tabs>
          <w:tab w:val="left" w:pos="540"/>
          <w:tab w:val="left" w:pos="569"/>
        </w:tabs>
        <w:jc w:val="both"/>
        <w:rPr>
          <w:b/>
          <w:bCs/>
          <w:sz w:val="22"/>
          <w:szCs w:val="22"/>
          <w:lang w:val="sr-Latn-RS"/>
        </w:rPr>
      </w:pPr>
      <w:r w:rsidRPr="00E51051">
        <w:rPr>
          <w:b/>
          <w:bCs/>
          <w:sz w:val="22"/>
          <w:szCs w:val="22"/>
          <w:lang w:val="sr-Latn-RS"/>
        </w:rPr>
        <w:t xml:space="preserve">4.3. </w:t>
      </w:r>
      <w:r w:rsidR="00480FB1" w:rsidRPr="00E51051">
        <w:rPr>
          <w:b/>
          <w:bCs/>
          <w:sz w:val="22"/>
          <w:szCs w:val="22"/>
          <w:lang w:val="sr-Latn-RS"/>
        </w:rPr>
        <w:tab/>
      </w:r>
      <w:r w:rsidRPr="00E51051">
        <w:rPr>
          <w:b/>
          <w:bCs/>
          <w:sz w:val="22"/>
          <w:szCs w:val="22"/>
          <w:lang w:val="sr-Latn-RS"/>
        </w:rPr>
        <w:t>Kontraindikacije</w:t>
      </w:r>
    </w:p>
    <w:p w14:paraId="0714B4C6" w14:textId="77777777" w:rsidR="00EE1A3E" w:rsidRPr="00E51051" w:rsidRDefault="00EE1A3E" w:rsidP="00187482">
      <w:pPr>
        <w:tabs>
          <w:tab w:val="left" w:pos="540"/>
          <w:tab w:val="left" w:pos="569"/>
        </w:tabs>
        <w:jc w:val="both"/>
        <w:rPr>
          <w:b/>
          <w:bCs/>
          <w:sz w:val="22"/>
          <w:szCs w:val="22"/>
          <w:lang w:val="sr-Latn-RS"/>
        </w:rPr>
      </w:pPr>
    </w:p>
    <w:p w14:paraId="72BE3E9B" w14:textId="79FADD3F" w:rsidR="00EE1A3E" w:rsidRPr="00E51051" w:rsidRDefault="00EE1A3E" w:rsidP="002F676D">
      <w:pPr>
        <w:pStyle w:val="ListParagraph"/>
        <w:numPr>
          <w:ilvl w:val="0"/>
          <w:numId w:val="20"/>
        </w:numPr>
        <w:tabs>
          <w:tab w:val="left" w:pos="569"/>
        </w:tabs>
        <w:autoSpaceDE w:val="0"/>
        <w:autoSpaceDN w:val="0"/>
        <w:adjustRightInd w:val="0"/>
        <w:rPr>
          <w:szCs w:val="22"/>
          <w:lang w:val="sr-Latn-RS"/>
        </w:rPr>
      </w:pPr>
      <w:r w:rsidRPr="00E51051">
        <w:rPr>
          <w:szCs w:val="22"/>
          <w:lang w:val="sr-Latn-RS"/>
        </w:rPr>
        <w:t>Preosjetljivost na aktivne supstance ili na bilo koju od pomoćnih supstanci navedenih u dijelu 6.1;</w:t>
      </w:r>
    </w:p>
    <w:p w14:paraId="0774A5FD" w14:textId="51F1C3A4" w:rsidR="00EE1A3E" w:rsidRPr="00E51051" w:rsidRDefault="00EE1A3E" w:rsidP="001B0F06">
      <w:pPr>
        <w:pStyle w:val="ListParagraph"/>
        <w:numPr>
          <w:ilvl w:val="0"/>
          <w:numId w:val="20"/>
        </w:numPr>
        <w:tabs>
          <w:tab w:val="left" w:pos="569"/>
        </w:tabs>
        <w:autoSpaceDE w:val="0"/>
        <w:autoSpaceDN w:val="0"/>
        <w:adjustRightInd w:val="0"/>
        <w:rPr>
          <w:szCs w:val="22"/>
          <w:lang w:val="sr-Latn-RS"/>
        </w:rPr>
      </w:pPr>
      <w:r w:rsidRPr="00E51051">
        <w:rPr>
          <w:szCs w:val="22"/>
          <w:lang w:val="sr-Latn-RS"/>
        </w:rPr>
        <w:t>Preosjetljivost na bilo koji cefalosporinski antibiotik;</w:t>
      </w:r>
    </w:p>
    <w:p w14:paraId="0865EDC2" w14:textId="66A6CA10" w:rsidR="0072020E" w:rsidRPr="00E51051" w:rsidRDefault="00EE1A3E" w:rsidP="001B0F06">
      <w:pPr>
        <w:pStyle w:val="ListParagraph"/>
        <w:numPr>
          <w:ilvl w:val="0"/>
          <w:numId w:val="20"/>
        </w:numPr>
        <w:tabs>
          <w:tab w:val="left" w:pos="569"/>
        </w:tabs>
        <w:autoSpaceDE w:val="0"/>
        <w:autoSpaceDN w:val="0"/>
        <w:adjustRightInd w:val="0"/>
        <w:ind w:left="567" w:hanging="207"/>
        <w:rPr>
          <w:szCs w:val="22"/>
          <w:lang w:val="sr-Latn-RS"/>
        </w:rPr>
      </w:pPr>
      <w:r w:rsidRPr="00E51051">
        <w:rPr>
          <w:szCs w:val="22"/>
          <w:lang w:val="sr-Latn-RS"/>
        </w:rPr>
        <w:t>Teška preosjetljivost (npr. anafilaktička reakcija, teška reakcija kože) na bilo koju drugu vrstu</w:t>
      </w:r>
      <w:r w:rsidR="0045406B" w:rsidRPr="00E51051">
        <w:rPr>
          <w:szCs w:val="22"/>
          <w:lang w:val="sr-Latn-RS"/>
        </w:rPr>
        <w:t xml:space="preserve"> </w:t>
      </w:r>
      <w:r w:rsidRPr="00E51051">
        <w:rPr>
          <w:szCs w:val="22"/>
          <w:lang w:val="sr-Latn-RS"/>
        </w:rPr>
        <w:t>beta</w:t>
      </w:r>
      <w:r w:rsidR="0045406B" w:rsidRPr="00E51051">
        <w:rPr>
          <w:szCs w:val="22"/>
          <w:lang w:val="sr-Latn-RS"/>
        </w:rPr>
        <w:t>-</w:t>
      </w:r>
      <w:r w:rsidRPr="00E51051">
        <w:rPr>
          <w:szCs w:val="22"/>
          <w:lang w:val="sr-Latn-RS"/>
        </w:rPr>
        <w:t>laktamskog antibiotika (npr. peniciline ili karbapeneme).</w:t>
      </w:r>
    </w:p>
    <w:p w14:paraId="1FE551DF" w14:textId="77777777" w:rsidR="00EE1A3E" w:rsidRPr="00E51051" w:rsidRDefault="00EE1A3E" w:rsidP="00187482">
      <w:pPr>
        <w:tabs>
          <w:tab w:val="left" w:pos="540"/>
          <w:tab w:val="left" w:pos="569"/>
        </w:tabs>
        <w:jc w:val="both"/>
        <w:rPr>
          <w:bCs/>
          <w:sz w:val="22"/>
          <w:szCs w:val="22"/>
          <w:lang w:val="sr-Latn-RS"/>
        </w:rPr>
      </w:pPr>
    </w:p>
    <w:p w14:paraId="495ED42A" w14:textId="77777777" w:rsidR="00411B4B" w:rsidRPr="00E51051" w:rsidRDefault="00411B4B" w:rsidP="00187482">
      <w:pPr>
        <w:tabs>
          <w:tab w:val="left" w:pos="540"/>
          <w:tab w:val="left" w:pos="569"/>
        </w:tabs>
        <w:jc w:val="both"/>
        <w:rPr>
          <w:b/>
          <w:bCs/>
          <w:sz w:val="22"/>
          <w:szCs w:val="22"/>
          <w:lang w:val="sr-Latn-RS"/>
        </w:rPr>
      </w:pPr>
      <w:r w:rsidRPr="00E51051">
        <w:rPr>
          <w:b/>
          <w:bCs/>
          <w:sz w:val="22"/>
          <w:szCs w:val="22"/>
          <w:lang w:val="sr-Latn-RS"/>
        </w:rPr>
        <w:t xml:space="preserve">4.4. </w:t>
      </w:r>
      <w:r w:rsidR="00480FB1" w:rsidRPr="00E51051">
        <w:rPr>
          <w:b/>
          <w:bCs/>
          <w:sz w:val="22"/>
          <w:szCs w:val="22"/>
          <w:lang w:val="sr-Latn-RS"/>
        </w:rPr>
        <w:tab/>
      </w:r>
      <w:r w:rsidRPr="00E51051">
        <w:rPr>
          <w:b/>
          <w:bCs/>
          <w:sz w:val="22"/>
          <w:szCs w:val="22"/>
          <w:lang w:val="sr-Latn-RS"/>
        </w:rPr>
        <w:t>Posebna upozorenja i mjere opreza pri upotrebi lijeka</w:t>
      </w:r>
    </w:p>
    <w:p w14:paraId="69EFBFFD" w14:textId="77777777" w:rsidR="007C58CF" w:rsidRPr="00E51051" w:rsidRDefault="007C58CF" w:rsidP="00187482">
      <w:pPr>
        <w:jc w:val="both"/>
        <w:rPr>
          <w:b/>
          <w:bCs/>
          <w:sz w:val="22"/>
          <w:szCs w:val="22"/>
          <w:lang w:val="sr-Latn-RS"/>
        </w:rPr>
      </w:pPr>
    </w:p>
    <w:p w14:paraId="2DA54C84" w14:textId="73B80376" w:rsidR="007C58CF" w:rsidRPr="00E51051" w:rsidRDefault="007C58CF" w:rsidP="00187482">
      <w:pPr>
        <w:autoSpaceDE w:val="0"/>
        <w:autoSpaceDN w:val="0"/>
        <w:adjustRightInd w:val="0"/>
        <w:jc w:val="both"/>
        <w:rPr>
          <w:bCs/>
          <w:sz w:val="22"/>
          <w:szCs w:val="22"/>
          <w:u w:val="single"/>
          <w:lang w:val="sr-Latn-RS"/>
        </w:rPr>
      </w:pPr>
      <w:r w:rsidRPr="00E51051">
        <w:rPr>
          <w:bCs/>
          <w:sz w:val="22"/>
          <w:szCs w:val="22"/>
          <w:u w:val="single"/>
          <w:lang w:val="sr-Latn-RS"/>
        </w:rPr>
        <w:t>Reakcije preos</w:t>
      </w:r>
      <w:r w:rsidR="00854802" w:rsidRPr="00E51051">
        <w:rPr>
          <w:bCs/>
          <w:sz w:val="22"/>
          <w:szCs w:val="22"/>
          <w:u w:val="single"/>
          <w:lang w:val="sr-Latn-RS"/>
        </w:rPr>
        <w:t>j</w:t>
      </w:r>
      <w:r w:rsidRPr="00E51051">
        <w:rPr>
          <w:bCs/>
          <w:sz w:val="22"/>
          <w:szCs w:val="22"/>
          <w:u w:val="single"/>
          <w:lang w:val="sr-Latn-RS"/>
        </w:rPr>
        <w:t>etljivosti</w:t>
      </w:r>
    </w:p>
    <w:p w14:paraId="3975243E" w14:textId="77777777" w:rsidR="007C58CF" w:rsidRPr="00E51051" w:rsidRDefault="007C58CF" w:rsidP="00187482">
      <w:pPr>
        <w:autoSpaceDE w:val="0"/>
        <w:autoSpaceDN w:val="0"/>
        <w:adjustRightInd w:val="0"/>
        <w:jc w:val="both"/>
        <w:rPr>
          <w:bCs/>
          <w:sz w:val="22"/>
          <w:szCs w:val="22"/>
          <w:lang w:val="sr-Latn-RS"/>
        </w:rPr>
      </w:pPr>
    </w:p>
    <w:p w14:paraId="5DFC3284" w14:textId="0DA19882" w:rsidR="007C58CF" w:rsidRPr="00E51051" w:rsidRDefault="007C58CF" w:rsidP="00187482">
      <w:pPr>
        <w:autoSpaceDE w:val="0"/>
        <w:autoSpaceDN w:val="0"/>
        <w:adjustRightInd w:val="0"/>
        <w:jc w:val="both"/>
        <w:rPr>
          <w:bCs/>
          <w:sz w:val="22"/>
          <w:szCs w:val="22"/>
          <w:lang w:val="sr-Latn-RS"/>
        </w:rPr>
      </w:pPr>
      <w:r w:rsidRPr="00E51051">
        <w:rPr>
          <w:bCs/>
          <w:sz w:val="22"/>
          <w:szCs w:val="22"/>
          <w:lang w:val="sr-Latn-RS"/>
        </w:rPr>
        <w:t>Moguće su ozbiljne reakcije preos</w:t>
      </w:r>
      <w:r w:rsidR="00854802" w:rsidRPr="00E51051">
        <w:rPr>
          <w:bCs/>
          <w:sz w:val="22"/>
          <w:szCs w:val="22"/>
          <w:lang w:val="sr-Latn-RS"/>
        </w:rPr>
        <w:t>j</w:t>
      </w:r>
      <w:r w:rsidRPr="00E51051">
        <w:rPr>
          <w:bCs/>
          <w:sz w:val="22"/>
          <w:szCs w:val="22"/>
          <w:lang w:val="sr-Latn-RS"/>
        </w:rPr>
        <w:t>etljivosti, ponekad i sa smrtnim ishodom (anafilaksa) (</w:t>
      </w:r>
      <w:r w:rsidR="0045406B" w:rsidRPr="00E51051">
        <w:rPr>
          <w:bCs/>
          <w:sz w:val="22"/>
          <w:szCs w:val="22"/>
          <w:lang w:val="sr-Latn-RS"/>
        </w:rPr>
        <w:t xml:space="preserve">vidjeti </w:t>
      </w:r>
      <w:r w:rsidR="00854802" w:rsidRPr="00E51051">
        <w:rPr>
          <w:bCs/>
          <w:sz w:val="22"/>
          <w:szCs w:val="22"/>
          <w:lang w:val="sr-Latn-RS"/>
        </w:rPr>
        <w:t>djelove</w:t>
      </w:r>
      <w:r w:rsidRPr="00E51051">
        <w:rPr>
          <w:bCs/>
          <w:sz w:val="22"/>
          <w:szCs w:val="22"/>
          <w:lang w:val="sr-Latn-RS"/>
        </w:rPr>
        <w:t> 4.3 i 4.8). Ako tokom l</w:t>
      </w:r>
      <w:r w:rsidR="00854802" w:rsidRPr="00E51051">
        <w:rPr>
          <w:bCs/>
          <w:sz w:val="22"/>
          <w:szCs w:val="22"/>
          <w:lang w:val="sr-Latn-RS"/>
        </w:rPr>
        <w:t>ij</w:t>
      </w:r>
      <w:r w:rsidRPr="00E51051">
        <w:rPr>
          <w:bCs/>
          <w:sz w:val="22"/>
          <w:szCs w:val="22"/>
          <w:lang w:val="sr-Latn-RS"/>
        </w:rPr>
        <w:t>ečenja ceftolozanom/tazobaktamom nastupi teška alergijska reakcija, potrebno je prekinuti prim</w:t>
      </w:r>
      <w:r w:rsidR="00854802" w:rsidRPr="00E51051">
        <w:rPr>
          <w:bCs/>
          <w:sz w:val="22"/>
          <w:szCs w:val="22"/>
          <w:lang w:val="sr-Latn-RS"/>
        </w:rPr>
        <w:t>j</w:t>
      </w:r>
      <w:r w:rsidRPr="00E51051">
        <w:rPr>
          <w:bCs/>
          <w:sz w:val="22"/>
          <w:szCs w:val="22"/>
          <w:lang w:val="sr-Latn-RS"/>
        </w:rPr>
        <w:t>enu l</w:t>
      </w:r>
      <w:r w:rsidR="00854802" w:rsidRPr="00E51051">
        <w:rPr>
          <w:bCs/>
          <w:sz w:val="22"/>
          <w:szCs w:val="22"/>
          <w:lang w:val="sr-Latn-RS"/>
        </w:rPr>
        <w:t>ij</w:t>
      </w:r>
      <w:r w:rsidRPr="00E51051">
        <w:rPr>
          <w:bCs/>
          <w:sz w:val="22"/>
          <w:szCs w:val="22"/>
          <w:lang w:val="sr-Latn-RS"/>
        </w:rPr>
        <w:t>eka i preduzeti odgovarajuće m</w:t>
      </w:r>
      <w:r w:rsidR="00854802" w:rsidRPr="00E51051">
        <w:rPr>
          <w:bCs/>
          <w:sz w:val="22"/>
          <w:szCs w:val="22"/>
          <w:lang w:val="sr-Latn-RS"/>
        </w:rPr>
        <w:t>j</w:t>
      </w:r>
      <w:r w:rsidRPr="00E51051">
        <w:rPr>
          <w:bCs/>
          <w:sz w:val="22"/>
          <w:szCs w:val="22"/>
          <w:lang w:val="sr-Latn-RS"/>
        </w:rPr>
        <w:t>ere.</w:t>
      </w:r>
    </w:p>
    <w:p w14:paraId="2F2AE38C" w14:textId="77777777" w:rsidR="007C58CF" w:rsidRPr="00E51051" w:rsidRDefault="007C58CF" w:rsidP="00187482">
      <w:pPr>
        <w:autoSpaceDE w:val="0"/>
        <w:autoSpaceDN w:val="0"/>
        <w:adjustRightInd w:val="0"/>
        <w:jc w:val="both"/>
        <w:rPr>
          <w:bCs/>
          <w:sz w:val="22"/>
          <w:szCs w:val="22"/>
          <w:lang w:val="sr-Latn-RS"/>
        </w:rPr>
      </w:pPr>
    </w:p>
    <w:p w14:paraId="1B68336D" w14:textId="0BEAA00D" w:rsidR="007C58CF" w:rsidRPr="00E51051" w:rsidRDefault="007C58CF" w:rsidP="00187482">
      <w:pPr>
        <w:autoSpaceDE w:val="0"/>
        <w:autoSpaceDN w:val="0"/>
        <w:adjustRightInd w:val="0"/>
        <w:jc w:val="both"/>
        <w:rPr>
          <w:bCs/>
          <w:sz w:val="22"/>
          <w:szCs w:val="22"/>
          <w:lang w:val="sr-Latn-RS"/>
        </w:rPr>
      </w:pPr>
      <w:r w:rsidRPr="00E51051">
        <w:rPr>
          <w:bCs/>
          <w:sz w:val="22"/>
          <w:szCs w:val="22"/>
          <w:lang w:val="sr-Latn-RS"/>
        </w:rPr>
        <w:t>Pacijenti koji u istoriji bolesti imaju preos</w:t>
      </w:r>
      <w:r w:rsidR="00854802" w:rsidRPr="00E51051">
        <w:rPr>
          <w:bCs/>
          <w:sz w:val="22"/>
          <w:szCs w:val="22"/>
          <w:lang w:val="sr-Latn-RS"/>
        </w:rPr>
        <w:t>j</w:t>
      </w:r>
      <w:r w:rsidRPr="00E51051">
        <w:rPr>
          <w:bCs/>
          <w:sz w:val="22"/>
          <w:szCs w:val="22"/>
          <w:lang w:val="sr-Latn-RS"/>
        </w:rPr>
        <w:t>etljivost na cefalosporine, peniciline ili druge</w:t>
      </w:r>
      <w:r w:rsidR="0045406B" w:rsidRPr="00E51051">
        <w:rPr>
          <w:bCs/>
          <w:sz w:val="22"/>
          <w:szCs w:val="22"/>
          <w:lang w:val="sr-Latn-RS"/>
        </w:rPr>
        <w:t xml:space="preserve"> </w:t>
      </w:r>
      <w:r w:rsidRPr="00E51051">
        <w:rPr>
          <w:bCs/>
          <w:sz w:val="22"/>
          <w:szCs w:val="22"/>
          <w:lang w:val="sr-Latn-RS"/>
        </w:rPr>
        <w:t>beta</w:t>
      </w:r>
      <w:r w:rsidR="0045406B" w:rsidRPr="00E51051">
        <w:rPr>
          <w:bCs/>
          <w:sz w:val="22"/>
          <w:szCs w:val="22"/>
          <w:lang w:val="sr-Latn-RS"/>
        </w:rPr>
        <w:t>-</w:t>
      </w:r>
      <w:r w:rsidRPr="00E51051">
        <w:rPr>
          <w:bCs/>
          <w:sz w:val="22"/>
          <w:szCs w:val="22"/>
          <w:lang w:val="sr-Latn-RS"/>
        </w:rPr>
        <w:t>laktamske antibiotike mogu takođe biti preos</w:t>
      </w:r>
      <w:r w:rsidR="00810047" w:rsidRPr="00E51051">
        <w:rPr>
          <w:bCs/>
          <w:sz w:val="22"/>
          <w:szCs w:val="22"/>
          <w:lang w:val="sr-Latn-RS"/>
        </w:rPr>
        <w:t>j</w:t>
      </w:r>
      <w:r w:rsidRPr="00E51051">
        <w:rPr>
          <w:bCs/>
          <w:sz w:val="22"/>
          <w:szCs w:val="22"/>
          <w:lang w:val="sr-Latn-RS"/>
        </w:rPr>
        <w:t xml:space="preserve">etljivi i na </w:t>
      </w:r>
      <w:r w:rsidR="0050553C" w:rsidRPr="00E51051">
        <w:rPr>
          <w:bCs/>
          <w:sz w:val="22"/>
          <w:szCs w:val="22"/>
          <w:lang w:val="sr-Latn-RS"/>
        </w:rPr>
        <w:t>ceftolozan, tazobaktam</w:t>
      </w:r>
      <w:r w:rsidRPr="00E51051">
        <w:rPr>
          <w:bCs/>
          <w:sz w:val="22"/>
          <w:szCs w:val="22"/>
          <w:lang w:val="sr-Latn-RS"/>
        </w:rPr>
        <w:t xml:space="preserve">. </w:t>
      </w:r>
    </w:p>
    <w:p w14:paraId="07898D9B" w14:textId="77777777" w:rsidR="007C58CF" w:rsidRPr="00E51051" w:rsidRDefault="007C58CF" w:rsidP="00187482">
      <w:pPr>
        <w:autoSpaceDE w:val="0"/>
        <w:autoSpaceDN w:val="0"/>
        <w:adjustRightInd w:val="0"/>
        <w:jc w:val="both"/>
        <w:rPr>
          <w:bCs/>
          <w:sz w:val="22"/>
          <w:szCs w:val="22"/>
          <w:lang w:val="sr-Latn-RS"/>
        </w:rPr>
      </w:pPr>
    </w:p>
    <w:p w14:paraId="430A1ED8" w14:textId="073A3E14" w:rsidR="007C58CF" w:rsidRPr="00E51051" w:rsidRDefault="0050553C" w:rsidP="00187482">
      <w:pPr>
        <w:autoSpaceDE w:val="0"/>
        <w:autoSpaceDN w:val="0"/>
        <w:adjustRightInd w:val="0"/>
        <w:jc w:val="both"/>
        <w:rPr>
          <w:bCs/>
          <w:sz w:val="22"/>
          <w:szCs w:val="22"/>
          <w:lang w:val="sr-Latn-RS"/>
        </w:rPr>
      </w:pPr>
      <w:r w:rsidRPr="00E51051">
        <w:rPr>
          <w:bCs/>
          <w:sz w:val="22"/>
          <w:szCs w:val="22"/>
          <w:lang w:val="sr-Latn-RS"/>
        </w:rPr>
        <w:t>Ceftolozan,tazobaktam</w:t>
      </w:r>
      <w:r w:rsidR="007C58CF" w:rsidRPr="00E51051">
        <w:rPr>
          <w:bCs/>
          <w:sz w:val="22"/>
          <w:szCs w:val="22"/>
          <w:lang w:val="sr-Latn-RS"/>
        </w:rPr>
        <w:t xml:space="preserve"> je kontraindikovan kod pacijenata koji u istoriji bolesti imaju preos</w:t>
      </w:r>
      <w:r w:rsidR="00854802" w:rsidRPr="00E51051">
        <w:rPr>
          <w:bCs/>
          <w:sz w:val="22"/>
          <w:szCs w:val="22"/>
          <w:lang w:val="sr-Latn-RS"/>
        </w:rPr>
        <w:t>j</w:t>
      </w:r>
      <w:r w:rsidR="007C58CF" w:rsidRPr="00E51051">
        <w:rPr>
          <w:bCs/>
          <w:sz w:val="22"/>
          <w:szCs w:val="22"/>
          <w:lang w:val="sr-Latn-RS"/>
        </w:rPr>
        <w:t>etljivost na ceftolozan, tazobaktam ili cefalosporine (</w:t>
      </w:r>
      <w:r w:rsidR="0045406B" w:rsidRPr="00E51051">
        <w:rPr>
          <w:bCs/>
          <w:sz w:val="22"/>
          <w:szCs w:val="22"/>
          <w:lang w:val="sr-Latn-RS"/>
        </w:rPr>
        <w:t>vidjeti</w:t>
      </w:r>
      <w:r w:rsidR="00854802" w:rsidRPr="00E51051">
        <w:rPr>
          <w:bCs/>
          <w:sz w:val="22"/>
          <w:szCs w:val="22"/>
          <w:lang w:val="sr-Latn-RS"/>
        </w:rPr>
        <w:t xml:space="preserve"> dio</w:t>
      </w:r>
      <w:r w:rsidR="007C58CF" w:rsidRPr="00E51051">
        <w:rPr>
          <w:bCs/>
          <w:sz w:val="22"/>
          <w:szCs w:val="22"/>
          <w:lang w:val="sr-Latn-RS"/>
        </w:rPr>
        <w:t> 4.3).</w:t>
      </w:r>
    </w:p>
    <w:p w14:paraId="764E0C66" w14:textId="77777777" w:rsidR="007C58CF" w:rsidRPr="00E51051" w:rsidRDefault="007C58CF" w:rsidP="00187482">
      <w:pPr>
        <w:autoSpaceDE w:val="0"/>
        <w:autoSpaceDN w:val="0"/>
        <w:adjustRightInd w:val="0"/>
        <w:jc w:val="both"/>
        <w:rPr>
          <w:bCs/>
          <w:sz w:val="22"/>
          <w:szCs w:val="22"/>
          <w:lang w:val="sr-Latn-RS"/>
        </w:rPr>
      </w:pPr>
    </w:p>
    <w:p w14:paraId="2B3E8D48" w14:textId="0CE3EBF8" w:rsidR="007C58CF" w:rsidRPr="00E51051" w:rsidRDefault="0050553C" w:rsidP="00187482">
      <w:pPr>
        <w:autoSpaceDE w:val="0"/>
        <w:autoSpaceDN w:val="0"/>
        <w:adjustRightInd w:val="0"/>
        <w:jc w:val="both"/>
        <w:rPr>
          <w:bCs/>
          <w:sz w:val="22"/>
          <w:szCs w:val="22"/>
          <w:lang w:val="sr-Latn-RS"/>
        </w:rPr>
      </w:pPr>
      <w:r w:rsidRPr="00E51051">
        <w:rPr>
          <w:bCs/>
          <w:sz w:val="22"/>
          <w:szCs w:val="22"/>
          <w:lang w:val="sr-Latn-RS"/>
        </w:rPr>
        <w:t>Ceftolozan, tazobaktam</w:t>
      </w:r>
      <w:r w:rsidR="007C58CF" w:rsidRPr="00E51051">
        <w:rPr>
          <w:bCs/>
          <w:sz w:val="22"/>
          <w:szCs w:val="22"/>
          <w:lang w:val="sr-Latn-RS"/>
        </w:rPr>
        <w:t xml:space="preserve"> je takođe kontraindikovan kod pacijenata sa teškom preos</w:t>
      </w:r>
      <w:r w:rsidR="00854802" w:rsidRPr="00E51051">
        <w:rPr>
          <w:bCs/>
          <w:sz w:val="22"/>
          <w:szCs w:val="22"/>
          <w:lang w:val="sr-Latn-RS"/>
        </w:rPr>
        <w:t>j</w:t>
      </w:r>
      <w:r w:rsidR="007C58CF" w:rsidRPr="00E51051">
        <w:rPr>
          <w:bCs/>
          <w:sz w:val="22"/>
          <w:szCs w:val="22"/>
          <w:lang w:val="sr-Latn-RS"/>
        </w:rPr>
        <w:t>etljivošću (npr. anafilaktička reakcija, teška reakcija kože) na bilo koju drugu vrstu beta</w:t>
      </w:r>
      <w:r w:rsidR="007C58CF" w:rsidRPr="00E51051">
        <w:rPr>
          <w:bCs/>
          <w:sz w:val="22"/>
          <w:szCs w:val="22"/>
          <w:lang w:val="sr-Latn-RS"/>
        </w:rPr>
        <w:noBreakHyphen/>
        <w:t>laktamskih antibiotika (npr. peniciline ili karbapeneme) (</w:t>
      </w:r>
      <w:r w:rsidR="0045406B" w:rsidRPr="00E51051">
        <w:rPr>
          <w:bCs/>
          <w:sz w:val="22"/>
          <w:szCs w:val="22"/>
          <w:lang w:val="sr-Latn-RS"/>
        </w:rPr>
        <w:t>vidjeti</w:t>
      </w:r>
      <w:r w:rsidR="007C58CF" w:rsidRPr="00E51051">
        <w:rPr>
          <w:bCs/>
          <w:sz w:val="22"/>
          <w:szCs w:val="22"/>
          <w:lang w:val="sr-Latn-RS"/>
        </w:rPr>
        <w:t> </w:t>
      </w:r>
      <w:r w:rsidR="003F22BA" w:rsidRPr="00E51051">
        <w:rPr>
          <w:bCs/>
          <w:sz w:val="22"/>
          <w:szCs w:val="22"/>
          <w:lang w:val="sr-Latn-RS"/>
        </w:rPr>
        <w:t xml:space="preserve">dio </w:t>
      </w:r>
      <w:r w:rsidR="007C58CF" w:rsidRPr="00E51051">
        <w:rPr>
          <w:bCs/>
          <w:sz w:val="22"/>
          <w:szCs w:val="22"/>
          <w:lang w:val="sr-Latn-RS"/>
        </w:rPr>
        <w:t>4.3).</w:t>
      </w:r>
    </w:p>
    <w:p w14:paraId="19BED01C" w14:textId="77777777" w:rsidR="007C58CF" w:rsidRPr="00E51051" w:rsidRDefault="007C58CF" w:rsidP="00187482">
      <w:pPr>
        <w:autoSpaceDE w:val="0"/>
        <w:autoSpaceDN w:val="0"/>
        <w:adjustRightInd w:val="0"/>
        <w:jc w:val="both"/>
        <w:rPr>
          <w:bCs/>
          <w:sz w:val="22"/>
          <w:szCs w:val="22"/>
          <w:lang w:val="sr-Latn-RS"/>
        </w:rPr>
      </w:pPr>
    </w:p>
    <w:p w14:paraId="48428A8D" w14:textId="3F1C5B42" w:rsidR="007C58CF" w:rsidRPr="00E51051" w:rsidRDefault="0050553C" w:rsidP="00187482">
      <w:pPr>
        <w:autoSpaceDE w:val="0"/>
        <w:autoSpaceDN w:val="0"/>
        <w:adjustRightInd w:val="0"/>
        <w:jc w:val="both"/>
        <w:rPr>
          <w:bCs/>
          <w:sz w:val="22"/>
          <w:szCs w:val="22"/>
          <w:lang w:val="sr-Latn-RS"/>
        </w:rPr>
      </w:pPr>
      <w:r w:rsidRPr="00E51051">
        <w:rPr>
          <w:bCs/>
          <w:sz w:val="22"/>
          <w:szCs w:val="22"/>
          <w:lang w:val="sr-Latn-RS"/>
        </w:rPr>
        <w:t>Ceftolozan, tazobaktam</w:t>
      </w:r>
      <w:r w:rsidR="007C58CF" w:rsidRPr="00E51051">
        <w:rPr>
          <w:bCs/>
          <w:sz w:val="22"/>
          <w:szCs w:val="22"/>
          <w:lang w:val="sr-Latn-RS"/>
        </w:rPr>
        <w:t xml:space="preserve"> treba prim</w:t>
      </w:r>
      <w:r w:rsidR="00854802" w:rsidRPr="00E51051">
        <w:rPr>
          <w:bCs/>
          <w:sz w:val="22"/>
          <w:szCs w:val="22"/>
          <w:lang w:val="sr-Latn-RS"/>
        </w:rPr>
        <w:t>j</w:t>
      </w:r>
      <w:r w:rsidR="007C58CF" w:rsidRPr="00E51051">
        <w:rPr>
          <w:bCs/>
          <w:sz w:val="22"/>
          <w:szCs w:val="22"/>
          <w:lang w:val="sr-Latn-RS"/>
        </w:rPr>
        <w:t>enjivati sa oprezom kod pacijenata koji u istoriji bolesti imaju bilo koju drugu vrstu reakcije preos</w:t>
      </w:r>
      <w:r w:rsidR="00854802" w:rsidRPr="00E51051">
        <w:rPr>
          <w:bCs/>
          <w:sz w:val="22"/>
          <w:szCs w:val="22"/>
          <w:lang w:val="sr-Latn-RS"/>
        </w:rPr>
        <w:t>j</w:t>
      </w:r>
      <w:r w:rsidR="007C58CF" w:rsidRPr="00E51051">
        <w:rPr>
          <w:bCs/>
          <w:sz w:val="22"/>
          <w:szCs w:val="22"/>
          <w:lang w:val="sr-Latn-RS"/>
        </w:rPr>
        <w:t>etljivosti na peniciline ili druge beta</w:t>
      </w:r>
      <w:r w:rsidR="007C58CF" w:rsidRPr="00E51051">
        <w:rPr>
          <w:bCs/>
          <w:sz w:val="22"/>
          <w:szCs w:val="22"/>
          <w:lang w:val="sr-Latn-RS"/>
        </w:rPr>
        <w:noBreakHyphen/>
        <w:t>laktamske antibiotike.</w:t>
      </w:r>
    </w:p>
    <w:p w14:paraId="651879FC" w14:textId="77777777" w:rsidR="007C58CF" w:rsidRPr="00E51051" w:rsidRDefault="007C58CF" w:rsidP="007C58CF">
      <w:pPr>
        <w:autoSpaceDE w:val="0"/>
        <w:autoSpaceDN w:val="0"/>
        <w:adjustRightInd w:val="0"/>
        <w:rPr>
          <w:bCs/>
          <w:sz w:val="22"/>
          <w:szCs w:val="22"/>
          <w:lang w:val="sr-Latn-RS"/>
        </w:rPr>
      </w:pPr>
    </w:p>
    <w:p w14:paraId="41A93B4E" w14:textId="77777777" w:rsidR="007C58CF" w:rsidRPr="00E51051" w:rsidRDefault="007C58CF" w:rsidP="00187482">
      <w:pPr>
        <w:keepNext/>
        <w:tabs>
          <w:tab w:val="left" w:pos="567"/>
        </w:tabs>
        <w:jc w:val="both"/>
        <w:rPr>
          <w:bCs/>
          <w:sz w:val="22"/>
          <w:szCs w:val="22"/>
          <w:u w:val="single"/>
          <w:lang w:val="sr-Latn-RS"/>
        </w:rPr>
      </w:pPr>
      <w:r w:rsidRPr="00E51051">
        <w:rPr>
          <w:bCs/>
          <w:sz w:val="22"/>
          <w:szCs w:val="22"/>
          <w:u w:val="single"/>
          <w:lang w:val="sr-Latn-RS"/>
        </w:rPr>
        <w:t>Dejstvo na funkciju bubrega</w:t>
      </w:r>
    </w:p>
    <w:p w14:paraId="1454E94B" w14:textId="77777777" w:rsidR="007C58CF" w:rsidRPr="00E51051" w:rsidRDefault="007C58CF" w:rsidP="00187482">
      <w:pPr>
        <w:keepNext/>
        <w:tabs>
          <w:tab w:val="left" w:pos="567"/>
        </w:tabs>
        <w:jc w:val="both"/>
        <w:rPr>
          <w:bCs/>
          <w:sz w:val="22"/>
          <w:szCs w:val="22"/>
          <w:u w:val="single"/>
          <w:lang w:val="sr-Latn-RS"/>
        </w:rPr>
      </w:pPr>
    </w:p>
    <w:p w14:paraId="1886A070" w14:textId="3DE5B9DC" w:rsidR="007C58CF" w:rsidRPr="00E51051" w:rsidRDefault="007C58CF" w:rsidP="00187482">
      <w:pPr>
        <w:tabs>
          <w:tab w:val="left" w:pos="567"/>
        </w:tabs>
        <w:jc w:val="both"/>
        <w:rPr>
          <w:bCs/>
          <w:sz w:val="22"/>
          <w:szCs w:val="22"/>
          <w:lang w:val="sr-Latn-RS"/>
        </w:rPr>
      </w:pPr>
      <w:r w:rsidRPr="00E51051">
        <w:rPr>
          <w:bCs/>
          <w:sz w:val="22"/>
          <w:szCs w:val="22"/>
          <w:lang w:val="sr-Latn-RS"/>
        </w:rPr>
        <w:t xml:space="preserve">Kod odraslih pacijenata koji su primali </w:t>
      </w:r>
      <w:r w:rsidR="0050553C" w:rsidRPr="00E51051">
        <w:rPr>
          <w:bCs/>
          <w:sz w:val="22"/>
          <w:szCs w:val="22"/>
          <w:lang w:val="sr-Latn-RS"/>
        </w:rPr>
        <w:t>ceftolozan, tazobaktam</w:t>
      </w:r>
      <w:r w:rsidRPr="00E51051">
        <w:rPr>
          <w:bCs/>
          <w:sz w:val="22"/>
          <w:szCs w:val="22"/>
          <w:lang w:val="sr-Latn-RS"/>
        </w:rPr>
        <w:t xml:space="preserve"> zapaženo je smanjenje funkcije bubrega.</w:t>
      </w:r>
    </w:p>
    <w:p w14:paraId="7FC5B962" w14:textId="77777777" w:rsidR="007C58CF" w:rsidRPr="00E51051" w:rsidRDefault="007C58CF" w:rsidP="00187482">
      <w:pPr>
        <w:tabs>
          <w:tab w:val="left" w:pos="567"/>
        </w:tabs>
        <w:jc w:val="both"/>
        <w:rPr>
          <w:bCs/>
          <w:sz w:val="22"/>
          <w:szCs w:val="22"/>
          <w:lang w:val="sr-Latn-RS"/>
        </w:rPr>
      </w:pPr>
    </w:p>
    <w:p w14:paraId="5F65D67E" w14:textId="77777777" w:rsidR="007C58CF" w:rsidRPr="00E51051" w:rsidRDefault="007C58CF" w:rsidP="00187482">
      <w:pPr>
        <w:keepNext/>
        <w:tabs>
          <w:tab w:val="left" w:pos="567"/>
        </w:tabs>
        <w:jc w:val="both"/>
        <w:rPr>
          <w:bCs/>
          <w:sz w:val="22"/>
          <w:szCs w:val="22"/>
          <w:lang w:val="sr-Latn-RS"/>
        </w:rPr>
      </w:pPr>
      <w:r w:rsidRPr="00E51051">
        <w:rPr>
          <w:bCs/>
          <w:sz w:val="22"/>
          <w:szCs w:val="22"/>
          <w:u w:val="single"/>
          <w:lang w:val="sr-Latn-RS"/>
        </w:rPr>
        <w:t>Oštećenje funkcije bubrega</w:t>
      </w:r>
    </w:p>
    <w:p w14:paraId="60E27D35" w14:textId="77777777" w:rsidR="007C58CF" w:rsidRPr="00E51051" w:rsidRDefault="007C58CF" w:rsidP="00187482">
      <w:pPr>
        <w:keepNext/>
        <w:tabs>
          <w:tab w:val="left" w:pos="567"/>
        </w:tabs>
        <w:jc w:val="both"/>
        <w:rPr>
          <w:bCs/>
          <w:sz w:val="22"/>
          <w:szCs w:val="22"/>
          <w:lang w:val="sr-Latn-RS"/>
        </w:rPr>
      </w:pPr>
    </w:p>
    <w:p w14:paraId="6BEA477F" w14:textId="6532D0D6" w:rsidR="007C58CF" w:rsidRPr="00E51051" w:rsidRDefault="007C58CF" w:rsidP="00187482">
      <w:pPr>
        <w:tabs>
          <w:tab w:val="left" w:pos="567"/>
        </w:tabs>
        <w:jc w:val="both"/>
        <w:rPr>
          <w:bCs/>
          <w:sz w:val="22"/>
          <w:szCs w:val="22"/>
          <w:lang w:val="sr-Latn-RS"/>
        </w:rPr>
      </w:pPr>
      <w:r w:rsidRPr="00E51051">
        <w:rPr>
          <w:bCs/>
          <w:sz w:val="22"/>
          <w:szCs w:val="22"/>
          <w:lang w:val="sr-Latn-RS"/>
        </w:rPr>
        <w:t>Dozu ceftolozana/tazobaktama treba prilagoditi na osnovu funkcije bubrega (</w:t>
      </w:r>
      <w:r w:rsidR="0045406B" w:rsidRPr="00E51051">
        <w:rPr>
          <w:bCs/>
          <w:sz w:val="22"/>
          <w:szCs w:val="22"/>
          <w:lang w:val="sr-Latn-RS"/>
        </w:rPr>
        <w:t>vidjeti</w:t>
      </w:r>
      <w:r w:rsidR="00854802" w:rsidRPr="00E51051">
        <w:rPr>
          <w:bCs/>
          <w:sz w:val="22"/>
          <w:szCs w:val="22"/>
          <w:lang w:val="sr-Latn-RS"/>
        </w:rPr>
        <w:t xml:space="preserve"> dio</w:t>
      </w:r>
      <w:r w:rsidRPr="00E51051">
        <w:rPr>
          <w:bCs/>
          <w:sz w:val="22"/>
          <w:szCs w:val="22"/>
          <w:lang w:val="sr-Latn-RS"/>
        </w:rPr>
        <w:t> 4.2, tabela 3).</w:t>
      </w:r>
    </w:p>
    <w:p w14:paraId="15C5CCE6" w14:textId="77777777" w:rsidR="007C58CF" w:rsidRPr="00E51051" w:rsidRDefault="007C58CF" w:rsidP="00187482">
      <w:pPr>
        <w:tabs>
          <w:tab w:val="left" w:pos="567"/>
        </w:tabs>
        <w:jc w:val="both"/>
        <w:rPr>
          <w:bCs/>
          <w:sz w:val="22"/>
          <w:szCs w:val="22"/>
          <w:lang w:val="sr-Latn-RS"/>
        </w:rPr>
      </w:pPr>
    </w:p>
    <w:p w14:paraId="4FDDB3BA" w14:textId="77777777" w:rsidR="00760ED5" w:rsidRPr="00E51051" w:rsidRDefault="007C58CF" w:rsidP="00187482">
      <w:pPr>
        <w:tabs>
          <w:tab w:val="left" w:pos="567"/>
        </w:tabs>
        <w:jc w:val="both"/>
        <w:rPr>
          <w:bCs/>
          <w:sz w:val="22"/>
          <w:szCs w:val="22"/>
          <w:lang w:val="sr-Latn-RS"/>
        </w:rPr>
      </w:pPr>
      <w:r w:rsidRPr="00E51051">
        <w:rPr>
          <w:bCs/>
          <w:sz w:val="22"/>
          <w:szCs w:val="22"/>
          <w:lang w:val="sr-Latn-RS"/>
        </w:rPr>
        <w:t>U kliničkim ispitivanjima komplikovanih intraabdominalnih infekcija i komplikovanih infekcija urinarnog trakta, uključujući pijelonefritis, efikasnost ceftolozana/tazobaktama je bila manja kod odraslih pacijenata sa um</w:t>
      </w:r>
      <w:r w:rsidR="00854802" w:rsidRPr="00E51051">
        <w:rPr>
          <w:bCs/>
          <w:sz w:val="22"/>
          <w:szCs w:val="22"/>
          <w:lang w:val="sr-Latn-RS"/>
        </w:rPr>
        <w:t>j</w:t>
      </w:r>
      <w:r w:rsidRPr="00E51051">
        <w:rPr>
          <w:bCs/>
          <w:sz w:val="22"/>
          <w:szCs w:val="22"/>
          <w:lang w:val="sr-Latn-RS"/>
        </w:rPr>
        <w:t xml:space="preserve">ereno oštećenom funkcijom bubrega nego kod onih sa očuvanom ili blago oštećenom funkcijom bubrega na početku ispitivanja. </w:t>
      </w:r>
    </w:p>
    <w:p w14:paraId="0BE50B4D" w14:textId="77777777" w:rsidR="00760ED5" w:rsidRPr="00E51051" w:rsidRDefault="00760ED5" w:rsidP="00187482">
      <w:pPr>
        <w:tabs>
          <w:tab w:val="left" w:pos="567"/>
        </w:tabs>
        <w:jc w:val="both"/>
        <w:rPr>
          <w:bCs/>
          <w:sz w:val="22"/>
          <w:szCs w:val="22"/>
          <w:lang w:val="sr-Latn-RS"/>
        </w:rPr>
      </w:pPr>
    </w:p>
    <w:p w14:paraId="60524D79" w14:textId="069E8F1D" w:rsidR="007C58CF" w:rsidRPr="00E51051" w:rsidRDefault="007C58CF" w:rsidP="00187482">
      <w:pPr>
        <w:tabs>
          <w:tab w:val="left" w:pos="567"/>
        </w:tabs>
        <w:jc w:val="both"/>
        <w:rPr>
          <w:bCs/>
          <w:sz w:val="22"/>
          <w:szCs w:val="22"/>
          <w:lang w:val="sr-Latn-RS"/>
        </w:rPr>
      </w:pPr>
      <w:r w:rsidRPr="00E51051">
        <w:rPr>
          <w:bCs/>
          <w:sz w:val="22"/>
          <w:szCs w:val="22"/>
          <w:lang w:val="sr-Latn-RS"/>
        </w:rPr>
        <w:t>Pacijente kod kojih se na početku l</w:t>
      </w:r>
      <w:r w:rsidR="00854802" w:rsidRPr="00E51051">
        <w:rPr>
          <w:bCs/>
          <w:sz w:val="22"/>
          <w:szCs w:val="22"/>
          <w:lang w:val="sr-Latn-RS"/>
        </w:rPr>
        <w:t>ij</w:t>
      </w:r>
      <w:r w:rsidRPr="00E51051">
        <w:rPr>
          <w:bCs/>
          <w:sz w:val="22"/>
          <w:szCs w:val="22"/>
          <w:lang w:val="sr-Latn-RS"/>
        </w:rPr>
        <w:t>ečenja utvrdi oštećenje funkcije bubrega potrebno je često nadzirati zbog bilo kojih prom</w:t>
      </w:r>
      <w:r w:rsidR="00854802" w:rsidRPr="00E51051">
        <w:rPr>
          <w:bCs/>
          <w:sz w:val="22"/>
          <w:szCs w:val="22"/>
          <w:lang w:val="sr-Latn-RS"/>
        </w:rPr>
        <w:t>j</w:t>
      </w:r>
      <w:r w:rsidRPr="00E51051">
        <w:rPr>
          <w:bCs/>
          <w:sz w:val="22"/>
          <w:szCs w:val="22"/>
          <w:lang w:val="sr-Latn-RS"/>
        </w:rPr>
        <w:t>ena u funkciji bubrega tokom l</w:t>
      </w:r>
      <w:r w:rsidR="00854802" w:rsidRPr="00E51051">
        <w:rPr>
          <w:bCs/>
          <w:sz w:val="22"/>
          <w:szCs w:val="22"/>
          <w:lang w:val="sr-Latn-RS"/>
        </w:rPr>
        <w:t>ij</w:t>
      </w:r>
      <w:r w:rsidRPr="00E51051">
        <w:rPr>
          <w:bCs/>
          <w:sz w:val="22"/>
          <w:szCs w:val="22"/>
          <w:lang w:val="sr-Latn-RS"/>
        </w:rPr>
        <w:t>ečenja, a dozu ceftolozana/tazobaktama treba prilagoditi prema potrebi.</w:t>
      </w:r>
    </w:p>
    <w:p w14:paraId="0C8411BD" w14:textId="77777777" w:rsidR="007C58CF" w:rsidRPr="00E51051" w:rsidRDefault="007C58CF" w:rsidP="00187482">
      <w:pPr>
        <w:autoSpaceDE w:val="0"/>
        <w:autoSpaceDN w:val="0"/>
        <w:adjustRightInd w:val="0"/>
        <w:jc w:val="both"/>
        <w:rPr>
          <w:bCs/>
          <w:sz w:val="22"/>
          <w:szCs w:val="22"/>
          <w:lang w:val="sr-Latn-RS"/>
        </w:rPr>
      </w:pPr>
    </w:p>
    <w:p w14:paraId="66A76582" w14:textId="77777777" w:rsidR="00854802" w:rsidRPr="00E51051" w:rsidRDefault="00854802" w:rsidP="00187482">
      <w:pPr>
        <w:keepNext/>
        <w:autoSpaceDE w:val="0"/>
        <w:autoSpaceDN w:val="0"/>
        <w:adjustRightInd w:val="0"/>
        <w:jc w:val="both"/>
        <w:rPr>
          <w:rFonts w:eastAsia="SimSun"/>
          <w:sz w:val="22"/>
          <w:szCs w:val="22"/>
          <w:u w:val="single"/>
          <w:lang w:val="sr-Latn-RS"/>
        </w:rPr>
      </w:pPr>
      <w:r w:rsidRPr="00E51051">
        <w:rPr>
          <w:rFonts w:eastAsia="SimSun"/>
          <w:sz w:val="22"/>
          <w:szCs w:val="22"/>
          <w:u w:val="single"/>
          <w:lang w:val="sr-Latn-RS"/>
        </w:rPr>
        <w:t>Ograničenja kliničkih podataka</w:t>
      </w:r>
    </w:p>
    <w:p w14:paraId="3EEE2BE8" w14:textId="77777777" w:rsidR="00854802" w:rsidRPr="00E51051" w:rsidRDefault="00854802" w:rsidP="00187482">
      <w:pPr>
        <w:keepNext/>
        <w:autoSpaceDE w:val="0"/>
        <w:autoSpaceDN w:val="0"/>
        <w:adjustRightInd w:val="0"/>
        <w:jc w:val="both"/>
        <w:rPr>
          <w:rFonts w:eastAsia="SimSun"/>
          <w:sz w:val="22"/>
          <w:szCs w:val="22"/>
          <w:u w:val="single"/>
          <w:lang w:val="sr-Latn-RS"/>
        </w:rPr>
      </w:pPr>
    </w:p>
    <w:p w14:paraId="52172A8A" w14:textId="3ED4DB6B" w:rsidR="00854802" w:rsidRPr="00E51051" w:rsidRDefault="00854802" w:rsidP="00187482">
      <w:pPr>
        <w:autoSpaceDE w:val="0"/>
        <w:autoSpaceDN w:val="0"/>
        <w:adjustRightInd w:val="0"/>
        <w:jc w:val="both"/>
        <w:rPr>
          <w:rFonts w:eastAsia="TimesNewRoman"/>
          <w:sz w:val="22"/>
          <w:szCs w:val="22"/>
          <w:lang w:val="sr-Latn-RS"/>
        </w:rPr>
      </w:pPr>
      <w:r w:rsidRPr="00E51051">
        <w:rPr>
          <w:rFonts w:eastAsia="TimesNewRoman"/>
          <w:sz w:val="22"/>
          <w:szCs w:val="22"/>
          <w:lang w:val="sr-Latn-RS"/>
        </w:rPr>
        <w:t>U klinička ispitivanja ni</w:t>
      </w:r>
      <w:r w:rsidR="00810047" w:rsidRPr="00E51051">
        <w:rPr>
          <w:rFonts w:eastAsia="TimesNewRoman"/>
          <w:sz w:val="22"/>
          <w:szCs w:val="22"/>
          <w:lang w:val="sr-Latn-RS"/>
        </w:rPr>
        <w:t>je</w:t>
      </w:r>
      <w:r w:rsidRPr="00E51051">
        <w:rPr>
          <w:rFonts w:eastAsia="TimesNewRoman"/>
          <w:sz w:val="22"/>
          <w:szCs w:val="22"/>
          <w:lang w:val="sr-Latn-RS"/>
        </w:rPr>
        <w:t>su bili uključeni imunokompromitovani pacijenti, pacijenti sa teškom neutropenijom i pacijenti sa završnim stadijumom bolesti bubrega na hemodijalizi.</w:t>
      </w:r>
    </w:p>
    <w:p w14:paraId="5DC7C001" w14:textId="77777777" w:rsidR="00854802" w:rsidRPr="00E51051" w:rsidRDefault="00854802" w:rsidP="00187482">
      <w:pPr>
        <w:tabs>
          <w:tab w:val="left" w:pos="567"/>
        </w:tabs>
        <w:jc w:val="both"/>
        <w:rPr>
          <w:sz w:val="22"/>
          <w:szCs w:val="22"/>
          <w:u w:val="single"/>
          <w:lang w:val="sr-Latn-RS"/>
        </w:rPr>
      </w:pPr>
    </w:p>
    <w:p w14:paraId="5861108A" w14:textId="77777777" w:rsidR="00BE5C22" w:rsidRPr="00E51051" w:rsidRDefault="00BE5C22" w:rsidP="00187482">
      <w:pPr>
        <w:tabs>
          <w:tab w:val="left" w:pos="567"/>
        </w:tabs>
        <w:jc w:val="both"/>
        <w:rPr>
          <w:i/>
          <w:sz w:val="22"/>
          <w:szCs w:val="22"/>
          <w:lang w:val="sr-Latn-RS"/>
        </w:rPr>
      </w:pPr>
    </w:p>
    <w:p w14:paraId="17C7BB33" w14:textId="77777777" w:rsidR="00BE5C22" w:rsidRPr="00E51051" w:rsidRDefault="00BE5C22" w:rsidP="00187482">
      <w:pPr>
        <w:tabs>
          <w:tab w:val="left" w:pos="567"/>
        </w:tabs>
        <w:jc w:val="both"/>
        <w:rPr>
          <w:i/>
          <w:sz w:val="22"/>
          <w:szCs w:val="22"/>
          <w:lang w:val="sr-Latn-RS"/>
        </w:rPr>
      </w:pPr>
    </w:p>
    <w:p w14:paraId="531DD854" w14:textId="7531EFC1" w:rsidR="00854802" w:rsidRPr="00E51051" w:rsidRDefault="00854802" w:rsidP="00187482">
      <w:pPr>
        <w:tabs>
          <w:tab w:val="left" w:pos="567"/>
        </w:tabs>
        <w:jc w:val="both"/>
        <w:rPr>
          <w:i/>
          <w:sz w:val="22"/>
          <w:szCs w:val="22"/>
          <w:lang w:val="sr-Latn-RS"/>
        </w:rPr>
      </w:pPr>
      <w:r w:rsidRPr="00E51051">
        <w:rPr>
          <w:i/>
          <w:sz w:val="22"/>
          <w:szCs w:val="22"/>
          <w:lang w:val="sr-Latn-RS"/>
        </w:rPr>
        <w:lastRenderedPageBreak/>
        <w:t>Komplikovane intraabdominalne infekcije</w:t>
      </w:r>
    </w:p>
    <w:p w14:paraId="3B00F2EC" w14:textId="31180051" w:rsidR="00854802" w:rsidRPr="00E51051" w:rsidRDefault="00854802" w:rsidP="00187482">
      <w:pPr>
        <w:tabs>
          <w:tab w:val="left" w:pos="567"/>
        </w:tabs>
        <w:jc w:val="both"/>
        <w:rPr>
          <w:rFonts w:eastAsia="Verdana"/>
          <w:sz w:val="22"/>
          <w:szCs w:val="22"/>
          <w:lang w:val="sr-Latn-RS" w:eastAsia="en-GB"/>
        </w:rPr>
      </w:pPr>
      <w:r w:rsidRPr="00E51051">
        <w:rPr>
          <w:rFonts w:eastAsia="Verdana"/>
          <w:sz w:val="22"/>
          <w:szCs w:val="22"/>
          <w:lang w:val="sr-Latn-RS" w:eastAsia="en-GB"/>
        </w:rPr>
        <w:t xml:space="preserve">U ispitivanju sprovedenom na odraslim pacijentima sa </w:t>
      </w:r>
      <w:r w:rsidRPr="00E51051">
        <w:rPr>
          <w:rFonts w:eastAsia="Verdana"/>
          <w:bCs/>
          <w:sz w:val="22"/>
          <w:szCs w:val="22"/>
          <w:lang w:val="sr-Latn-RS" w:eastAsia="en-GB"/>
        </w:rPr>
        <w:t>komplikovanim intraabdominalnim infekcijama</w:t>
      </w:r>
      <w:r w:rsidRPr="00E51051">
        <w:rPr>
          <w:rFonts w:eastAsia="Verdana"/>
          <w:sz w:val="22"/>
          <w:szCs w:val="22"/>
          <w:lang w:val="sr-Latn-RS" w:eastAsia="en-GB"/>
        </w:rPr>
        <w:t xml:space="preserve">, najčešća dijagnoza je bila perforacija apendiksa ili periapendikularni apsces (420/970 [43,3%] pacijenata); 137/420 (32,6%) je imalo difuzni peritonitis na početku ispitivanja. Približno 82% svih pacijenata u ispitivanju je imalo rezultat &lt; 10 po APACHE II (engl. </w:t>
      </w:r>
      <w:r w:rsidRPr="00E51051">
        <w:rPr>
          <w:i/>
          <w:color w:val="252525"/>
          <w:sz w:val="22"/>
          <w:szCs w:val="22"/>
          <w:shd w:val="clear" w:color="auto" w:fill="FFFFFF"/>
          <w:lang w:val="sr-Latn-RS"/>
        </w:rPr>
        <w:t>Acute Physiology and Chronic Health Evaluation II</w:t>
      </w:r>
      <w:r w:rsidRPr="00E51051">
        <w:rPr>
          <w:color w:val="252525"/>
          <w:sz w:val="22"/>
          <w:szCs w:val="22"/>
          <w:shd w:val="clear" w:color="auto" w:fill="FFFFFF"/>
          <w:lang w:val="sr-Latn-RS"/>
        </w:rPr>
        <w:t>), a</w:t>
      </w:r>
      <w:r w:rsidRPr="00E51051">
        <w:rPr>
          <w:rFonts w:eastAsia="Verdana"/>
          <w:sz w:val="22"/>
          <w:szCs w:val="22"/>
          <w:lang w:val="sr-Latn-RS" w:eastAsia="en-GB"/>
        </w:rPr>
        <w:t xml:space="preserve"> 2,3% pacijenata je na početku ispitivanja imalo bakterijemiju. Među klinički proc</w:t>
      </w:r>
      <w:r w:rsidR="00810047" w:rsidRPr="00E51051">
        <w:rPr>
          <w:rFonts w:eastAsia="Verdana"/>
          <w:sz w:val="22"/>
          <w:szCs w:val="22"/>
          <w:lang w:val="sr-Latn-RS" w:eastAsia="en-GB"/>
        </w:rPr>
        <w:t>i</w:t>
      </w:r>
      <w:r w:rsidRPr="00E51051">
        <w:rPr>
          <w:rFonts w:eastAsia="Verdana"/>
          <w:sz w:val="22"/>
          <w:szCs w:val="22"/>
          <w:lang w:val="sr-Latn-RS" w:eastAsia="en-GB"/>
        </w:rPr>
        <w:t xml:space="preserve">jenjenim pacijentima, stopa kliničkog izlječenja uz </w:t>
      </w:r>
      <w:r w:rsidR="0050553C" w:rsidRPr="00E51051">
        <w:rPr>
          <w:rFonts w:eastAsia="Verdana"/>
          <w:sz w:val="22"/>
          <w:szCs w:val="22"/>
          <w:lang w:val="sr-Latn-RS" w:eastAsia="en-GB"/>
        </w:rPr>
        <w:t>ceftolozan, tazobaktam</w:t>
      </w:r>
      <w:r w:rsidRPr="00E51051">
        <w:rPr>
          <w:rFonts w:eastAsia="Verdana"/>
          <w:sz w:val="22"/>
          <w:szCs w:val="22"/>
          <w:lang w:val="sr-Latn-RS" w:eastAsia="en-GB"/>
        </w:rPr>
        <w:t xml:space="preserve"> je iznosila 95,9% kod 293 pacijenta mlađih od 65 godina, a 87,8% kod 82 pacijenta životnog doba od 65 godina ili starijih.</w:t>
      </w:r>
    </w:p>
    <w:p w14:paraId="2E740A7F" w14:textId="77777777" w:rsidR="00854802" w:rsidRPr="00E51051" w:rsidRDefault="00854802" w:rsidP="00187482">
      <w:pPr>
        <w:tabs>
          <w:tab w:val="left" w:pos="567"/>
        </w:tabs>
        <w:jc w:val="both"/>
        <w:rPr>
          <w:rFonts w:eastAsia="Verdana"/>
          <w:sz w:val="22"/>
          <w:szCs w:val="22"/>
          <w:lang w:val="sr-Latn-RS" w:eastAsia="en-GB"/>
        </w:rPr>
      </w:pPr>
    </w:p>
    <w:p w14:paraId="34C37DE8" w14:textId="77777777" w:rsidR="00854802" w:rsidRPr="00E51051" w:rsidRDefault="00854802" w:rsidP="00187482">
      <w:pPr>
        <w:tabs>
          <w:tab w:val="left" w:pos="567"/>
        </w:tabs>
        <w:jc w:val="both"/>
        <w:rPr>
          <w:rFonts w:eastAsia="Verdana"/>
          <w:i/>
          <w:sz w:val="22"/>
          <w:szCs w:val="22"/>
          <w:lang w:val="sr-Latn-RS"/>
        </w:rPr>
      </w:pPr>
      <w:r w:rsidRPr="00E51051">
        <w:rPr>
          <w:rFonts w:eastAsia="Verdana"/>
          <w:i/>
          <w:sz w:val="22"/>
          <w:szCs w:val="22"/>
          <w:lang w:val="sr-Latn-RS"/>
        </w:rPr>
        <w:t>Komplikovane infekcije urinarnog trakta</w:t>
      </w:r>
    </w:p>
    <w:p w14:paraId="4AC209F8" w14:textId="481413C1" w:rsidR="00854802" w:rsidRPr="00E51051" w:rsidRDefault="00854802" w:rsidP="00187482">
      <w:pPr>
        <w:tabs>
          <w:tab w:val="left" w:pos="567"/>
        </w:tabs>
        <w:jc w:val="both"/>
        <w:rPr>
          <w:rFonts w:eastAsia="Verdana"/>
          <w:sz w:val="22"/>
          <w:szCs w:val="22"/>
          <w:lang w:val="sr-Latn-RS" w:eastAsia="en-GB"/>
        </w:rPr>
      </w:pPr>
      <w:r w:rsidRPr="00E51051">
        <w:rPr>
          <w:rFonts w:eastAsia="Verdana"/>
          <w:sz w:val="22"/>
          <w:szCs w:val="22"/>
          <w:lang w:val="sr-Latn-RS" w:eastAsia="en-GB"/>
        </w:rPr>
        <w:t>Podaci o kliničkoj efikasnosti kod odraslih pacijenata sa komplikovanom infekcijom donjeg d</w:t>
      </w:r>
      <w:r w:rsidR="00810047" w:rsidRPr="00E51051">
        <w:rPr>
          <w:rFonts w:eastAsia="Verdana"/>
          <w:sz w:val="22"/>
          <w:szCs w:val="22"/>
          <w:lang w:val="sr-Latn-RS" w:eastAsia="en-GB"/>
        </w:rPr>
        <w:t>ij</w:t>
      </w:r>
      <w:r w:rsidRPr="00E51051">
        <w:rPr>
          <w:rFonts w:eastAsia="Verdana"/>
          <w:sz w:val="22"/>
          <w:szCs w:val="22"/>
          <w:lang w:val="sr-Latn-RS" w:eastAsia="en-GB"/>
        </w:rPr>
        <w:t>ela urinarnog trakta su ograničeni. U randomizovanom ispitivanju kontrolisanom aktivnom supstancom, 18,2% (126/693) mikrobiološki proc</w:t>
      </w:r>
      <w:r w:rsidR="00810047" w:rsidRPr="00E51051">
        <w:rPr>
          <w:rFonts w:eastAsia="Verdana"/>
          <w:sz w:val="22"/>
          <w:szCs w:val="22"/>
          <w:lang w:val="sr-Latn-RS" w:eastAsia="en-GB"/>
        </w:rPr>
        <w:t>i</w:t>
      </w:r>
      <w:r w:rsidRPr="00E51051">
        <w:rPr>
          <w:rFonts w:eastAsia="Verdana"/>
          <w:sz w:val="22"/>
          <w:szCs w:val="22"/>
          <w:lang w:val="sr-Latn-RS" w:eastAsia="en-GB"/>
        </w:rPr>
        <w:t>jenjenih pacijenata je imalo komplikovanu infekciju donjeg dijela urinarnog trakta, uključujući 60/126 pacijenata liječenih ceftolozanom/tazobaktamom. Jedan od tih 60 pacijenata je na početku ispitivanja imao bakterijemiju.</w:t>
      </w:r>
    </w:p>
    <w:p w14:paraId="11053D06" w14:textId="77777777" w:rsidR="00854802" w:rsidRPr="00E51051" w:rsidRDefault="00854802" w:rsidP="00187482">
      <w:pPr>
        <w:tabs>
          <w:tab w:val="left" w:pos="567"/>
        </w:tabs>
        <w:jc w:val="both"/>
        <w:rPr>
          <w:bCs/>
          <w:sz w:val="22"/>
          <w:szCs w:val="22"/>
          <w:lang w:val="sr-Latn-RS"/>
        </w:rPr>
      </w:pPr>
    </w:p>
    <w:p w14:paraId="1102BF10" w14:textId="77777777" w:rsidR="00854802" w:rsidRPr="00E51051" w:rsidRDefault="00854802" w:rsidP="00187482">
      <w:pPr>
        <w:keepNext/>
        <w:tabs>
          <w:tab w:val="left" w:pos="567"/>
        </w:tabs>
        <w:jc w:val="both"/>
        <w:rPr>
          <w:bCs/>
          <w:sz w:val="22"/>
          <w:szCs w:val="22"/>
          <w:u w:val="single"/>
          <w:lang w:val="sr-Latn-RS"/>
        </w:rPr>
      </w:pPr>
      <w:r w:rsidRPr="00E51051">
        <w:rPr>
          <w:bCs/>
          <w:sz w:val="22"/>
          <w:szCs w:val="22"/>
          <w:u w:val="single"/>
          <w:lang w:val="sr-Latn-RS"/>
        </w:rPr>
        <w:t xml:space="preserve">Dijareja povezana sa </w:t>
      </w:r>
      <w:r w:rsidRPr="00E51051">
        <w:rPr>
          <w:bCs/>
          <w:i/>
          <w:sz w:val="22"/>
          <w:szCs w:val="22"/>
          <w:u w:val="single"/>
          <w:lang w:val="sr-Latn-RS"/>
        </w:rPr>
        <w:t>Clostridioides difficile</w:t>
      </w:r>
    </w:p>
    <w:p w14:paraId="31687EE9" w14:textId="77777777" w:rsidR="00854802" w:rsidRPr="00E51051" w:rsidRDefault="00854802" w:rsidP="00187482">
      <w:pPr>
        <w:keepNext/>
        <w:autoSpaceDE w:val="0"/>
        <w:autoSpaceDN w:val="0"/>
        <w:adjustRightInd w:val="0"/>
        <w:jc w:val="both"/>
        <w:rPr>
          <w:bCs/>
          <w:sz w:val="22"/>
          <w:szCs w:val="22"/>
          <w:lang w:val="sr-Latn-RS"/>
        </w:rPr>
      </w:pPr>
    </w:p>
    <w:p w14:paraId="10D99008" w14:textId="62A1C542" w:rsidR="00854802" w:rsidRPr="00E51051" w:rsidRDefault="00854802" w:rsidP="00187482">
      <w:pPr>
        <w:autoSpaceDE w:val="0"/>
        <w:autoSpaceDN w:val="0"/>
        <w:adjustRightInd w:val="0"/>
        <w:jc w:val="both"/>
        <w:rPr>
          <w:rFonts w:eastAsia="SimSun"/>
          <w:sz w:val="22"/>
          <w:szCs w:val="22"/>
          <w:lang w:val="sr-Latn-RS"/>
        </w:rPr>
      </w:pPr>
      <w:r w:rsidRPr="00E51051">
        <w:rPr>
          <w:bCs/>
          <w:sz w:val="22"/>
          <w:szCs w:val="22"/>
          <w:lang w:val="sr-Latn-RS"/>
        </w:rPr>
        <w:t>Sa ceftolozanom/tazobaktamom su prijavljeni kolitis povezan sa primjenom antibiotika i pseudomembranozni kolitis (vid</w:t>
      </w:r>
      <w:r w:rsidR="0045406B" w:rsidRPr="00E51051">
        <w:rPr>
          <w:bCs/>
          <w:sz w:val="22"/>
          <w:szCs w:val="22"/>
          <w:lang w:val="sr-Latn-RS"/>
        </w:rPr>
        <w:t>j</w:t>
      </w:r>
      <w:r w:rsidRPr="00E51051">
        <w:rPr>
          <w:bCs/>
          <w:sz w:val="22"/>
          <w:szCs w:val="22"/>
          <w:lang w:val="sr-Latn-RS"/>
        </w:rPr>
        <w:t xml:space="preserve">eti </w:t>
      </w:r>
      <w:r w:rsidR="00BE5C22" w:rsidRPr="00E51051">
        <w:rPr>
          <w:bCs/>
          <w:sz w:val="22"/>
          <w:szCs w:val="22"/>
          <w:lang w:val="sr-Latn-RS"/>
        </w:rPr>
        <w:t>dio </w:t>
      </w:r>
      <w:r w:rsidRPr="00E51051">
        <w:rPr>
          <w:bCs/>
          <w:sz w:val="22"/>
          <w:szCs w:val="22"/>
          <w:lang w:val="sr-Latn-RS"/>
        </w:rPr>
        <w:t xml:space="preserve">4.8). Ove vrste infekcija mogu biti različite težine, u rasponu od blagih do životno ugrožavajućih. Zato je važno uzeti u obzir ovu dijagnozu kod pacijenata sa dijarejom tokom ili nakon primjene ceftolozana/tazobaktama. U ovim okolnostima potrebno je razmotriti prekid terapije ceftolozanom/tazobaktamom i primjenu potpornih mjera zajedno sa specifičnom terapijom za </w:t>
      </w:r>
      <w:r w:rsidRPr="00E51051">
        <w:rPr>
          <w:bCs/>
          <w:i/>
          <w:sz w:val="22"/>
          <w:szCs w:val="22"/>
          <w:lang w:val="sr-Latn-RS"/>
        </w:rPr>
        <w:t>Clostridioides difficile</w:t>
      </w:r>
      <w:r w:rsidRPr="00E51051">
        <w:rPr>
          <w:bCs/>
          <w:sz w:val="22"/>
          <w:szCs w:val="22"/>
          <w:lang w:val="sr-Latn-RS"/>
        </w:rPr>
        <w:t>.</w:t>
      </w:r>
    </w:p>
    <w:p w14:paraId="05773F27" w14:textId="77777777" w:rsidR="00854802" w:rsidRPr="00E51051" w:rsidRDefault="00854802" w:rsidP="00187482">
      <w:pPr>
        <w:tabs>
          <w:tab w:val="left" w:pos="567"/>
        </w:tabs>
        <w:jc w:val="both"/>
        <w:rPr>
          <w:bCs/>
          <w:sz w:val="22"/>
          <w:szCs w:val="22"/>
          <w:lang w:val="sr-Latn-RS"/>
        </w:rPr>
      </w:pPr>
    </w:p>
    <w:p w14:paraId="4ABE7024" w14:textId="77777777" w:rsidR="00854802" w:rsidRPr="00E51051" w:rsidRDefault="00854802" w:rsidP="00187482">
      <w:pPr>
        <w:keepNext/>
        <w:tabs>
          <w:tab w:val="left" w:pos="567"/>
        </w:tabs>
        <w:jc w:val="both"/>
        <w:rPr>
          <w:sz w:val="22"/>
          <w:szCs w:val="22"/>
          <w:u w:val="single"/>
          <w:lang w:val="sr-Latn-RS"/>
        </w:rPr>
      </w:pPr>
      <w:r w:rsidRPr="00E51051">
        <w:rPr>
          <w:sz w:val="22"/>
          <w:szCs w:val="22"/>
          <w:u w:val="single"/>
          <w:lang w:val="sr-Latn-RS"/>
        </w:rPr>
        <w:t>Rezistentni mikroorganizmi</w:t>
      </w:r>
    </w:p>
    <w:p w14:paraId="06E0FF08" w14:textId="77777777" w:rsidR="00854802" w:rsidRPr="00E51051" w:rsidRDefault="00854802" w:rsidP="00187482">
      <w:pPr>
        <w:keepNext/>
        <w:autoSpaceDE w:val="0"/>
        <w:autoSpaceDN w:val="0"/>
        <w:adjustRightInd w:val="0"/>
        <w:jc w:val="both"/>
        <w:rPr>
          <w:sz w:val="22"/>
          <w:szCs w:val="22"/>
          <w:lang w:val="sr-Latn-RS"/>
        </w:rPr>
      </w:pPr>
    </w:p>
    <w:p w14:paraId="00A4833E" w14:textId="3FC1C239" w:rsidR="00854802" w:rsidRPr="00E51051" w:rsidRDefault="00854802" w:rsidP="00187482">
      <w:pPr>
        <w:autoSpaceDE w:val="0"/>
        <w:autoSpaceDN w:val="0"/>
        <w:adjustRightInd w:val="0"/>
        <w:jc w:val="both"/>
        <w:rPr>
          <w:sz w:val="22"/>
          <w:szCs w:val="22"/>
          <w:lang w:val="sr-Latn-RS"/>
        </w:rPr>
      </w:pPr>
      <w:r w:rsidRPr="00E51051">
        <w:rPr>
          <w:sz w:val="22"/>
          <w:szCs w:val="22"/>
          <w:lang w:val="sr-Latn-RS"/>
        </w:rPr>
        <w:t>Prim</w:t>
      </w:r>
      <w:r w:rsidR="00B15B7D" w:rsidRPr="00E51051">
        <w:rPr>
          <w:sz w:val="22"/>
          <w:szCs w:val="22"/>
          <w:lang w:val="sr-Latn-RS"/>
        </w:rPr>
        <w:t>j</w:t>
      </w:r>
      <w:r w:rsidRPr="00E51051">
        <w:rPr>
          <w:sz w:val="22"/>
          <w:szCs w:val="22"/>
          <w:lang w:val="sr-Latn-RS"/>
        </w:rPr>
        <w:t>ena ceftolozana/tazobaktama može dovesti do pretjeranog rasta rezistentnih mikroorganizama. Ako tokom ili nakon liječenja nastupi superinfekcija, potrebno je preduzeti odgovarajuće mjere.</w:t>
      </w:r>
    </w:p>
    <w:p w14:paraId="424B90E1" w14:textId="77777777" w:rsidR="00854802" w:rsidRPr="00E51051" w:rsidRDefault="00854802" w:rsidP="00187482">
      <w:pPr>
        <w:autoSpaceDE w:val="0"/>
        <w:autoSpaceDN w:val="0"/>
        <w:adjustRightInd w:val="0"/>
        <w:jc w:val="both"/>
        <w:rPr>
          <w:sz w:val="22"/>
          <w:szCs w:val="22"/>
          <w:lang w:val="sr-Latn-RS"/>
        </w:rPr>
      </w:pPr>
    </w:p>
    <w:p w14:paraId="6801D9C9" w14:textId="011898F6" w:rsidR="00854802" w:rsidRPr="00E51051" w:rsidRDefault="0050553C" w:rsidP="00187482">
      <w:pPr>
        <w:autoSpaceDE w:val="0"/>
        <w:autoSpaceDN w:val="0"/>
        <w:adjustRightInd w:val="0"/>
        <w:jc w:val="both"/>
        <w:rPr>
          <w:sz w:val="22"/>
          <w:szCs w:val="22"/>
          <w:lang w:val="sr-Latn-RS"/>
        </w:rPr>
      </w:pPr>
      <w:r w:rsidRPr="00E51051">
        <w:rPr>
          <w:sz w:val="22"/>
          <w:szCs w:val="22"/>
          <w:lang w:val="sr-Latn-RS"/>
        </w:rPr>
        <w:t>Ceftolozan, tazobaktam</w:t>
      </w:r>
      <w:r w:rsidR="00854802" w:rsidRPr="00E51051">
        <w:rPr>
          <w:sz w:val="22"/>
          <w:szCs w:val="22"/>
          <w:lang w:val="sr-Latn-RS"/>
        </w:rPr>
        <w:t xml:space="preserve"> nije aktivan protiv bakterija koje proizvode enzime beta</w:t>
      </w:r>
      <w:r w:rsidR="00854802" w:rsidRPr="00E51051">
        <w:rPr>
          <w:sz w:val="22"/>
          <w:szCs w:val="22"/>
          <w:lang w:val="sr-Latn-RS"/>
        </w:rPr>
        <w:noBreakHyphen/>
        <w:t>laktamaze koj</w:t>
      </w:r>
      <w:r w:rsidR="0090725D" w:rsidRPr="00E51051">
        <w:rPr>
          <w:sz w:val="22"/>
          <w:szCs w:val="22"/>
          <w:lang w:val="sr-Latn-RS"/>
        </w:rPr>
        <w:t>i</w:t>
      </w:r>
      <w:r w:rsidR="00854802" w:rsidRPr="00E51051">
        <w:rPr>
          <w:sz w:val="22"/>
          <w:szCs w:val="22"/>
          <w:lang w:val="sr-Latn-RS"/>
        </w:rPr>
        <w:t xml:space="preserve"> mogu da razgrade ceftolozan, a koje komponenta tazobaktam ne inhibira (vid</w:t>
      </w:r>
      <w:r w:rsidR="00B15B7D" w:rsidRPr="00E51051">
        <w:rPr>
          <w:sz w:val="22"/>
          <w:szCs w:val="22"/>
          <w:lang w:val="sr-Latn-RS"/>
        </w:rPr>
        <w:t>j</w:t>
      </w:r>
      <w:r w:rsidR="00854802" w:rsidRPr="00E51051">
        <w:rPr>
          <w:sz w:val="22"/>
          <w:szCs w:val="22"/>
          <w:lang w:val="sr-Latn-RS"/>
        </w:rPr>
        <w:t xml:space="preserve">eti </w:t>
      </w:r>
      <w:r w:rsidR="00BE5C22" w:rsidRPr="00E51051">
        <w:rPr>
          <w:sz w:val="22"/>
          <w:szCs w:val="22"/>
          <w:lang w:val="sr-Latn-RS"/>
        </w:rPr>
        <w:t>dio </w:t>
      </w:r>
      <w:r w:rsidR="00854802" w:rsidRPr="00E51051">
        <w:rPr>
          <w:sz w:val="22"/>
          <w:szCs w:val="22"/>
          <w:lang w:val="sr-Latn-RS"/>
        </w:rPr>
        <w:t>5.1).</w:t>
      </w:r>
    </w:p>
    <w:p w14:paraId="2A0CD55A" w14:textId="77777777" w:rsidR="00854802" w:rsidRPr="00E51051" w:rsidRDefault="00854802" w:rsidP="00187482">
      <w:pPr>
        <w:autoSpaceDE w:val="0"/>
        <w:autoSpaceDN w:val="0"/>
        <w:adjustRightInd w:val="0"/>
        <w:jc w:val="both"/>
        <w:rPr>
          <w:rFonts w:eastAsia="SimSun"/>
          <w:sz w:val="22"/>
          <w:szCs w:val="22"/>
          <w:u w:val="single"/>
          <w:lang w:val="sr-Latn-RS"/>
        </w:rPr>
      </w:pPr>
    </w:p>
    <w:p w14:paraId="4961B5A9" w14:textId="77777777" w:rsidR="00854802" w:rsidRPr="00E51051" w:rsidRDefault="00854802" w:rsidP="00187482">
      <w:pPr>
        <w:keepNext/>
        <w:autoSpaceDE w:val="0"/>
        <w:autoSpaceDN w:val="0"/>
        <w:adjustRightInd w:val="0"/>
        <w:jc w:val="both"/>
        <w:rPr>
          <w:rFonts w:eastAsia="SimSun"/>
          <w:sz w:val="22"/>
          <w:szCs w:val="22"/>
          <w:u w:val="single"/>
          <w:lang w:val="sr-Latn-RS"/>
        </w:rPr>
      </w:pPr>
      <w:r w:rsidRPr="00E51051">
        <w:rPr>
          <w:rFonts w:eastAsia="SimSun"/>
          <w:sz w:val="22"/>
          <w:szCs w:val="22"/>
          <w:u w:val="single"/>
          <w:lang w:val="sr-Latn-RS"/>
        </w:rPr>
        <w:t>Serokonverzija dokazana antiglobulinskim testom (</w:t>
      </w:r>
      <w:r w:rsidRPr="00E51051">
        <w:rPr>
          <w:rFonts w:eastAsia="SimSun"/>
          <w:i/>
          <w:sz w:val="22"/>
          <w:szCs w:val="22"/>
          <w:u w:val="single"/>
          <w:lang w:val="sr-Latn-RS"/>
        </w:rPr>
        <w:t>Coombs</w:t>
      </w:r>
      <w:r w:rsidRPr="00E51051">
        <w:rPr>
          <w:rFonts w:eastAsia="SimSun"/>
          <w:sz w:val="22"/>
          <w:szCs w:val="22"/>
          <w:u w:val="single"/>
          <w:lang w:val="sr-Latn-RS"/>
        </w:rPr>
        <w:t>-ov test) i mogući rizik od hemolitičke anemije</w:t>
      </w:r>
    </w:p>
    <w:p w14:paraId="4482F7AD" w14:textId="77777777" w:rsidR="00854802" w:rsidRPr="00E51051" w:rsidRDefault="00854802" w:rsidP="00187482">
      <w:pPr>
        <w:keepNext/>
        <w:autoSpaceDE w:val="0"/>
        <w:autoSpaceDN w:val="0"/>
        <w:adjustRightInd w:val="0"/>
        <w:jc w:val="both"/>
        <w:rPr>
          <w:rFonts w:eastAsia="SimSun"/>
          <w:sz w:val="22"/>
          <w:szCs w:val="22"/>
          <w:lang w:val="sr-Latn-RS"/>
        </w:rPr>
      </w:pPr>
    </w:p>
    <w:p w14:paraId="6F64752C" w14:textId="27B0C4E0" w:rsidR="00854802" w:rsidRPr="00E51051" w:rsidRDefault="00854802" w:rsidP="00187482">
      <w:pPr>
        <w:autoSpaceDE w:val="0"/>
        <w:autoSpaceDN w:val="0"/>
        <w:adjustRightInd w:val="0"/>
        <w:jc w:val="both"/>
        <w:rPr>
          <w:rFonts w:eastAsia="SimSun"/>
          <w:sz w:val="22"/>
          <w:szCs w:val="22"/>
          <w:lang w:val="sr-Latn-RS"/>
        </w:rPr>
      </w:pPr>
      <w:r w:rsidRPr="00E51051">
        <w:rPr>
          <w:rFonts w:eastAsia="SimSun"/>
          <w:sz w:val="22"/>
          <w:szCs w:val="22"/>
          <w:lang w:val="sr-Latn-RS"/>
        </w:rPr>
        <w:t>Tokom terapije ceftolozanom/tazobaktamom može doći do razvoja pozitivnog rezultata direktnog antiglobulinskog testa (DAGT) (</w:t>
      </w:r>
      <w:r w:rsidR="003F22BA" w:rsidRPr="00E51051">
        <w:rPr>
          <w:rFonts w:eastAsia="SimSun"/>
          <w:sz w:val="22"/>
          <w:szCs w:val="22"/>
          <w:lang w:val="sr-Latn-RS"/>
        </w:rPr>
        <w:t xml:space="preserve">vidjeti </w:t>
      </w:r>
      <w:r w:rsidRPr="00E51051">
        <w:rPr>
          <w:rFonts w:eastAsia="SimSun"/>
          <w:sz w:val="22"/>
          <w:szCs w:val="22"/>
          <w:lang w:val="sr-Latn-RS"/>
        </w:rPr>
        <w:t>dio 4.8). U kliničkim studijama nije bilo znakova hemolize kod pacijenata koji su tokom terapije razvili pozitivan rezultat na DAGT</w:t>
      </w:r>
      <w:r w:rsidRPr="00E51051">
        <w:rPr>
          <w:rFonts w:eastAsia="SimSun"/>
          <w:sz w:val="22"/>
          <w:szCs w:val="22"/>
          <w:lang w:val="sr-Latn-RS"/>
        </w:rPr>
        <w:noBreakHyphen/>
        <w:t>u.</w:t>
      </w:r>
    </w:p>
    <w:p w14:paraId="7BF00434" w14:textId="77777777" w:rsidR="00854802" w:rsidRPr="00E51051" w:rsidRDefault="00854802" w:rsidP="00187482">
      <w:pPr>
        <w:autoSpaceDE w:val="0"/>
        <w:autoSpaceDN w:val="0"/>
        <w:adjustRightInd w:val="0"/>
        <w:jc w:val="both"/>
        <w:rPr>
          <w:rFonts w:eastAsia="SimSun"/>
          <w:sz w:val="22"/>
          <w:szCs w:val="22"/>
          <w:lang w:val="sr-Latn-RS"/>
        </w:rPr>
      </w:pPr>
    </w:p>
    <w:p w14:paraId="41DE3C65" w14:textId="77777777" w:rsidR="00854802" w:rsidRPr="00E51051" w:rsidRDefault="00854802" w:rsidP="00187482">
      <w:pPr>
        <w:keepNext/>
        <w:autoSpaceDE w:val="0"/>
        <w:autoSpaceDN w:val="0"/>
        <w:adjustRightInd w:val="0"/>
        <w:jc w:val="both"/>
        <w:rPr>
          <w:rFonts w:eastAsia="SimSun"/>
          <w:sz w:val="22"/>
          <w:szCs w:val="22"/>
          <w:u w:val="single"/>
          <w:lang w:val="sr-Latn-RS"/>
        </w:rPr>
      </w:pPr>
      <w:r w:rsidRPr="00E51051">
        <w:rPr>
          <w:rFonts w:eastAsia="SimSun"/>
          <w:sz w:val="22"/>
          <w:szCs w:val="22"/>
          <w:u w:val="single"/>
          <w:lang w:val="sr-Latn-RS"/>
        </w:rPr>
        <w:t>Sadržaj natrijuma</w:t>
      </w:r>
    </w:p>
    <w:p w14:paraId="05BFD220" w14:textId="77777777" w:rsidR="00854802" w:rsidRPr="00E51051" w:rsidRDefault="00854802" w:rsidP="00187482">
      <w:pPr>
        <w:keepNext/>
        <w:numPr>
          <w:ilvl w:val="12"/>
          <w:numId w:val="0"/>
        </w:numPr>
        <w:ind w:right="-2"/>
        <w:jc w:val="both"/>
        <w:outlineLvl w:val="0"/>
        <w:rPr>
          <w:sz w:val="22"/>
          <w:szCs w:val="22"/>
          <w:lang w:val="sr-Latn-RS"/>
        </w:rPr>
      </w:pPr>
    </w:p>
    <w:p w14:paraId="2AECCA87" w14:textId="437D7EFF" w:rsidR="00854802" w:rsidRPr="00E51051" w:rsidRDefault="0050553C" w:rsidP="00187482">
      <w:pPr>
        <w:numPr>
          <w:ilvl w:val="12"/>
          <w:numId w:val="0"/>
        </w:numPr>
        <w:ind w:right="-2"/>
        <w:jc w:val="both"/>
        <w:outlineLvl w:val="0"/>
        <w:rPr>
          <w:sz w:val="22"/>
          <w:szCs w:val="22"/>
          <w:lang w:val="sr-Latn-RS"/>
        </w:rPr>
      </w:pPr>
      <w:r w:rsidRPr="00E51051">
        <w:rPr>
          <w:sz w:val="22"/>
          <w:szCs w:val="22"/>
          <w:lang w:val="sr-Latn-RS"/>
        </w:rPr>
        <w:t>Ceftolozan, tazobaktam</w:t>
      </w:r>
      <w:r w:rsidR="00854802" w:rsidRPr="00E51051">
        <w:rPr>
          <w:sz w:val="22"/>
          <w:szCs w:val="22"/>
          <w:lang w:val="sr-Latn-RS"/>
        </w:rPr>
        <w:t xml:space="preserve"> sadrži 230 mg natrijuma po bočici, što odgovara 11,5% preporučenog maksimalnog dnevnog unosa od 2 g za odrasle osobe prema preporukama SZO. Sadržaj bočice rekonstituisan sa 10</w:t>
      </w:r>
      <w:r w:rsidR="00157168" w:rsidRPr="00E51051">
        <w:rPr>
          <w:sz w:val="22"/>
          <w:szCs w:val="22"/>
          <w:lang w:val="sr-Latn-RS"/>
        </w:rPr>
        <w:t xml:space="preserve"> ml </w:t>
      </w:r>
      <w:r w:rsidR="00854802" w:rsidRPr="00E51051">
        <w:rPr>
          <w:sz w:val="22"/>
          <w:szCs w:val="22"/>
          <w:lang w:val="sr-Latn-RS"/>
        </w:rPr>
        <w:t>0,9%</w:t>
      </w:r>
      <w:r w:rsidR="00854802" w:rsidRPr="00E51051">
        <w:rPr>
          <w:sz w:val="22"/>
          <w:szCs w:val="22"/>
          <w:lang w:val="sr-Latn-RS"/>
        </w:rPr>
        <w:noBreakHyphen/>
        <w:t>tnog rastvora za injekcije natrijum</w:t>
      </w:r>
      <w:r w:rsidR="00BE5C22" w:rsidRPr="00E51051">
        <w:rPr>
          <w:sz w:val="22"/>
          <w:szCs w:val="22"/>
          <w:lang w:val="sr-Latn-RS"/>
        </w:rPr>
        <w:t xml:space="preserve"> </w:t>
      </w:r>
      <w:r w:rsidR="00854802" w:rsidRPr="00E51051">
        <w:rPr>
          <w:sz w:val="22"/>
          <w:szCs w:val="22"/>
          <w:lang w:val="sr-Latn-RS"/>
        </w:rPr>
        <w:t xml:space="preserve">hlorida (fiziološkog rastvora) sadrži 265 mg natrijuma po bočici, što odgovara 13,3% preporučenog maksimalnog dnevnog unosa od 2 g za odrasle osobe prema preporukama SZO. </w:t>
      </w:r>
    </w:p>
    <w:p w14:paraId="3B65192B" w14:textId="77777777" w:rsidR="00057E35" w:rsidRPr="00E51051" w:rsidRDefault="00057E35" w:rsidP="00187482">
      <w:pPr>
        <w:tabs>
          <w:tab w:val="left" w:pos="540"/>
          <w:tab w:val="left" w:pos="569"/>
        </w:tabs>
        <w:jc w:val="both"/>
        <w:rPr>
          <w:bCs/>
          <w:sz w:val="22"/>
          <w:szCs w:val="22"/>
          <w:lang w:val="sr-Latn-RS"/>
        </w:rPr>
      </w:pPr>
    </w:p>
    <w:p w14:paraId="30835AC4" w14:textId="45020300" w:rsidR="00411B4B" w:rsidRPr="00E51051" w:rsidRDefault="00411B4B" w:rsidP="00187482">
      <w:pPr>
        <w:tabs>
          <w:tab w:val="left" w:pos="540"/>
          <w:tab w:val="left" w:pos="569"/>
        </w:tabs>
        <w:jc w:val="both"/>
        <w:rPr>
          <w:b/>
          <w:bCs/>
          <w:sz w:val="22"/>
          <w:szCs w:val="22"/>
          <w:lang w:val="sr-Latn-RS"/>
        </w:rPr>
      </w:pPr>
      <w:r w:rsidRPr="00E51051">
        <w:rPr>
          <w:b/>
          <w:bCs/>
          <w:sz w:val="22"/>
          <w:szCs w:val="22"/>
          <w:lang w:val="sr-Latn-RS"/>
        </w:rPr>
        <w:t>4.5.</w:t>
      </w:r>
      <w:r w:rsidR="000D60CC" w:rsidRPr="00E51051">
        <w:rPr>
          <w:b/>
          <w:bCs/>
          <w:sz w:val="22"/>
          <w:szCs w:val="22"/>
          <w:lang w:val="sr-Latn-RS"/>
        </w:rPr>
        <w:tab/>
      </w:r>
      <w:r w:rsidRPr="00E51051">
        <w:rPr>
          <w:b/>
          <w:bCs/>
          <w:sz w:val="22"/>
          <w:szCs w:val="22"/>
          <w:lang w:val="sr-Latn-RS"/>
        </w:rPr>
        <w:t>Interakcije sa drugim ljekovima i druge vrste interakcija</w:t>
      </w:r>
    </w:p>
    <w:p w14:paraId="7939FF99" w14:textId="77777777" w:rsidR="00D245C3" w:rsidRPr="00E51051" w:rsidRDefault="00D245C3" w:rsidP="00187482">
      <w:pPr>
        <w:tabs>
          <w:tab w:val="left" w:pos="540"/>
          <w:tab w:val="left" w:pos="569"/>
        </w:tabs>
        <w:jc w:val="both"/>
        <w:rPr>
          <w:b/>
          <w:bCs/>
          <w:sz w:val="22"/>
          <w:szCs w:val="22"/>
          <w:lang w:val="sr-Latn-RS"/>
        </w:rPr>
      </w:pPr>
    </w:p>
    <w:p w14:paraId="4207EE9F" w14:textId="407DD5C4" w:rsidR="00D245C3" w:rsidRPr="00E51051" w:rsidRDefault="00D245C3" w:rsidP="002F676D">
      <w:pPr>
        <w:pStyle w:val="C-BodyText"/>
        <w:spacing w:before="0" w:after="0" w:line="240" w:lineRule="auto"/>
        <w:jc w:val="both"/>
        <w:rPr>
          <w:sz w:val="22"/>
          <w:szCs w:val="22"/>
          <w:lang w:val="sr-Latn-RS"/>
        </w:rPr>
      </w:pPr>
      <w:r w:rsidRPr="00E51051">
        <w:rPr>
          <w:sz w:val="22"/>
          <w:szCs w:val="22"/>
          <w:lang w:val="sr-Latn-RS"/>
        </w:rPr>
        <w:t>Na osnovu ispitivanja</w:t>
      </w:r>
      <w:r w:rsidRPr="00E51051">
        <w:rPr>
          <w:i/>
          <w:iCs/>
          <w:sz w:val="22"/>
          <w:szCs w:val="22"/>
          <w:lang w:val="sr-Latn-RS"/>
        </w:rPr>
        <w:t xml:space="preserve"> in vitro</w:t>
      </w:r>
      <w:r w:rsidRPr="00E51051">
        <w:rPr>
          <w:sz w:val="22"/>
          <w:szCs w:val="22"/>
          <w:lang w:val="sr-Latn-RS"/>
        </w:rPr>
        <w:t xml:space="preserve"> i </w:t>
      </w:r>
      <w:r w:rsidRPr="00E51051">
        <w:rPr>
          <w:i/>
          <w:iCs/>
          <w:sz w:val="22"/>
          <w:szCs w:val="22"/>
          <w:lang w:val="sr-Latn-RS"/>
        </w:rPr>
        <w:t>in vivo,</w:t>
      </w:r>
      <w:r w:rsidRPr="00E51051">
        <w:rPr>
          <w:sz w:val="22"/>
          <w:szCs w:val="22"/>
          <w:lang w:val="sr-Latn-RS"/>
        </w:rPr>
        <w:t xml:space="preserve"> ne očekuju se značajne interakcije ljekova između ceftolozana/tazobaktama i supstrata, inhibitora i induktora enzima citohroma P450 (CYP).</w:t>
      </w:r>
    </w:p>
    <w:p w14:paraId="455A1A29" w14:textId="77777777" w:rsidR="00D245C3" w:rsidRPr="00E51051" w:rsidRDefault="00D245C3" w:rsidP="001B0F06">
      <w:pPr>
        <w:pStyle w:val="C-BodyText"/>
        <w:spacing w:before="0" w:after="0" w:line="240" w:lineRule="auto"/>
        <w:jc w:val="both"/>
        <w:rPr>
          <w:sz w:val="22"/>
          <w:szCs w:val="22"/>
          <w:lang w:val="sr-Latn-RS"/>
        </w:rPr>
      </w:pPr>
    </w:p>
    <w:p w14:paraId="2CAA6CEA" w14:textId="4775F30A" w:rsidR="00D245C3" w:rsidRPr="00E51051" w:rsidRDefault="00D245C3" w:rsidP="003F22BA">
      <w:pPr>
        <w:pStyle w:val="C-BodyText"/>
        <w:spacing w:before="0" w:after="0" w:line="240" w:lineRule="auto"/>
        <w:jc w:val="both"/>
        <w:rPr>
          <w:sz w:val="22"/>
          <w:szCs w:val="22"/>
          <w:lang w:val="sr-Latn-RS"/>
        </w:rPr>
      </w:pPr>
      <w:r w:rsidRPr="00E51051">
        <w:rPr>
          <w:sz w:val="22"/>
          <w:szCs w:val="22"/>
          <w:lang w:val="sr-Latn-RS"/>
        </w:rPr>
        <w:t xml:space="preserve">Ispitivanja </w:t>
      </w:r>
      <w:r w:rsidRPr="00E51051">
        <w:rPr>
          <w:i/>
          <w:sz w:val="22"/>
          <w:szCs w:val="22"/>
          <w:lang w:val="sr-Latn-RS"/>
        </w:rPr>
        <w:t>in vitro</w:t>
      </w:r>
      <w:r w:rsidRPr="00E51051">
        <w:rPr>
          <w:sz w:val="22"/>
          <w:szCs w:val="22"/>
          <w:lang w:val="sr-Latn-RS"/>
        </w:rPr>
        <w:t xml:space="preserve"> su pokazala da ceftolozan, tazobaktam i metaboliti tazobaktama M1 nijesu inhibirali CYP1A2, CYP2B6, CYP2C8, CYP2C9, CYP2C19, CYP2D6 ili CYP3A4 i nijesu indukovali CYP1A2, CYP2B6 ili CYP3A4 pri terapijskim koncentracijama u plazmi.</w:t>
      </w:r>
    </w:p>
    <w:p w14:paraId="21211491" w14:textId="77777777" w:rsidR="00D245C3" w:rsidRPr="00E51051" w:rsidRDefault="00D245C3">
      <w:pPr>
        <w:pStyle w:val="C-BodyText"/>
        <w:spacing w:before="0" w:after="0" w:line="240" w:lineRule="auto"/>
        <w:jc w:val="both"/>
        <w:rPr>
          <w:sz w:val="22"/>
          <w:szCs w:val="22"/>
          <w:lang w:val="sr-Latn-RS"/>
        </w:rPr>
      </w:pPr>
    </w:p>
    <w:p w14:paraId="0D1EC410" w14:textId="0D0139F8" w:rsidR="00D245C3" w:rsidRPr="00E51051" w:rsidRDefault="00D245C3">
      <w:pPr>
        <w:pStyle w:val="C-BodyText"/>
        <w:spacing w:before="0" w:after="0" w:line="240" w:lineRule="auto"/>
        <w:jc w:val="both"/>
        <w:rPr>
          <w:sz w:val="22"/>
          <w:szCs w:val="22"/>
          <w:lang w:val="sr-Latn-RS"/>
        </w:rPr>
      </w:pPr>
      <w:r w:rsidRPr="00E51051">
        <w:rPr>
          <w:sz w:val="22"/>
          <w:szCs w:val="22"/>
          <w:lang w:val="sr-Latn-RS"/>
        </w:rPr>
        <w:lastRenderedPageBreak/>
        <w:t>Ceftolozan i tazobaktam nijesu bili supstrati za P</w:t>
      </w:r>
      <w:r w:rsidRPr="00E51051">
        <w:rPr>
          <w:sz w:val="22"/>
          <w:szCs w:val="22"/>
          <w:lang w:val="sr-Latn-RS"/>
        </w:rPr>
        <w:noBreakHyphen/>
        <w:t xml:space="preserve">gp ili BCRP, a tazobaktam nije bio supstrat za OCT2, </w:t>
      </w:r>
      <w:r w:rsidRPr="00E51051">
        <w:rPr>
          <w:i/>
          <w:sz w:val="22"/>
          <w:szCs w:val="22"/>
          <w:lang w:val="sr-Latn-RS"/>
        </w:rPr>
        <w:t>in vitro</w:t>
      </w:r>
      <w:r w:rsidRPr="00E51051">
        <w:rPr>
          <w:sz w:val="22"/>
          <w:szCs w:val="22"/>
          <w:lang w:val="sr-Latn-RS"/>
        </w:rPr>
        <w:t xml:space="preserve"> pri terapijskim koncentracijama u plazmi. </w:t>
      </w:r>
      <w:r w:rsidRPr="00E51051">
        <w:rPr>
          <w:i/>
          <w:sz w:val="22"/>
          <w:szCs w:val="22"/>
          <w:lang w:val="sr-Latn-RS"/>
        </w:rPr>
        <w:t>In vitro</w:t>
      </w:r>
      <w:r w:rsidRPr="00E51051">
        <w:rPr>
          <w:sz w:val="22"/>
          <w:szCs w:val="22"/>
          <w:lang w:val="sr-Latn-RS"/>
        </w:rPr>
        <w:t xml:space="preserve"> podaci pokazuju da ceftolozan nije inhibirao P</w:t>
      </w:r>
      <w:r w:rsidRPr="00E51051">
        <w:rPr>
          <w:sz w:val="22"/>
          <w:szCs w:val="22"/>
          <w:lang w:val="sr-Latn-RS"/>
        </w:rPr>
        <w:noBreakHyphen/>
        <w:t>gp, BCRP, OATP1B1, OATP1B3, OCT1, OCT2, MRP, BSEP, OAT1, OAT3, MATE1 ili MATE2</w:t>
      </w:r>
      <w:r w:rsidRPr="00E51051">
        <w:rPr>
          <w:sz w:val="22"/>
          <w:szCs w:val="22"/>
          <w:lang w:val="sr-Latn-RS"/>
        </w:rPr>
        <w:noBreakHyphen/>
        <w:t xml:space="preserve">K </w:t>
      </w:r>
      <w:r w:rsidRPr="00E51051">
        <w:rPr>
          <w:i/>
          <w:sz w:val="22"/>
          <w:szCs w:val="22"/>
          <w:lang w:val="sr-Latn-RS"/>
        </w:rPr>
        <w:t>in vitro</w:t>
      </w:r>
      <w:r w:rsidRPr="00E51051">
        <w:rPr>
          <w:sz w:val="22"/>
          <w:szCs w:val="22"/>
          <w:lang w:val="sr-Latn-RS"/>
        </w:rPr>
        <w:t xml:space="preserve"> pri terapijskim koncentracijama u plazmi. </w:t>
      </w:r>
      <w:r w:rsidRPr="00E51051">
        <w:rPr>
          <w:i/>
          <w:sz w:val="22"/>
          <w:szCs w:val="22"/>
          <w:lang w:val="sr-Latn-RS"/>
        </w:rPr>
        <w:t>In vitro</w:t>
      </w:r>
      <w:r w:rsidRPr="00E51051">
        <w:rPr>
          <w:sz w:val="22"/>
          <w:szCs w:val="22"/>
          <w:lang w:val="sr-Latn-RS"/>
        </w:rPr>
        <w:t xml:space="preserve"> podaci pokazuju da ni tazobaktam niti metabolit tazobaktama M1 ne inhibiraju P</w:t>
      </w:r>
      <w:r w:rsidRPr="00E51051">
        <w:rPr>
          <w:sz w:val="22"/>
          <w:szCs w:val="22"/>
          <w:lang w:val="sr-Latn-RS"/>
        </w:rPr>
        <w:noBreakHyphen/>
        <w:t>gp, BCRP, OATP1B1, OATP1B3, OCT1, OCT2 ili BSEP transportere pri terapijskim koncentracijama u plazmi.</w:t>
      </w:r>
    </w:p>
    <w:p w14:paraId="705454EE" w14:textId="77777777" w:rsidR="00D245C3" w:rsidRPr="00E51051" w:rsidRDefault="00D245C3">
      <w:pPr>
        <w:pStyle w:val="C-BodyText"/>
        <w:spacing w:before="0" w:after="0" w:line="240" w:lineRule="auto"/>
        <w:jc w:val="both"/>
        <w:rPr>
          <w:sz w:val="22"/>
          <w:szCs w:val="22"/>
          <w:lang w:val="sr-Latn-RS"/>
        </w:rPr>
      </w:pPr>
    </w:p>
    <w:p w14:paraId="6E4B145C" w14:textId="2F61A6C5" w:rsidR="00D245C3" w:rsidRPr="00E51051" w:rsidRDefault="00D245C3" w:rsidP="00187482">
      <w:pPr>
        <w:jc w:val="both"/>
        <w:rPr>
          <w:sz w:val="22"/>
          <w:szCs w:val="22"/>
          <w:lang w:val="sr-Latn-RS"/>
        </w:rPr>
      </w:pPr>
      <w:r w:rsidRPr="00E51051">
        <w:rPr>
          <w:sz w:val="22"/>
          <w:szCs w:val="22"/>
          <w:lang w:val="sr-Latn-RS"/>
        </w:rPr>
        <w:t xml:space="preserve">Tazobaktam je supstrat za OAT1 i OAT3. </w:t>
      </w:r>
      <w:r w:rsidRPr="00E51051">
        <w:rPr>
          <w:i/>
          <w:sz w:val="22"/>
          <w:szCs w:val="22"/>
          <w:lang w:val="sr-Latn-RS"/>
        </w:rPr>
        <w:t>In vitro</w:t>
      </w:r>
      <w:r w:rsidRPr="00E51051">
        <w:rPr>
          <w:sz w:val="22"/>
          <w:szCs w:val="22"/>
          <w:lang w:val="sr-Latn-RS"/>
        </w:rPr>
        <w:t>, tazobaktam je inhibirao humane transportere OAT1 i OAT3 uz IC</w:t>
      </w:r>
      <w:r w:rsidRPr="00E51051">
        <w:rPr>
          <w:sz w:val="22"/>
          <w:szCs w:val="22"/>
          <w:vertAlign w:val="subscript"/>
          <w:lang w:val="sr-Latn-RS"/>
        </w:rPr>
        <w:t>50</w:t>
      </w:r>
      <w:r w:rsidRPr="00E51051">
        <w:rPr>
          <w:sz w:val="22"/>
          <w:szCs w:val="22"/>
          <w:lang w:val="sr-Latn-RS"/>
        </w:rPr>
        <w:t xml:space="preserve"> vrijednosti od 118 mikrograma</w:t>
      </w:r>
      <w:r w:rsidR="00157168" w:rsidRPr="00E51051">
        <w:rPr>
          <w:sz w:val="22"/>
          <w:szCs w:val="22"/>
          <w:lang w:val="sr-Latn-RS"/>
        </w:rPr>
        <w:t>/ml</w:t>
      </w:r>
      <w:r w:rsidRPr="00E51051">
        <w:rPr>
          <w:sz w:val="22"/>
          <w:szCs w:val="22"/>
          <w:lang w:val="sr-Latn-RS"/>
        </w:rPr>
        <w:t xml:space="preserve"> za OAT1, odnosno 147 mikrograma</w:t>
      </w:r>
      <w:r w:rsidR="00157168" w:rsidRPr="00E51051">
        <w:rPr>
          <w:sz w:val="22"/>
          <w:szCs w:val="22"/>
          <w:lang w:val="sr-Latn-RS"/>
        </w:rPr>
        <w:t>/ml</w:t>
      </w:r>
      <w:r w:rsidRPr="00E51051">
        <w:rPr>
          <w:sz w:val="22"/>
          <w:szCs w:val="22"/>
          <w:lang w:val="sr-Latn-RS"/>
        </w:rPr>
        <w:t xml:space="preserve"> za OAT3. Istovremena primjena ceftolozana/tazobaktama sa furosemidom, supstratom OAT1 i OAT3, u kliničkom ispitivanju nije značajno povećala izloženost furosemidu u plazmi (odnos geometrijskih srednjih vr</w:t>
      </w:r>
      <w:r w:rsidR="00027EA0" w:rsidRPr="00E51051">
        <w:rPr>
          <w:sz w:val="22"/>
          <w:szCs w:val="22"/>
          <w:lang w:val="sr-Latn-RS"/>
        </w:rPr>
        <w:t>ij</w:t>
      </w:r>
      <w:r w:rsidRPr="00E51051">
        <w:rPr>
          <w:sz w:val="22"/>
          <w:szCs w:val="22"/>
          <w:lang w:val="sr-Latn-RS"/>
        </w:rPr>
        <w:t>ednosti iznosili su 0,83 za C</w:t>
      </w:r>
      <w:r w:rsidRPr="00E51051">
        <w:rPr>
          <w:sz w:val="22"/>
          <w:szCs w:val="22"/>
          <w:vertAlign w:val="subscript"/>
          <w:lang w:val="sr-Latn-RS"/>
        </w:rPr>
        <w:t>max</w:t>
      </w:r>
      <w:r w:rsidRPr="00E51051">
        <w:rPr>
          <w:sz w:val="22"/>
          <w:szCs w:val="22"/>
          <w:lang w:val="sr-Latn-RS"/>
        </w:rPr>
        <w:t xml:space="preserve"> i 0,87 za PIK). Međutim, aktivne supstance koje inhibiraju OAT1 ili OAT3 (npr. probenecid) mogu povećati koncentracije tazobaktama u plazmi.</w:t>
      </w:r>
    </w:p>
    <w:p w14:paraId="3A3DEA5E" w14:textId="77777777" w:rsidR="0072020E" w:rsidRPr="00E51051" w:rsidRDefault="0072020E" w:rsidP="00187482">
      <w:pPr>
        <w:tabs>
          <w:tab w:val="left" w:pos="540"/>
          <w:tab w:val="left" w:pos="569"/>
        </w:tabs>
        <w:jc w:val="both"/>
        <w:rPr>
          <w:bCs/>
          <w:sz w:val="22"/>
          <w:szCs w:val="22"/>
          <w:lang w:val="sr-Latn-RS"/>
        </w:rPr>
      </w:pPr>
    </w:p>
    <w:p w14:paraId="7454F7D4" w14:textId="77777777" w:rsidR="0072020E" w:rsidRPr="00E51051" w:rsidRDefault="0072020E" w:rsidP="00187482">
      <w:pPr>
        <w:tabs>
          <w:tab w:val="left" w:pos="540"/>
          <w:tab w:val="left" w:pos="569"/>
        </w:tabs>
        <w:jc w:val="both"/>
        <w:rPr>
          <w:b/>
          <w:sz w:val="22"/>
          <w:szCs w:val="22"/>
          <w:lang w:val="sr-Latn-RS"/>
        </w:rPr>
      </w:pPr>
      <w:r w:rsidRPr="00E51051">
        <w:rPr>
          <w:b/>
          <w:bCs/>
          <w:sz w:val="22"/>
          <w:szCs w:val="22"/>
          <w:lang w:val="sr-Latn-RS"/>
        </w:rPr>
        <w:t xml:space="preserve">4.6. </w:t>
      </w:r>
      <w:r w:rsidR="00480FB1" w:rsidRPr="00E51051">
        <w:rPr>
          <w:b/>
          <w:bCs/>
          <w:sz w:val="22"/>
          <w:szCs w:val="22"/>
          <w:lang w:val="sr-Latn-RS"/>
        </w:rPr>
        <w:tab/>
      </w:r>
      <w:r w:rsidR="006D20A5" w:rsidRPr="00E51051">
        <w:rPr>
          <w:b/>
          <w:sz w:val="22"/>
          <w:szCs w:val="22"/>
          <w:lang w:val="sr-Latn-RS"/>
        </w:rPr>
        <w:t>Plodnost, trudnoća i dojenje</w:t>
      </w:r>
    </w:p>
    <w:p w14:paraId="7AB47E7E" w14:textId="77777777" w:rsidR="002031B3" w:rsidRPr="00E51051" w:rsidRDefault="002031B3" w:rsidP="00187482">
      <w:pPr>
        <w:tabs>
          <w:tab w:val="left" w:pos="540"/>
          <w:tab w:val="left" w:pos="569"/>
        </w:tabs>
        <w:jc w:val="both"/>
        <w:rPr>
          <w:sz w:val="22"/>
          <w:szCs w:val="22"/>
          <w:u w:val="single"/>
          <w:lang w:val="sr-Latn-RS"/>
        </w:rPr>
      </w:pPr>
    </w:p>
    <w:p w14:paraId="23CD3819" w14:textId="77777777" w:rsidR="0084484D" w:rsidRPr="00E51051" w:rsidRDefault="0084484D" w:rsidP="00187482">
      <w:pPr>
        <w:tabs>
          <w:tab w:val="left" w:pos="540"/>
          <w:tab w:val="left" w:pos="569"/>
        </w:tabs>
        <w:jc w:val="both"/>
        <w:rPr>
          <w:sz w:val="22"/>
          <w:szCs w:val="22"/>
          <w:u w:val="single"/>
          <w:lang w:val="sr-Latn-RS"/>
        </w:rPr>
      </w:pPr>
      <w:r w:rsidRPr="00E51051">
        <w:rPr>
          <w:sz w:val="22"/>
          <w:szCs w:val="22"/>
          <w:u w:val="single"/>
          <w:lang w:val="sr-Latn-RS"/>
        </w:rPr>
        <w:t>Plodnost</w:t>
      </w:r>
    </w:p>
    <w:p w14:paraId="12EDDA39" w14:textId="77777777" w:rsidR="0084484D" w:rsidRPr="00E51051" w:rsidRDefault="0084484D" w:rsidP="00187482">
      <w:pPr>
        <w:tabs>
          <w:tab w:val="left" w:pos="540"/>
          <w:tab w:val="left" w:pos="569"/>
        </w:tabs>
        <w:jc w:val="both"/>
        <w:rPr>
          <w:sz w:val="22"/>
          <w:szCs w:val="22"/>
          <w:u w:val="single"/>
          <w:lang w:val="sr-Latn-RS"/>
        </w:rPr>
      </w:pPr>
    </w:p>
    <w:p w14:paraId="49D96697" w14:textId="381EE02C" w:rsidR="0084484D" w:rsidRPr="00E51051" w:rsidRDefault="0084484D" w:rsidP="00187482">
      <w:pPr>
        <w:tabs>
          <w:tab w:val="left" w:pos="567"/>
        </w:tabs>
        <w:jc w:val="both"/>
        <w:rPr>
          <w:bCs/>
          <w:sz w:val="22"/>
          <w:szCs w:val="22"/>
          <w:lang w:val="sr-Latn-RS"/>
        </w:rPr>
      </w:pPr>
      <w:r w:rsidRPr="00E51051">
        <w:rPr>
          <w:bCs/>
          <w:sz w:val="22"/>
          <w:szCs w:val="22"/>
          <w:lang w:val="sr-Latn-RS"/>
        </w:rPr>
        <w:t>Dejstva ceftolozana i tazobaktama na plodnost kod ljudi nijesu ispitivani. Ispitivanja plodnosti na pacovima pokazala su da nema dejstva na plodnost i parenje nakon intraperitonealne primjene tazobaktama ili intravenske primjene ceftolozana (vidjeti dio 5.3).</w:t>
      </w:r>
    </w:p>
    <w:p w14:paraId="138AD306" w14:textId="77777777" w:rsidR="0084484D" w:rsidRPr="00E51051" w:rsidRDefault="0084484D" w:rsidP="00187482">
      <w:pPr>
        <w:tabs>
          <w:tab w:val="left" w:pos="567"/>
        </w:tabs>
        <w:jc w:val="both"/>
        <w:rPr>
          <w:bCs/>
          <w:sz w:val="22"/>
          <w:szCs w:val="22"/>
          <w:lang w:val="sr-Latn-RS"/>
        </w:rPr>
      </w:pPr>
    </w:p>
    <w:p w14:paraId="422F27FA" w14:textId="0E3BC598" w:rsidR="007A3ECB" w:rsidRPr="00E51051" w:rsidRDefault="007A3ECB" w:rsidP="00187482">
      <w:pPr>
        <w:tabs>
          <w:tab w:val="left" w:pos="540"/>
          <w:tab w:val="left" w:pos="569"/>
        </w:tabs>
        <w:jc w:val="both"/>
        <w:rPr>
          <w:sz w:val="22"/>
          <w:szCs w:val="22"/>
          <w:u w:val="single"/>
          <w:lang w:val="sr-Latn-RS"/>
        </w:rPr>
      </w:pPr>
      <w:r w:rsidRPr="00E51051">
        <w:rPr>
          <w:sz w:val="22"/>
          <w:szCs w:val="22"/>
          <w:u w:val="single"/>
          <w:lang w:val="sr-Latn-RS"/>
        </w:rPr>
        <w:t>Trudnoća</w:t>
      </w:r>
    </w:p>
    <w:p w14:paraId="26180C72" w14:textId="77777777" w:rsidR="00D245C3" w:rsidRPr="00E51051" w:rsidRDefault="00D245C3" w:rsidP="00187482">
      <w:pPr>
        <w:tabs>
          <w:tab w:val="left" w:pos="540"/>
          <w:tab w:val="left" w:pos="569"/>
        </w:tabs>
        <w:jc w:val="both"/>
        <w:rPr>
          <w:sz w:val="22"/>
          <w:szCs w:val="22"/>
          <w:u w:val="single"/>
          <w:lang w:val="sr-Latn-RS"/>
        </w:rPr>
      </w:pPr>
    </w:p>
    <w:p w14:paraId="72B7C00D" w14:textId="23BE3FA3" w:rsidR="00D245C3" w:rsidRPr="00E51051" w:rsidRDefault="00D245C3" w:rsidP="00187482">
      <w:pPr>
        <w:tabs>
          <w:tab w:val="left" w:pos="0"/>
        </w:tabs>
        <w:jc w:val="both"/>
        <w:rPr>
          <w:bCs/>
          <w:sz w:val="22"/>
          <w:szCs w:val="22"/>
          <w:lang w:val="sr-Latn-RS"/>
        </w:rPr>
      </w:pPr>
      <w:r w:rsidRPr="00E51051">
        <w:rPr>
          <w:bCs/>
          <w:sz w:val="22"/>
          <w:szCs w:val="22"/>
          <w:lang w:val="sr-Latn-RS"/>
        </w:rPr>
        <w:t>Nema podataka o primjeni ceftolozana/tazobaktama kod trudnica. Tazobaktam prolazi kroz placentu. Nije poznato da li ceftolozan prolazi kroz placentu.</w:t>
      </w:r>
    </w:p>
    <w:p w14:paraId="0E4FA36B" w14:textId="77777777" w:rsidR="00D245C3" w:rsidRPr="00E51051" w:rsidRDefault="00D245C3" w:rsidP="00187482">
      <w:pPr>
        <w:tabs>
          <w:tab w:val="left" w:pos="567"/>
        </w:tabs>
        <w:ind w:left="567" w:hanging="567"/>
        <w:jc w:val="both"/>
        <w:rPr>
          <w:bCs/>
          <w:sz w:val="22"/>
          <w:szCs w:val="22"/>
          <w:lang w:val="sr-Latn-RS"/>
        </w:rPr>
      </w:pPr>
    </w:p>
    <w:p w14:paraId="203CFA8B" w14:textId="16272D02" w:rsidR="00D245C3" w:rsidRPr="00E51051" w:rsidRDefault="00D245C3" w:rsidP="00187482">
      <w:pPr>
        <w:tabs>
          <w:tab w:val="left" w:pos="567"/>
        </w:tabs>
        <w:jc w:val="both"/>
        <w:rPr>
          <w:bCs/>
          <w:sz w:val="22"/>
          <w:szCs w:val="22"/>
          <w:lang w:val="sr-Latn-RS"/>
        </w:rPr>
      </w:pPr>
      <w:r w:rsidRPr="00E51051">
        <w:rPr>
          <w:sz w:val="22"/>
          <w:szCs w:val="22"/>
          <w:lang w:val="sr-Latn-RS"/>
        </w:rPr>
        <w:t xml:space="preserve">Ispitivanja </w:t>
      </w:r>
      <w:r w:rsidRPr="00E51051">
        <w:rPr>
          <w:bCs/>
          <w:sz w:val="22"/>
          <w:szCs w:val="22"/>
          <w:lang w:val="sr-Latn-RS"/>
        </w:rPr>
        <w:t xml:space="preserve">tazobaktama </w:t>
      </w:r>
      <w:r w:rsidRPr="00E51051">
        <w:rPr>
          <w:sz w:val="22"/>
          <w:szCs w:val="22"/>
          <w:lang w:val="sr-Latn-RS"/>
        </w:rPr>
        <w:t>na životinjama su pokazala reproduktivnu toksičnost (</w:t>
      </w:r>
      <w:r w:rsidR="00983A3E" w:rsidRPr="00E51051">
        <w:rPr>
          <w:sz w:val="22"/>
          <w:szCs w:val="22"/>
          <w:lang w:val="sr-Latn-RS"/>
        </w:rPr>
        <w:t xml:space="preserve">vidjeti </w:t>
      </w:r>
      <w:r w:rsidRPr="00E51051">
        <w:rPr>
          <w:sz w:val="22"/>
          <w:szCs w:val="22"/>
          <w:lang w:val="sr-Latn-RS"/>
        </w:rPr>
        <w:t xml:space="preserve">dio 5.3) bez dokaza o teratogenom dejstvu. U ispitivanjima </w:t>
      </w:r>
      <w:r w:rsidRPr="00E51051">
        <w:rPr>
          <w:bCs/>
          <w:sz w:val="22"/>
          <w:szCs w:val="22"/>
          <w:lang w:val="sr-Latn-RS"/>
        </w:rPr>
        <w:t xml:space="preserve">ceftolozana </w:t>
      </w:r>
      <w:r w:rsidRPr="00E51051">
        <w:rPr>
          <w:sz w:val="22"/>
          <w:szCs w:val="22"/>
          <w:lang w:val="sr-Latn-RS"/>
        </w:rPr>
        <w:t xml:space="preserve">kod miševa i pacova nije bilo dokaza reproduktivne </w:t>
      </w:r>
      <w:r w:rsidRPr="00E51051">
        <w:rPr>
          <w:bCs/>
          <w:sz w:val="22"/>
          <w:szCs w:val="22"/>
          <w:lang w:val="sr-Latn-RS"/>
        </w:rPr>
        <w:t xml:space="preserve">toksičnosti ili </w:t>
      </w:r>
      <w:r w:rsidRPr="00E51051">
        <w:rPr>
          <w:sz w:val="22"/>
          <w:szCs w:val="22"/>
          <w:lang w:val="sr-Latn-RS"/>
        </w:rPr>
        <w:t>teratogenosti. Primjena ceftolozana kod pacova tokom trudnoće i dojenja je bila povezana sa smanjenom reakcijom straha na zvučne nadražaje 60. postnatalnog dana kod muških mladunčadi (</w:t>
      </w:r>
      <w:r w:rsidR="00983A3E" w:rsidRPr="00E51051">
        <w:rPr>
          <w:sz w:val="22"/>
          <w:szCs w:val="22"/>
          <w:lang w:val="sr-Latn-RS"/>
        </w:rPr>
        <w:t>vidjeti</w:t>
      </w:r>
      <w:r w:rsidRPr="00E51051">
        <w:rPr>
          <w:sz w:val="22"/>
          <w:szCs w:val="22"/>
          <w:lang w:val="sr-Latn-RS"/>
        </w:rPr>
        <w:t xml:space="preserve"> dio 5.3).</w:t>
      </w:r>
    </w:p>
    <w:p w14:paraId="5E646296" w14:textId="77777777" w:rsidR="00D245C3" w:rsidRPr="00E51051" w:rsidRDefault="00D245C3" w:rsidP="00187482">
      <w:pPr>
        <w:tabs>
          <w:tab w:val="left" w:pos="567"/>
        </w:tabs>
        <w:jc w:val="both"/>
        <w:rPr>
          <w:b/>
          <w:bCs/>
          <w:sz w:val="22"/>
          <w:szCs w:val="22"/>
          <w:lang w:val="sr-Latn-RS"/>
        </w:rPr>
      </w:pPr>
    </w:p>
    <w:p w14:paraId="4C270842" w14:textId="4AD50136" w:rsidR="00D245C3" w:rsidRPr="00E51051" w:rsidRDefault="00D245C3" w:rsidP="00187482">
      <w:pPr>
        <w:tabs>
          <w:tab w:val="left" w:pos="567"/>
        </w:tabs>
        <w:jc w:val="both"/>
        <w:rPr>
          <w:bCs/>
          <w:sz w:val="22"/>
          <w:szCs w:val="22"/>
          <w:lang w:val="sr-Latn-RS"/>
        </w:rPr>
      </w:pPr>
      <w:r w:rsidRPr="00E51051">
        <w:rPr>
          <w:bCs/>
          <w:sz w:val="22"/>
          <w:szCs w:val="22"/>
          <w:lang w:val="sr-Latn-RS"/>
        </w:rPr>
        <w:t>Lijek ZERBAXA treba primjenjivati tokom trudnoće samo ako očekivana korist prevazilazi mogući rizik za trudnicu i fetus.</w:t>
      </w:r>
    </w:p>
    <w:p w14:paraId="261D74B1" w14:textId="77777777" w:rsidR="002031B3" w:rsidRPr="00E51051" w:rsidRDefault="002031B3" w:rsidP="00187482">
      <w:pPr>
        <w:tabs>
          <w:tab w:val="left" w:pos="540"/>
          <w:tab w:val="left" w:pos="569"/>
        </w:tabs>
        <w:jc w:val="both"/>
        <w:rPr>
          <w:sz w:val="22"/>
          <w:szCs w:val="22"/>
          <w:u w:val="single"/>
          <w:lang w:val="sr-Latn-RS"/>
        </w:rPr>
      </w:pPr>
    </w:p>
    <w:p w14:paraId="53128018" w14:textId="15FCDFD2" w:rsidR="0072020E" w:rsidRPr="00E51051" w:rsidRDefault="007A3ECB" w:rsidP="00187482">
      <w:pPr>
        <w:tabs>
          <w:tab w:val="left" w:pos="540"/>
          <w:tab w:val="left" w:pos="569"/>
        </w:tabs>
        <w:jc w:val="both"/>
        <w:rPr>
          <w:sz w:val="22"/>
          <w:szCs w:val="22"/>
          <w:u w:val="single"/>
          <w:lang w:val="sr-Latn-RS"/>
        </w:rPr>
      </w:pPr>
      <w:r w:rsidRPr="00E51051">
        <w:rPr>
          <w:sz w:val="22"/>
          <w:szCs w:val="22"/>
          <w:u w:val="single"/>
          <w:lang w:val="sr-Latn-RS"/>
        </w:rPr>
        <w:t xml:space="preserve">Dojenje </w:t>
      </w:r>
    </w:p>
    <w:p w14:paraId="21232D7E" w14:textId="77777777" w:rsidR="00D245C3" w:rsidRPr="00E51051" w:rsidRDefault="00D245C3" w:rsidP="00187482">
      <w:pPr>
        <w:tabs>
          <w:tab w:val="left" w:pos="540"/>
          <w:tab w:val="left" w:pos="569"/>
        </w:tabs>
        <w:jc w:val="both"/>
        <w:rPr>
          <w:b/>
          <w:bCs/>
          <w:sz w:val="22"/>
          <w:szCs w:val="22"/>
          <w:lang w:val="sr-Latn-RS"/>
        </w:rPr>
      </w:pPr>
    </w:p>
    <w:p w14:paraId="01E6488B" w14:textId="735905CD" w:rsidR="00D245C3" w:rsidRPr="00E51051" w:rsidRDefault="00D245C3" w:rsidP="00187482">
      <w:pPr>
        <w:jc w:val="both"/>
        <w:rPr>
          <w:bCs/>
          <w:sz w:val="22"/>
          <w:szCs w:val="22"/>
          <w:lang w:val="sr-Latn-RS" w:eastAsia="hr-HR"/>
        </w:rPr>
      </w:pPr>
      <w:r w:rsidRPr="00E51051">
        <w:rPr>
          <w:rFonts w:eastAsia="SimSun"/>
          <w:color w:val="000000"/>
          <w:sz w:val="22"/>
          <w:szCs w:val="22"/>
          <w:lang w:val="sr-Latn-RS" w:eastAsia="zh-CN"/>
        </w:rPr>
        <w:t xml:space="preserve">Nije poznato da li se </w:t>
      </w:r>
      <w:r w:rsidRPr="00E51051">
        <w:rPr>
          <w:bCs/>
          <w:sz w:val="22"/>
          <w:szCs w:val="22"/>
          <w:lang w:val="sr-Latn-RS" w:eastAsia="hr-HR"/>
        </w:rPr>
        <w:t>ceftolozan i tazobaktam izlučuju u majčino mlijeko. Ne može se isključiti rizik po novorođenče/odojče. Odluka o tome da li da se prekine dojenje ili da se prekine/odloži terapija lijekom ZERBAXA mora se donijeti uzimajući u obzir korist od dojenja za dijete i korist od terapije lijekom ZERBAXA za ženu</w:t>
      </w:r>
      <w:r w:rsidR="00BE39AA" w:rsidRPr="00E51051">
        <w:rPr>
          <w:bCs/>
          <w:sz w:val="22"/>
          <w:szCs w:val="22"/>
          <w:lang w:val="sr-Latn-RS" w:eastAsia="hr-HR"/>
        </w:rPr>
        <w:t>.</w:t>
      </w:r>
    </w:p>
    <w:p w14:paraId="07C8F1BD" w14:textId="77777777" w:rsidR="00227BDB" w:rsidRPr="00E51051" w:rsidRDefault="00227BDB" w:rsidP="00187482">
      <w:pPr>
        <w:tabs>
          <w:tab w:val="left" w:pos="540"/>
          <w:tab w:val="left" w:pos="569"/>
        </w:tabs>
        <w:rPr>
          <w:b/>
          <w:bCs/>
          <w:sz w:val="22"/>
          <w:szCs w:val="22"/>
          <w:lang w:val="sr-Latn-RS"/>
        </w:rPr>
      </w:pPr>
    </w:p>
    <w:p w14:paraId="42EE8B0B" w14:textId="67943560" w:rsidR="0072020E" w:rsidRPr="00E51051" w:rsidRDefault="0072020E" w:rsidP="00187482">
      <w:pPr>
        <w:tabs>
          <w:tab w:val="left" w:pos="540"/>
          <w:tab w:val="left" w:pos="569"/>
        </w:tabs>
        <w:ind w:left="540" w:hanging="540"/>
        <w:jc w:val="both"/>
        <w:rPr>
          <w:b/>
          <w:bCs/>
          <w:sz w:val="22"/>
          <w:szCs w:val="22"/>
          <w:lang w:val="sr-Latn-RS"/>
        </w:rPr>
      </w:pPr>
      <w:r w:rsidRPr="00E51051">
        <w:rPr>
          <w:b/>
          <w:bCs/>
          <w:sz w:val="22"/>
          <w:szCs w:val="22"/>
          <w:lang w:val="sr-Latn-RS"/>
        </w:rPr>
        <w:t xml:space="preserve">4.7. </w:t>
      </w:r>
      <w:r w:rsidR="00480FB1" w:rsidRPr="00E51051">
        <w:rPr>
          <w:b/>
          <w:bCs/>
          <w:sz w:val="22"/>
          <w:szCs w:val="22"/>
          <w:lang w:val="sr-Latn-RS"/>
        </w:rPr>
        <w:tab/>
      </w:r>
      <w:r w:rsidRPr="00E51051">
        <w:rPr>
          <w:b/>
          <w:bCs/>
          <w:sz w:val="22"/>
          <w:szCs w:val="22"/>
          <w:lang w:val="sr-Latn-RS"/>
        </w:rPr>
        <w:t xml:space="preserve">Uticaj na </w:t>
      </w:r>
      <w:r w:rsidR="002031B3" w:rsidRPr="00E51051">
        <w:rPr>
          <w:b/>
          <w:bCs/>
          <w:sz w:val="22"/>
          <w:szCs w:val="22"/>
          <w:lang w:val="sr-Latn-RS"/>
        </w:rPr>
        <w:t xml:space="preserve">sposobnost </w:t>
      </w:r>
      <w:r w:rsidR="00F34554" w:rsidRPr="00E51051">
        <w:rPr>
          <w:b/>
          <w:bCs/>
          <w:sz w:val="22"/>
          <w:szCs w:val="22"/>
          <w:lang w:val="sr-Latn-RS"/>
        </w:rPr>
        <w:t>upravljanja vozili</w:t>
      </w:r>
      <w:r w:rsidRPr="00E51051">
        <w:rPr>
          <w:b/>
          <w:bCs/>
          <w:sz w:val="22"/>
          <w:szCs w:val="22"/>
          <w:lang w:val="sr-Latn-RS"/>
        </w:rPr>
        <w:t>m</w:t>
      </w:r>
      <w:r w:rsidR="00F34554" w:rsidRPr="00E51051">
        <w:rPr>
          <w:b/>
          <w:bCs/>
          <w:sz w:val="22"/>
          <w:szCs w:val="22"/>
          <w:lang w:val="sr-Latn-RS"/>
        </w:rPr>
        <w:t>a</w:t>
      </w:r>
      <w:r w:rsidRPr="00E51051">
        <w:rPr>
          <w:b/>
          <w:bCs/>
          <w:sz w:val="22"/>
          <w:szCs w:val="22"/>
          <w:lang w:val="sr-Latn-RS"/>
        </w:rPr>
        <w:t xml:space="preserve"> i </w:t>
      </w:r>
      <w:r w:rsidR="000D3449" w:rsidRPr="00E51051">
        <w:rPr>
          <w:b/>
          <w:bCs/>
          <w:sz w:val="22"/>
          <w:szCs w:val="22"/>
          <w:lang w:val="sr-Latn-RS"/>
        </w:rPr>
        <w:t xml:space="preserve">rukovanje </w:t>
      </w:r>
      <w:r w:rsidRPr="00E51051">
        <w:rPr>
          <w:b/>
          <w:bCs/>
          <w:sz w:val="22"/>
          <w:szCs w:val="22"/>
          <w:lang w:val="sr-Latn-RS"/>
        </w:rPr>
        <w:t>mašinama</w:t>
      </w:r>
    </w:p>
    <w:p w14:paraId="3BD09B63" w14:textId="77777777" w:rsidR="00BE39AA" w:rsidRPr="00E51051" w:rsidRDefault="00BE39AA" w:rsidP="00187482">
      <w:pPr>
        <w:tabs>
          <w:tab w:val="left" w:pos="540"/>
          <w:tab w:val="left" w:pos="569"/>
        </w:tabs>
        <w:ind w:left="540" w:hanging="540"/>
        <w:jc w:val="both"/>
        <w:rPr>
          <w:b/>
          <w:bCs/>
          <w:sz w:val="22"/>
          <w:szCs w:val="22"/>
          <w:lang w:val="sr-Latn-RS"/>
        </w:rPr>
      </w:pPr>
    </w:p>
    <w:p w14:paraId="52BCE53C" w14:textId="008AA0B6" w:rsidR="00BE39AA" w:rsidRPr="00E51051" w:rsidRDefault="00BE39AA" w:rsidP="00187482">
      <w:pPr>
        <w:tabs>
          <w:tab w:val="left" w:pos="567"/>
        </w:tabs>
        <w:jc w:val="both"/>
        <w:rPr>
          <w:sz w:val="22"/>
          <w:szCs w:val="22"/>
          <w:lang w:val="sr-Latn-RS"/>
        </w:rPr>
      </w:pPr>
      <w:r w:rsidRPr="00E51051">
        <w:rPr>
          <w:sz w:val="22"/>
          <w:szCs w:val="22"/>
          <w:lang w:val="sr-Latn-RS"/>
        </w:rPr>
        <w:t>Lijek ZERBAXA ima neznatan uticaj na sposobnost upravljanja vozilima i rukovanja mašinama. Nakon primjene lijeka ZERBAXA može doći do vrtoglavice (</w:t>
      </w:r>
      <w:r w:rsidR="00B3021F" w:rsidRPr="00E51051">
        <w:rPr>
          <w:sz w:val="22"/>
          <w:szCs w:val="22"/>
          <w:lang w:val="sr-Latn-RS"/>
        </w:rPr>
        <w:t>vidjeti</w:t>
      </w:r>
      <w:r w:rsidRPr="00E51051">
        <w:rPr>
          <w:sz w:val="22"/>
          <w:szCs w:val="22"/>
          <w:lang w:val="sr-Latn-RS"/>
        </w:rPr>
        <w:t xml:space="preserve"> dio 4.8).</w:t>
      </w:r>
    </w:p>
    <w:p w14:paraId="5459055A" w14:textId="77777777" w:rsidR="0072020E" w:rsidRPr="00E51051" w:rsidRDefault="0072020E" w:rsidP="00187482">
      <w:pPr>
        <w:tabs>
          <w:tab w:val="left" w:pos="540"/>
          <w:tab w:val="left" w:pos="569"/>
        </w:tabs>
        <w:jc w:val="both"/>
        <w:rPr>
          <w:b/>
          <w:bCs/>
          <w:sz w:val="22"/>
          <w:szCs w:val="22"/>
          <w:lang w:val="sr-Latn-RS"/>
        </w:rPr>
      </w:pPr>
    </w:p>
    <w:p w14:paraId="762F3E29" w14:textId="2B0A3301" w:rsidR="0072020E" w:rsidRPr="00E51051" w:rsidRDefault="0072020E" w:rsidP="00187482">
      <w:pPr>
        <w:tabs>
          <w:tab w:val="left" w:pos="540"/>
          <w:tab w:val="left" w:pos="569"/>
        </w:tabs>
        <w:jc w:val="both"/>
        <w:rPr>
          <w:b/>
          <w:bCs/>
          <w:sz w:val="22"/>
          <w:szCs w:val="22"/>
          <w:lang w:val="sr-Latn-RS"/>
        </w:rPr>
      </w:pPr>
      <w:r w:rsidRPr="00E51051">
        <w:rPr>
          <w:b/>
          <w:bCs/>
          <w:sz w:val="22"/>
          <w:szCs w:val="22"/>
          <w:lang w:val="sr-Latn-RS"/>
        </w:rPr>
        <w:t xml:space="preserve">4.8. </w:t>
      </w:r>
      <w:r w:rsidR="00480FB1" w:rsidRPr="00E51051">
        <w:rPr>
          <w:b/>
          <w:bCs/>
          <w:sz w:val="22"/>
          <w:szCs w:val="22"/>
          <w:lang w:val="sr-Latn-RS"/>
        </w:rPr>
        <w:tab/>
      </w:r>
      <w:r w:rsidRPr="00E51051">
        <w:rPr>
          <w:b/>
          <w:bCs/>
          <w:sz w:val="22"/>
          <w:szCs w:val="22"/>
          <w:lang w:val="sr-Latn-RS"/>
        </w:rPr>
        <w:t>Neželjena dejstva</w:t>
      </w:r>
    </w:p>
    <w:p w14:paraId="41537598" w14:textId="77777777" w:rsidR="00BE39AA" w:rsidRPr="00E51051" w:rsidRDefault="00BE39AA" w:rsidP="00187482">
      <w:pPr>
        <w:tabs>
          <w:tab w:val="left" w:pos="540"/>
          <w:tab w:val="left" w:pos="569"/>
        </w:tabs>
        <w:jc w:val="both"/>
        <w:rPr>
          <w:b/>
          <w:bCs/>
          <w:sz w:val="22"/>
          <w:szCs w:val="22"/>
          <w:lang w:val="sr-Latn-RS"/>
        </w:rPr>
      </w:pPr>
    </w:p>
    <w:p w14:paraId="31E990D7" w14:textId="39D325F4" w:rsidR="00BE39AA" w:rsidRPr="00E51051" w:rsidRDefault="00BE39AA" w:rsidP="00187482">
      <w:pPr>
        <w:keepNext/>
        <w:tabs>
          <w:tab w:val="left" w:pos="567"/>
        </w:tabs>
        <w:autoSpaceDE w:val="0"/>
        <w:autoSpaceDN w:val="0"/>
        <w:adjustRightInd w:val="0"/>
        <w:jc w:val="both"/>
        <w:rPr>
          <w:sz w:val="22"/>
          <w:szCs w:val="22"/>
          <w:u w:val="single"/>
          <w:lang w:val="sr-Latn-RS"/>
        </w:rPr>
      </w:pPr>
      <w:r w:rsidRPr="00E51051">
        <w:rPr>
          <w:sz w:val="22"/>
          <w:szCs w:val="22"/>
          <w:u w:val="single"/>
          <w:lang w:val="sr-Latn-RS"/>
        </w:rPr>
        <w:t>Sažetak bezbjednosnog profila</w:t>
      </w:r>
    </w:p>
    <w:p w14:paraId="6866507C" w14:textId="77777777" w:rsidR="00BE39AA" w:rsidRPr="00E51051" w:rsidRDefault="00BE39AA" w:rsidP="00187482">
      <w:pPr>
        <w:keepNext/>
        <w:tabs>
          <w:tab w:val="left" w:pos="567"/>
        </w:tabs>
        <w:autoSpaceDE w:val="0"/>
        <w:autoSpaceDN w:val="0"/>
        <w:adjustRightInd w:val="0"/>
        <w:jc w:val="both"/>
        <w:rPr>
          <w:bCs/>
          <w:sz w:val="22"/>
          <w:szCs w:val="22"/>
          <w:lang w:val="sr-Latn-RS"/>
        </w:rPr>
      </w:pPr>
    </w:p>
    <w:p w14:paraId="382A90B8" w14:textId="7C6B7D92" w:rsidR="00BE39AA" w:rsidRPr="00E51051" w:rsidRDefault="00BE39AA" w:rsidP="00187482">
      <w:pPr>
        <w:tabs>
          <w:tab w:val="left" w:pos="567"/>
        </w:tabs>
        <w:autoSpaceDE w:val="0"/>
        <w:autoSpaceDN w:val="0"/>
        <w:adjustRightInd w:val="0"/>
        <w:jc w:val="both"/>
        <w:rPr>
          <w:sz w:val="22"/>
          <w:szCs w:val="22"/>
          <w:u w:val="single"/>
          <w:lang w:val="sr-Latn-RS"/>
        </w:rPr>
      </w:pPr>
      <w:r w:rsidRPr="00E51051">
        <w:rPr>
          <w:bCs/>
          <w:sz w:val="22"/>
          <w:szCs w:val="22"/>
          <w:lang w:val="sr-Latn-RS"/>
        </w:rPr>
        <w:t>Lijek ZERBAXA je proc</w:t>
      </w:r>
      <w:r w:rsidR="00817472" w:rsidRPr="00E51051">
        <w:rPr>
          <w:bCs/>
          <w:sz w:val="22"/>
          <w:szCs w:val="22"/>
          <w:lang w:val="sr-Latn-RS"/>
        </w:rPr>
        <w:t>i</w:t>
      </w:r>
      <w:r w:rsidRPr="00E51051">
        <w:rPr>
          <w:bCs/>
          <w:sz w:val="22"/>
          <w:szCs w:val="22"/>
          <w:lang w:val="sr-Latn-RS"/>
        </w:rPr>
        <w:t>jenjen u fazi 3 kliničkih ispitivanja kontrolisanih komparatorom kod komplikovanih intraabdominalnih infekcija i komplikovanih infekcija urinarnog trakta (uključujući pijelonefritis) kod odraslih pacijenata.</w:t>
      </w:r>
    </w:p>
    <w:p w14:paraId="53FEBD5B" w14:textId="77777777" w:rsidR="00BE39AA" w:rsidRPr="00E51051" w:rsidRDefault="00BE39AA" w:rsidP="00187482">
      <w:pPr>
        <w:tabs>
          <w:tab w:val="left" w:pos="567"/>
        </w:tabs>
        <w:autoSpaceDE w:val="0"/>
        <w:autoSpaceDN w:val="0"/>
        <w:adjustRightInd w:val="0"/>
        <w:jc w:val="both"/>
        <w:rPr>
          <w:sz w:val="22"/>
          <w:szCs w:val="22"/>
          <w:lang w:val="sr-Latn-RS"/>
        </w:rPr>
      </w:pPr>
    </w:p>
    <w:p w14:paraId="6EB33614" w14:textId="066BE3F3" w:rsidR="00BE39AA" w:rsidRPr="00E51051" w:rsidRDefault="00BE39AA" w:rsidP="00187482">
      <w:pPr>
        <w:tabs>
          <w:tab w:val="left" w:pos="567"/>
        </w:tabs>
        <w:autoSpaceDE w:val="0"/>
        <w:autoSpaceDN w:val="0"/>
        <w:adjustRightInd w:val="0"/>
        <w:jc w:val="both"/>
        <w:rPr>
          <w:sz w:val="22"/>
          <w:szCs w:val="22"/>
          <w:lang w:val="sr-Latn-RS"/>
        </w:rPr>
      </w:pPr>
      <w:r w:rsidRPr="00E51051">
        <w:rPr>
          <w:sz w:val="22"/>
          <w:szCs w:val="22"/>
          <w:lang w:val="sr-Latn-RS"/>
        </w:rPr>
        <w:lastRenderedPageBreak/>
        <w:t>Najčešće neželjene reakcije (≥ 3% u integrisanim ispitivanjima faze 3 komplikovanih intraabdominalnih infekcija i komplikovanih infekcija urinarnog trakta, uključujući pijelonefritis) koje su se javljale kod pacijenata koji su primali lijek ZERBAXA su bile: mučnina, glavobolja, konstipacija, dijareja i pireksija, a obično su bile blage ili umjereno teške.</w:t>
      </w:r>
    </w:p>
    <w:p w14:paraId="6C2E9E4A" w14:textId="77777777" w:rsidR="00BE39AA" w:rsidRPr="00E51051" w:rsidRDefault="00BE39AA" w:rsidP="00187482">
      <w:pPr>
        <w:tabs>
          <w:tab w:val="left" w:pos="567"/>
        </w:tabs>
        <w:autoSpaceDE w:val="0"/>
        <w:autoSpaceDN w:val="0"/>
        <w:adjustRightInd w:val="0"/>
        <w:jc w:val="both"/>
        <w:rPr>
          <w:sz w:val="22"/>
          <w:szCs w:val="22"/>
          <w:lang w:val="sr-Latn-RS"/>
        </w:rPr>
      </w:pPr>
    </w:p>
    <w:p w14:paraId="537B74FE" w14:textId="6FADDEAE" w:rsidR="00BE39AA" w:rsidRPr="00E51051" w:rsidRDefault="00BE39AA" w:rsidP="00187482">
      <w:pPr>
        <w:tabs>
          <w:tab w:val="left" w:pos="567"/>
        </w:tabs>
        <w:autoSpaceDE w:val="0"/>
        <w:autoSpaceDN w:val="0"/>
        <w:adjustRightInd w:val="0"/>
        <w:jc w:val="both"/>
        <w:rPr>
          <w:sz w:val="22"/>
          <w:szCs w:val="22"/>
          <w:lang w:val="sr-Latn-RS"/>
        </w:rPr>
      </w:pPr>
      <w:r w:rsidRPr="00E51051">
        <w:rPr>
          <w:bCs/>
          <w:sz w:val="22"/>
          <w:szCs w:val="22"/>
          <w:lang w:val="sr-Latn-RS"/>
        </w:rPr>
        <w:t>Lijek ZERBAXA je proc</w:t>
      </w:r>
      <w:r w:rsidR="00B15B7D" w:rsidRPr="00E51051">
        <w:rPr>
          <w:bCs/>
          <w:sz w:val="22"/>
          <w:szCs w:val="22"/>
          <w:lang w:val="sr-Latn-RS"/>
        </w:rPr>
        <w:t>i</w:t>
      </w:r>
      <w:r w:rsidRPr="00E51051">
        <w:rPr>
          <w:bCs/>
          <w:sz w:val="22"/>
          <w:szCs w:val="22"/>
          <w:lang w:val="sr-Latn-RS"/>
        </w:rPr>
        <w:t xml:space="preserve">jenjen u fazi 3 kliničkih ispitivanja kontrolisanih komparatorom </w:t>
      </w:r>
      <w:r w:rsidRPr="00E51051">
        <w:rPr>
          <w:sz w:val="22"/>
          <w:szCs w:val="22"/>
          <w:lang w:val="sr-Latn-RS"/>
        </w:rPr>
        <w:t>kod bolnički stečene pneumonije kod odraslih pacijenata, uključujući i pneumoniju povezanu sa mehaničkom ventilacijom.</w:t>
      </w:r>
    </w:p>
    <w:p w14:paraId="424414B5" w14:textId="77777777" w:rsidR="00BE39AA" w:rsidRPr="00E51051" w:rsidRDefault="00BE39AA" w:rsidP="00187482">
      <w:pPr>
        <w:tabs>
          <w:tab w:val="left" w:pos="567"/>
        </w:tabs>
        <w:autoSpaceDE w:val="0"/>
        <w:autoSpaceDN w:val="0"/>
        <w:adjustRightInd w:val="0"/>
        <w:jc w:val="both"/>
        <w:rPr>
          <w:sz w:val="22"/>
          <w:szCs w:val="22"/>
          <w:lang w:val="sr-Latn-RS"/>
        </w:rPr>
      </w:pPr>
    </w:p>
    <w:p w14:paraId="48DB34D3" w14:textId="1612039D" w:rsidR="00BE39AA" w:rsidRPr="00E51051" w:rsidRDefault="00BE39AA" w:rsidP="00187482">
      <w:pPr>
        <w:tabs>
          <w:tab w:val="left" w:pos="567"/>
        </w:tabs>
        <w:autoSpaceDE w:val="0"/>
        <w:autoSpaceDN w:val="0"/>
        <w:adjustRightInd w:val="0"/>
        <w:jc w:val="both"/>
        <w:rPr>
          <w:sz w:val="22"/>
          <w:szCs w:val="22"/>
          <w:lang w:val="sr-Latn-RS"/>
        </w:rPr>
      </w:pPr>
      <w:r w:rsidRPr="00E51051">
        <w:rPr>
          <w:sz w:val="22"/>
          <w:szCs w:val="22"/>
          <w:lang w:val="sr-Latn-RS"/>
        </w:rPr>
        <w:t>Najčešće neželjene reakcije (≥ 5% u kliničkom ispitivanju faze 3 kod bolnički stečene pneumonije, uključujući i pneumoniju povezanu sa mehaničkom ventilacijom) koje su se javile kod pacijenata koji su primali lijek ZERBAXA su bile dijareja, povišena vr</w:t>
      </w:r>
      <w:r w:rsidR="00B15B7D" w:rsidRPr="00E51051">
        <w:rPr>
          <w:sz w:val="22"/>
          <w:szCs w:val="22"/>
          <w:lang w:val="sr-Latn-RS"/>
        </w:rPr>
        <w:t>ij</w:t>
      </w:r>
      <w:r w:rsidRPr="00E51051">
        <w:rPr>
          <w:sz w:val="22"/>
          <w:szCs w:val="22"/>
          <w:lang w:val="sr-Latn-RS"/>
        </w:rPr>
        <w:t>ednost alanin aminotransferaze i povišena vr</w:t>
      </w:r>
      <w:r w:rsidR="00B15B7D" w:rsidRPr="00E51051">
        <w:rPr>
          <w:sz w:val="22"/>
          <w:szCs w:val="22"/>
          <w:lang w:val="sr-Latn-RS"/>
        </w:rPr>
        <w:t>ij</w:t>
      </w:r>
      <w:r w:rsidRPr="00E51051">
        <w:rPr>
          <w:sz w:val="22"/>
          <w:szCs w:val="22"/>
          <w:lang w:val="sr-Latn-RS"/>
        </w:rPr>
        <w:t>ednost aspartat aminotransferaze, a obično su bile blage ili um</w:t>
      </w:r>
      <w:r w:rsidR="00B15B7D" w:rsidRPr="00E51051">
        <w:rPr>
          <w:sz w:val="22"/>
          <w:szCs w:val="22"/>
          <w:lang w:val="sr-Latn-RS"/>
        </w:rPr>
        <w:t>j</w:t>
      </w:r>
      <w:r w:rsidRPr="00E51051">
        <w:rPr>
          <w:sz w:val="22"/>
          <w:szCs w:val="22"/>
          <w:lang w:val="sr-Latn-RS"/>
        </w:rPr>
        <w:t>ereno teške.</w:t>
      </w:r>
    </w:p>
    <w:p w14:paraId="1C867106" w14:textId="77777777" w:rsidR="00BE39AA" w:rsidRPr="00E51051" w:rsidRDefault="00BE39AA" w:rsidP="00187482">
      <w:pPr>
        <w:tabs>
          <w:tab w:val="left" w:pos="567"/>
        </w:tabs>
        <w:autoSpaceDE w:val="0"/>
        <w:autoSpaceDN w:val="0"/>
        <w:adjustRightInd w:val="0"/>
        <w:jc w:val="both"/>
        <w:rPr>
          <w:sz w:val="22"/>
          <w:szCs w:val="22"/>
          <w:lang w:val="sr-Latn-RS"/>
        </w:rPr>
      </w:pPr>
    </w:p>
    <w:p w14:paraId="6CAABC02" w14:textId="0796C11C" w:rsidR="00BE39AA" w:rsidRPr="00E51051" w:rsidRDefault="00BE39AA" w:rsidP="00187482">
      <w:pPr>
        <w:keepNext/>
        <w:tabs>
          <w:tab w:val="left" w:pos="567"/>
        </w:tabs>
        <w:autoSpaceDE w:val="0"/>
        <w:autoSpaceDN w:val="0"/>
        <w:adjustRightInd w:val="0"/>
        <w:jc w:val="both"/>
        <w:rPr>
          <w:sz w:val="22"/>
          <w:szCs w:val="22"/>
          <w:u w:val="single"/>
          <w:lang w:val="sr-Latn-RS"/>
        </w:rPr>
      </w:pPr>
      <w:r w:rsidRPr="00E51051">
        <w:rPr>
          <w:sz w:val="22"/>
          <w:szCs w:val="22"/>
          <w:u w:val="single"/>
          <w:lang w:val="sr-Latn-RS"/>
        </w:rPr>
        <w:t>Tabelarni prikaz neželjenih reakcija</w:t>
      </w:r>
    </w:p>
    <w:p w14:paraId="3D7B0D10" w14:textId="7DE0F478" w:rsidR="00BE39AA" w:rsidRPr="00E51051" w:rsidRDefault="00BE39AA" w:rsidP="00187482">
      <w:pPr>
        <w:keepNext/>
        <w:tabs>
          <w:tab w:val="left" w:pos="567"/>
        </w:tabs>
        <w:autoSpaceDE w:val="0"/>
        <w:autoSpaceDN w:val="0"/>
        <w:adjustRightInd w:val="0"/>
        <w:jc w:val="both"/>
        <w:rPr>
          <w:sz w:val="22"/>
          <w:szCs w:val="22"/>
          <w:u w:val="single"/>
          <w:lang w:val="sr-Latn-RS"/>
        </w:rPr>
      </w:pPr>
    </w:p>
    <w:p w14:paraId="5B8A22E5" w14:textId="1B7C9C9D" w:rsidR="0083202B" w:rsidRPr="00E51051" w:rsidRDefault="0083202B" w:rsidP="00187482">
      <w:pPr>
        <w:autoSpaceDE w:val="0"/>
        <w:autoSpaceDN w:val="0"/>
        <w:adjustRightInd w:val="0"/>
        <w:jc w:val="both"/>
        <w:rPr>
          <w:sz w:val="22"/>
          <w:szCs w:val="22"/>
          <w:lang w:val="sr-Latn-RS"/>
        </w:rPr>
      </w:pPr>
      <w:r w:rsidRPr="00E51051">
        <w:rPr>
          <w:rFonts w:eastAsia="SimSun"/>
          <w:sz w:val="22"/>
          <w:szCs w:val="22"/>
          <w:lang w:val="sr-Latn-RS"/>
        </w:rPr>
        <w:t xml:space="preserve">Tokom kliničkih ispitivanja sa lijekom ZERBAXA kod odraslih identifikovane su sljedeće neželjene reakcije. Neželjene reakcije su klasifikovane prema MedDRA klasi sistema organa i učestalosti. Kategorije učestalosti su određene prema sljedećoj konvenciji: često (≥ 1/100 do &lt; 1/10), povremeno (≥ 1/1,000 do &lt; 1/100) </w:t>
      </w:r>
      <w:r w:rsidRPr="00E51051">
        <w:rPr>
          <w:sz w:val="22"/>
          <w:szCs w:val="22"/>
          <w:lang w:val="sr-Latn-RS"/>
        </w:rPr>
        <w:t>(vidjeti tabelu 4).</w:t>
      </w:r>
    </w:p>
    <w:p w14:paraId="2FFE2C1C" w14:textId="77777777" w:rsidR="00FE576B" w:rsidRPr="00E51051" w:rsidRDefault="00FE576B" w:rsidP="00187482">
      <w:pPr>
        <w:keepNext/>
        <w:tabs>
          <w:tab w:val="left" w:pos="567"/>
        </w:tabs>
        <w:autoSpaceDE w:val="0"/>
        <w:autoSpaceDN w:val="0"/>
        <w:adjustRightInd w:val="0"/>
        <w:jc w:val="both"/>
        <w:rPr>
          <w:sz w:val="22"/>
          <w:szCs w:val="22"/>
          <w:u w:val="single"/>
          <w:lang w:val="sr-Latn-RS"/>
        </w:rPr>
      </w:pPr>
    </w:p>
    <w:p w14:paraId="16A8CCE9" w14:textId="4C056F97" w:rsidR="00BE39AA" w:rsidRPr="00E51051" w:rsidRDefault="00BE39AA" w:rsidP="00187482">
      <w:pPr>
        <w:keepNext/>
        <w:tabs>
          <w:tab w:val="left" w:pos="567"/>
        </w:tabs>
        <w:autoSpaceDE w:val="0"/>
        <w:autoSpaceDN w:val="0"/>
        <w:adjustRightInd w:val="0"/>
        <w:jc w:val="both"/>
        <w:rPr>
          <w:b/>
          <w:bCs/>
          <w:sz w:val="22"/>
          <w:szCs w:val="22"/>
          <w:lang w:val="sr-Latn-RS"/>
        </w:rPr>
      </w:pPr>
      <w:r w:rsidRPr="00E51051">
        <w:rPr>
          <w:b/>
          <w:bCs/>
          <w:sz w:val="22"/>
          <w:szCs w:val="22"/>
          <w:lang w:val="sr-Latn-RS"/>
        </w:rPr>
        <w:t xml:space="preserve">Tabela 4: Neželjene reakcije identifikovane tokom kliničkih ispitivanja kod odraslih sa ceftolozanom/tazobaktamom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547"/>
        <w:gridCol w:w="2815"/>
        <w:gridCol w:w="2701"/>
      </w:tblGrid>
      <w:tr w:rsidR="00BE39AA" w:rsidRPr="00E51051" w14:paraId="1EE17F32" w14:textId="77777777" w:rsidTr="004A38AE">
        <w:trPr>
          <w:cantSplit/>
          <w:tblHeader/>
        </w:trPr>
        <w:tc>
          <w:tcPr>
            <w:tcW w:w="1957" w:type="pct"/>
            <w:vAlign w:val="center"/>
          </w:tcPr>
          <w:p w14:paraId="64C9B83F" w14:textId="77777777" w:rsidR="00BE39AA" w:rsidRPr="00E51051" w:rsidRDefault="00BE39AA" w:rsidP="004A38AE">
            <w:pPr>
              <w:autoSpaceDE w:val="0"/>
              <w:autoSpaceDN w:val="0"/>
              <w:adjustRightInd w:val="0"/>
              <w:rPr>
                <w:rFonts w:eastAsia="SimSun"/>
                <w:b/>
                <w:sz w:val="22"/>
                <w:szCs w:val="22"/>
                <w:lang w:val="sr-Latn-RS"/>
              </w:rPr>
            </w:pPr>
            <w:r w:rsidRPr="00E51051">
              <w:rPr>
                <w:rFonts w:eastAsia="SimSun"/>
                <w:b/>
                <w:sz w:val="22"/>
                <w:szCs w:val="22"/>
                <w:lang w:val="sr-Latn-RS"/>
              </w:rPr>
              <w:t>Klasa sistema organa</w:t>
            </w:r>
          </w:p>
        </w:tc>
        <w:tc>
          <w:tcPr>
            <w:tcW w:w="1553" w:type="pct"/>
            <w:vAlign w:val="center"/>
          </w:tcPr>
          <w:p w14:paraId="29AE2C2B" w14:textId="77777777" w:rsidR="00BE39AA" w:rsidRPr="00E51051" w:rsidRDefault="00BE39AA" w:rsidP="004A38AE">
            <w:pPr>
              <w:autoSpaceDE w:val="0"/>
              <w:autoSpaceDN w:val="0"/>
              <w:adjustRightInd w:val="0"/>
              <w:rPr>
                <w:rFonts w:eastAsia="SimSun"/>
                <w:b/>
                <w:sz w:val="22"/>
                <w:szCs w:val="22"/>
                <w:lang w:val="sr-Latn-RS"/>
              </w:rPr>
            </w:pPr>
            <w:r w:rsidRPr="00E51051">
              <w:rPr>
                <w:rFonts w:eastAsia="SimSun"/>
                <w:b/>
                <w:sz w:val="22"/>
                <w:szCs w:val="22"/>
                <w:lang w:val="sr-Latn-RS"/>
              </w:rPr>
              <w:t>Često</w:t>
            </w:r>
          </w:p>
          <w:p w14:paraId="19E13AF3" w14:textId="77777777" w:rsidR="00BE39AA" w:rsidRPr="00E51051" w:rsidRDefault="00BE39AA" w:rsidP="004A38AE">
            <w:pPr>
              <w:autoSpaceDE w:val="0"/>
              <w:autoSpaceDN w:val="0"/>
              <w:adjustRightInd w:val="0"/>
              <w:rPr>
                <w:rFonts w:eastAsia="SimSun"/>
                <w:b/>
                <w:sz w:val="22"/>
                <w:szCs w:val="22"/>
                <w:lang w:val="sr-Latn-RS"/>
              </w:rPr>
            </w:pPr>
            <w:r w:rsidRPr="00E51051">
              <w:rPr>
                <w:rFonts w:eastAsia="SimSun"/>
                <w:b/>
                <w:sz w:val="22"/>
                <w:szCs w:val="22"/>
                <w:lang w:val="sr-Latn-RS"/>
              </w:rPr>
              <w:t xml:space="preserve">(≥ 1/100 do &lt; 1/10) </w:t>
            </w:r>
          </w:p>
        </w:tc>
        <w:tc>
          <w:tcPr>
            <w:tcW w:w="1490" w:type="pct"/>
            <w:vAlign w:val="center"/>
          </w:tcPr>
          <w:p w14:paraId="709F4122" w14:textId="77777777" w:rsidR="00BE39AA" w:rsidRPr="00E51051" w:rsidRDefault="00BE39AA" w:rsidP="004A38AE">
            <w:pPr>
              <w:autoSpaceDE w:val="0"/>
              <w:autoSpaceDN w:val="0"/>
              <w:adjustRightInd w:val="0"/>
              <w:rPr>
                <w:rFonts w:eastAsia="SimSun"/>
                <w:b/>
                <w:sz w:val="22"/>
                <w:szCs w:val="22"/>
                <w:lang w:val="sr-Latn-RS"/>
              </w:rPr>
            </w:pPr>
            <w:r w:rsidRPr="00E51051">
              <w:rPr>
                <w:rFonts w:eastAsia="SimSun"/>
                <w:b/>
                <w:sz w:val="22"/>
                <w:szCs w:val="22"/>
                <w:lang w:val="sr-Latn-RS"/>
              </w:rPr>
              <w:t>Povremeno</w:t>
            </w:r>
          </w:p>
          <w:p w14:paraId="2892B2C9" w14:textId="77777777" w:rsidR="00BE39AA" w:rsidRPr="00E51051" w:rsidRDefault="00BE39AA" w:rsidP="004A38AE">
            <w:pPr>
              <w:autoSpaceDE w:val="0"/>
              <w:autoSpaceDN w:val="0"/>
              <w:adjustRightInd w:val="0"/>
              <w:rPr>
                <w:rFonts w:eastAsia="SimSun"/>
                <w:b/>
                <w:sz w:val="22"/>
                <w:szCs w:val="22"/>
                <w:lang w:val="sr-Latn-RS"/>
              </w:rPr>
            </w:pPr>
            <w:r w:rsidRPr="00E51051">
              <w:rPr>
                <w:rFonts w:eastAsia="SimSun"/>
                <w:b/>
                <w:sz w:val="22"/>
                <w:szCs w:val="22"/>
                <w:lang w:val="sr-Latn-RS"/>
              </w:rPr>
              <w:t xml:space="preserve">(≥ 1/1000 do &lt; 1/100) </w:t>
            </w:r>
          </w:p>
        </w:tc>
      </w:tr>
      <w:tr w:rsidR="00BE39AA" w:rsidRPr="00E51051" w14:paraId="358054AB" w14:textId="77777777" w:rsidTr="004A38AE">
        <w:trPr>
          <w:cantSplit/>
        </w:trPr>
        <w:tc>
          <w:tcPr>
            <w:tcW w:w="1957" w:type="pct"/>
            <w:vAlign w:val="center"/>
          </w:tcPr>
          <w:p w14:paraId="4BD96127"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Infekcije i infestacije</w:t>
            </w:r>
          </w:p>
        </w:tc>
        <w:tc>
          <w:tcPr>
            <w:tcW w:w="1553" w:type="pct"/>
            <w:vAlign w:val="center"/>
          </w:tcPr>
          <w:p w14:paraId="6D70F3A6"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 xml:space="preserve">kolitis uzrokovan bakterijom </w:t>
            </w:r>
            <w:r w:rsidRPr="00E51051">
              <w:rPr>
                <w:rFonts w:eastAsia="SimSun"/>
                <w:i/>
                <w:sz w:val="22"/>
                <w:szCs w:val="22"/>
                <w:lang w:val="sr-Latn-RS"/>
              </w:rPr>
              <w:t>Clostridioides difficile</w:t>
            </w:r>
            <w:r w:rsidRPr="00E51051">
              <w:rPr>
                <w:rFonts w:eastAsia="SimSun"/>
                <w:sz w:val="22"/>
                <w:szCs w:val="22"/>
                <w:vertAlign w:val="superscript"/>
                <w:lang w:val="sr-Latn-RS"/>
              </w:rPr>
              <w:t>2</w:t>
            </w:r>
          </w:p>
        </w:tc>
        <w:tc>
          <w:tcPr>
            <w:tcW w:w="1490" w:type="pct"/>
            <w:vAlign w:val="center"/>
          </w:tcPr>
          <w:p w14:paraId="21402962"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kandidijaza uključujući orofaringealnu i vulvovaginalnu kandidijazu</w:t>
            </w:r>
            <w:r w:rsidRPr="00E51051">
              <w:rPr>
                <w:rFonts w:eastAsia="SimSun"/>
                <w:sz w:val="22"/>
                <w:szCs w:val="22"/>
                <w:vertAlign w:val="superscript"/>
                <w:lang w:val="sr-Latn-RS"/>
              </w:rPr>
              <w:t>1</w:t>
            </w:r>
            <w:r w:rsidRPr="00E51051">
              <w:rPr>
                <w:rFonts w:eastAsia="SimSun"/>
                <w:sz w:val="22"/>
                <w:szCs w:val="22"/>
                <w:lang w:val="sr-Latn-RS"/>
              </w:rPr>
              <w:t xml:space="preserve">, kolitis uzrokovan bakterijom </w:t>
            </w:r>
            <w:r w:rsidRPr="00E51051">
              <w:rPr>
                <w:rFonts w:eastAsia="SimSun"/>
                <w:i/>
                <w:sz w:val="22"/>
                <w:szCs w:val="22"/>
                <w:lang w:val="sr-Latn-RS"/>
              </w:rPr>
              <w:t>Clostridioides difficile</w:t>
            </w:r>
            <w:r w:rsidRPr="00E51051">
              <w:rPr>
                <w:rFonts w:eastAsia="SimSun"/>
                <w:sz w:val="22"/>
                <w:szCs w:val="22"/>
                <w:vertAlign w:val="superscript"/>
                <w:lang w:val="sr-Latn-RS"/>
              </w:rPr>
              <w:t>1</w:t>
            </w:r>
            <w:r w:rsidRPr="00E51051">
              <w:rPr>
                <w:rFonts w:eastAsia="SimSun"/>
                <w:sz w:val="22"/>
                <w:szCs w:val="22"/>
                <w:lang w:val="sr-Latn-RS"/>
              </w:rPr>
              <w:t>, gljivične infekcije urinarnog trakta</w:t>
            </w:r>
            <w:r w:rsidRPr="00E51051">
              <w:rPr>
                <w:rFonts w:eastAsia="SimSun"/>
                <w:sz w:val="22"/>
                <w:szCs w:val="22"/>
                <w:vertAlign w:val="superscript"/>
                <w:lang w:val="sr-Latn-RS"/>
              </w:rPr>
              <w:t>1</w:t>
            </w:r>
            <w:r w:rsidRPr="00E51051">
              <w:rPr>
                <w:rFonts w:eastAsia="SimSun"/>
                <w:sz w:val="22"/>
                <w:szCs w:val="22"/>
                <w:lang w:val="sr-Latn-RS"/>
              </w:rPr>
              <w:t xml:space="preserve">, infekcije uzrokovane bakterijom </w:t>
            </w:r>
            <w:r w:rsidRPr="00E51051">
              <w:rPr>
                <w:rFonts w:eastAsia="SimSun"/>
                <w:i/>
                <w:sz w:val="22"/>
                <w:szCs w:val="22"/>
                <w:lang w:val="sr-Latn-RS"/>
              </w:rPr>
              <w:t>Clostridioides difficile</w:t>
            </w:r>
            <w:r w:rsidRPr="00E51051">
              <w:rPr>
                <w:rFonts w:eastAsia="SimSun"/>
                <w:sz w:val="22"/>
                <w:szCs w:val="22"/>
                <w:vertAlign w:val="superscript"/>
                <w:lang w:val="sr-Latn-RS"/>
              </w:rPr>
              <w:t>2</w:t>
            </w:r>
          </w:p>
        </w:tc>
      </w:tr>
      <w:tr w:rsidR="00BE39AA" w:rsidRPr="00E51051" w14:paraId="311C8905" w14:textId="77777777" w:rsidTr="004A38AE">
        <w:trPr>
          <w:cantSplit/>
        </w:trPr>
        <w:tc>
          <w:tcPr>
            <w:tcW w:w="1957" w:type="pct"/>
            <w:vAlign w:val="center"/>
          </w:tcPr>
          <w:p w14:paraId="173CE337"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 xml:space="preserve">Poremećaji krvi i limfnog sistema </w:t>
            </w:r>
          </w:p>
        </w:tc>
        <w:tc>
          <w:tcPr>
            <w:tcW w:w="1553" w:type="pct"/>
            <w:vAlign w:val="center"/>
          </w:tcPr>
          <w:p w14:paraId="15E56636"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trombocitoza</w:t>
            </w:r>
            <w:r w:rsidRPr="00E51051">
              <w:rPr>
                <w:rFonts w:eastAsia="SimSun"/>
                <w:sz w:val="22"/>
                <w:szCs w:val="22"/>
                <w:vertAlign w:val="superscript"/>
                <w:lang w:val="sr-Latn-RS"/>
              </w:rPr>
              <w:t>1</w:t>
            </w:r>
            <w:r w:rsidRPr="00E51051">
              <w:rPr>
                <w:rFonts w:eastAsia="SimSun"/>
                <w:sz w:val="22"/>
                <w:szCs w:val="22"/>
                <w:lang w:val="sr-Latn-RS"/>
              </w:rPr>
              <w:t xml:space="preserve"> </w:t>
            </w:r>
          </w:p>
        </w:tc>
        <w:tc>
          <w:tcPr>
            <w:tcW w:w="1490" w:type="pct"/>
            <w:vAlign w:val="center"/>
          </w:tcPr>
          <w:p w14:paraId="1C8EE60F"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anemija</w:t>
            </w:r>
            <w:r w:rsidRPr="00E51051">
              <w:rPr>
                <w:rFonts w:eastAsia="SimSun"/>
                <w:sz w:val="22"/>
                <w:szCs w:val="22"/>
                <w:vertAlign w:val="superscript"/>
                <w:lang w:val="sr-Latn-RS"/>
              </w:rPr>
              <w:t>1</w:t>
            </w:r>
          </w:p>
        </w:tc>
      </w:tr>
      <w:tr w:rsidR="00BE39AA" w:rsidRPr="00E51051" w14:paraId="4873C70A" w14:textId="77777777" w:rsidTr="004A38AE">
        <w:trPr>
          <w:cantSplit/>
        </w:trPr>
        <w:tc>
          <w:tcPr>
            <w:tcW w:w="1957" w:type="pct"/>
            <w:vAlign w:val="center"/>
          </w:tcPr>
          <w:p w14:paraId="2EC147CE"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Poremećaji metabolizma i ishrane</w:t>
            </w:r>
          </w:p>
        </w:tc>
        <w:tc>
          <w:tcPr>
            <w:tcW w:w="1553" w:type="pct"/>
            <w:vAlign w:val="center"/>
          </w:tcPr>
          <w:p w14:paraId="47EC6C26"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hipokalemija</w:t>
            </w:r>
            <w:r w:rsidRPr="00E51051">
              <w:rPr>
                <w:rFonts w:eastAsia="SimSun"/>
                <w:sz w:val="22"/>
                <w:szCs w:val="22"/>
                <w:vertAlign w:val="superscript"/>
                <w:lang w:val="sr-Latn-RS"/>
              </w:rPr>
              <w:t>1</w:t>
            </w:r>
            <w:r w:rsidRPr="00E51051">
              <w:rPr>
                <w:rFonts w:eastAsia="SimSun"/>
                <w:sz w:val="22"/>
                <w:szCs w:val="22"/>
                <w:lang w:val="sr-Latn-RS"/>
              </w:rPr>
              <w:t xml:space="preserve"> </w:t>
            </w:r>
          </w:p>
        </w:tc>
        <w:tc>
          <w:tcPr>
            <w:tcW w:w="1490" w:type="pct"/>
            <w:vAlign w:val="center"/>
          </w:tcPr>
          <w:p w14:paraId="53FDBE20"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hiperglikemija</w:t>
            </w:r>
            <w:r w:rsidRPr="00E51051">
              <w:rPr>
                <w:rFonts w:eastAsia="SimSun"/>
                <w:sz w:val="22"/>
                <w:szCs w:val="22"/>
                <w:vertAlign w:val="superscript"/>
                <w:lang w:val="sr-Latn-RS"/>
              </w:rPr>
              <w:t>1</w:t>
            </w:r>
            <w:r w:rsidRPr="00E51051">
              <w:rPr>
                <w:rFonts w:eastAsia="SimSun"/>
                <w:sz w:val="22"/>
                <w:szCs w:val="22"/>
                <w:lang w:val="sr-Latn-RS"/>
              </w:rPr>
              <w:t>, hipomagnezemija</w:t>
            </w:r>
            <w:r w:rsidRPr="00E51051">
              <w:rPr>
                <w:rFonts w:eastAsia="SimSun"/>
                <w:sz w:val="22"/>
                <w:szCs w:val="22"/>
                <w:vertAlign w:val="superscript"/>
                <w:lang w:val="sr-Latn-RS"/>
              </w:rPr>
              <w:t>1</w:t>
            </w:r>
            <w:r w:rsidRPr="00E51051">
              <w:rPr>
                <w:rFonts w:eastAsia="SimSun"/>
                <w:sz w:val="22"/>
                <w:szCs w:val="22"/>
                <w:lang w:val="sr-Latn-RS"/>
              </w:rPr>
              <w:t>, hipofosfatemija</w:t>
            </w:r>
            <w:r w:rsidRPr="00E51051">
              <w:rPr>
                <w:rFonts w:eastAsia="SimSun"/>
                <w:sz w:val="22"/>
                <w:szCs w:val="22"/>
                <w:vertAlign w:val="superscript"/>
                <w:lang w:val="sr-Latn-RS"/>
              </w:rPr>
              <w:t>1</w:t>
            </w:r>
          </w:p>
        </w:tc>
      </w:tr>
      <w:tr w:rsidR="00BE39AA" w:rsidRPr="00E51051" w14:paraId="2A55C3A4" w14:textId="77777777" w:rsidTr="004A38AE">
        <w:trPr>
          <w:cantSplit/>
        </w:trPr>
        <w:tc>
          <w:tcPr>
            <w:tcW w:w="1957" w:type="pct"/>
            <w:vAlign w:val="center"/>
          </w:tcPr>
          <w:p w14:paraId="1CA79650"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Psihijatrijski poremećaji</w:t>
            </w:r>
          </w:p>
        </w:tc>
        <w:tc>
          <w:tcPr>
            <w:tcW w:w="1553" w:type="pct"/>
            <w:vAlign w:val="center"/>
          </w:tcPr>
          <w:p w14:paraId="643E4012"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nesanica</w:t>
            </w:r>
            <w:r w:rsidRPr="00E51051">
              <w:rPr>
                <w:rFonts w:eastAsia="SimSun"/>
                <w:sz w:val="22"/>
                <w:szCs w:val="22"/>
                <w:vertAlign w:val="superscript"/>
                <w:lang w:val="sr-Latn-RS"/>
              </w:rPr>
              <w:t>1</w:t>
            </w:r>
            <w:r w:rsidRPr="00E51051">
              <w:rPr>
                <w:rFonts w:eastAsia="SimSun"/>
                <w:sz w:val="22"/>
                <w:szCs w:val="22"/>
                <w:lang w:val="sr-Latn-RS"/>
              </w:rPr>
              <w:t>, anksioznost</w:t>
            </w:r>
            <w:r w:rsidRPr="00E51051">
              <w:rPr>
                <w:rFonts w:eastAsia="SimSun"/>
                <w:sz w:val="22"/>
                <w:szCs w:val="22"/>
                <w:vertAlign w:val="superscript"/>
                <w:lang w:val="sr-Latn-RS"/>
              </w:rPr>
              <w:t>1</w:t>
            </w:r>
            <w:r w:rsidRPr="00E51051">
              <w:rPr>
                <w:rFonts w:eastAsia="SimSun"/>
                <w:sz w:val="22"/>
                <w:szCs w:val="22"/>
                <w:lang w:val="sr-Latn-RS"/>
              </w:rPr>
              <w:t xml:space="preserve"> </w:t>
            </w:r>
          </w:p>
        </w:tc>
        <w:tc>
          <w:tcPr>
            <w:tcW w:w="1490" w:type="pct"/>
            <w:vAlign w:val="center"/>
          </w:tcPr>
          <w:p w14:paraId="432CD78B" w14:textId="77777777" w:rsidR="00BE39AA" w:rsidRPr="00E51051" w:rsidRDefault="00BE39AA" w:rsidP="004A38AE">
            <w:pPr>
              <w:autoSpaceDE w:val="0"/>
              <w:autoSpaceDN w:val="0"/>
              <w:adjustRightInd w:val="0"/>
              <w:rPr>
                <w:rFonts w:eastAsia="SimSun"/>
                <w:sz w:val="22"/>
                <w:szCs w:val="22"/>
                <w:lang w:val="sr-Latn-RS"/>
              </w:rPr>
            </w:pPr>
          </w:p>
        </w:tc>
      </w:tr>
      <w:tr w:rsidR="00BE39AA" w:rsidRPr="00E51051" w14:paraId="225F57DE" w14:textId="77777777" w:rsidTr="004A38AE">
        <w:trPr>
          <w:cantSplit/>
        </w:trPr>
        <w:tc>
          <w:tcPr>
            <w:tcW w:w="1957" w:type="pct"/>
            <w:vAlign w:val="center"/>
          </w:tcPr>
          <w:p w14:paraId="373F43BE"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Poremećaji nervnog sistema</w:t>
            </w:r>
          </w:p>
        </w:tc>
        <w:tc>
          <w:tcPr>
            <w:tcW w:w="1553" w:type="pct"/>
            <w:vAlign w:val="center"/>
          </w:tcPr>
          <w:p w14:paraId="1116AFB6"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glavobolja</w:t>
            </w:r>
            <w:r w:rsidRPr="00E51051">
              <w:rPr>
                <w:rFonts w:eastAsia="SimSun"/>
                <w:sz w:val="22"/>
                <w:szCs w:val="22"/>
                <w:vertAlign w:val="superscript"/>
                <w:lang w:val="sr-Latn-RS"/>
              </w:rPr>
              <w:t>1</w:t>
            </w:r>
            <w:r w:rsidRPr="00E51051">
              <w:rPr>
                <w:rFonts w:eastAsia="SimSun"/>
                <w:sz w:val="22"/>
                <w:szCs w:val="22"/>
                <w:lang w:val="sr-Latn-RS"/>
              </w:rPr>
              <w:t>, vrtoglavica</w:t>
            </w:r>
            <w:r w:rsidRPr="00E51051">
              <w:rPr>
                <w:rFonts w:eastAsia="SimSun"/>
                <w:sz w:val="22"/>
                <w:szCs w:val="22"/>
                <w:vertAlign w:val="superscript"/>
                <w:lang w:val="sr-Latn-RS"/>
              </w:rPr>
              <w:t>1</w:t>
            </w:r>
            <w:r w:rsidRPr="00E51051">
              <w:rPr>
                <w:rFonts w:eastAsia="SimSun"/>
                <w:sz w:val="22"/>
                <w:szCs w:val="22"/>
                <w:lang w:val="sr-Latn-RS"/>
              </w:rPr>
              <w:t xml:space="preserve"> </w:t>
            </w:r>
          </w:p>
        </w:tc>
        <w:tc>
          <w:tcPr>
            <w:tcW w:w="1490" w:type="pct"/>
            <w:vAlign w:val="center"/>
          </w:tcPr>
          <w:p w14:paraId="2E5F8ADF"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ishemijski moždani udar</w:t>
            </w:r>
            <w:r w:rsidRPr="00E51051">
              <w:rPr>
                <w:rFonts w:eastAsia="SimSun"/>
                <w:sz w:val="22"/>
                <w:szCs w:val="22"/>
                <w:vertAlign w:val="superscript"/>
                <w:lang w:val="sr-Latn-RS"/>
              </w:rPr>
              <w:t>1</w:t>
            </w:r>
          </w:p>
        </w:tc>
      </w:tr>
      <w:tr w:rsidR="00BE39AA" w:rsidRPr="00E51051" w14:paraId="1D30BAE1" w14:textId="77777777" w:rsidTr="004A38AE">
        <w:trPr>
          <w:cantSplit/>
        </w:trPr>
        <w:tc>
          <w:tcPr>
            <w:tcW w:w="1957" w:type="pct"/>
            <w:vAlign w:val="center"/>
          </w:tcPr>
          <w:p w14:paraId="3EBAA4BC"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Kardiološki poremećaji</w:t>
            </w:r>
          </w:p>
        </w:tc>
        <w:tc>
          <w:tcPr>
            <w:tcW w:w="1553" w:type="pct"/>
            <w:vAlign w:val="center"/>
          </w:tcPr>
          <w:p w14:paraId="194E85E8" w14:textId="77777777" w:rsidR="00BE39AA" w:rsidRPr="00E51051" w:rsidRDefault="00BE39AA" w:rsidP="004A38AE">
            <w:pPr>
              <w:autoSpaceDE w:val="0"/>
              <w:autoSpaceDN w:val="0"/>
              <w:adjustRightInd w:val="0"/>
              <w:rPr>
                <w:rFonts w:eastAsia="SimSun"/>
                <w:sz w:val="22"/>
                <w:szCs w:val="22"/>
                <w:lang w:val="sr-Latn-RS"/>
              </w:rPr>
            </w:pPr>
          </w:p>
        </w:tc>
        <w:tc>
          <w:tcPr>
            <w:tcW w:w="1490" w:type="pct"/>
            <w:vAlign w:val="center"/>
          </w:tcPr>
          <w:p w14:paraId="7473E54D"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atrijalna fibrilacija</w:t>
            </w:r>
            <w:r w:rsidRPr="00E51051">
              <w:rPr>
                <w:rFonts w:eastAsia="SimSun"/>
                <w:sz w:val="22"/>
                <w:szCs w:val="22"/>
                <w:vertAlign w:val="superscript"/>
                <w:lang w:val="sr-Latn-RS"/>
              </w:rPr>
              <w:t>1</w:t>
            </w:r>
            <w:r w:rsidRPr="00E51051">
              <w:rPr>
                <w:rFonts w:eastAsia="SimSun"/>
                <w:sz w:val="22"/>
                <w:szCs w:val="22"/>
                <w:lang w:val="sr-Latn-RS"/>
              </w:rPr>
              <w:t>, tahikardija</w:t>
            </w:r>
            <w:r w:rsidRPr="00E51051">
              <w:rPr>
                <w:rFonts w:eastAsia="SimSun"/>
                <w:sz w:val="22"/>
                <w:szCs w:val="22"/>
                <w:vertAlign w:val="superscript"/>
                <w:lang w:val="sr-Latn-RS"/>
              </w:rPr>
              <w:t>1</w:t>
            </w:r>
            <w:r w:rsidRPr="00E51051">
              <w:rPr>
                <w:rFonts w:eastAsia="SimSun"/>
                <w:sz w:val="22"/>
                <w:szCs w:val="22"/>
                <w:lang w:val="sr-Latn-RS"/>
              </w:rPr>
              <w:t>, angina pektoris</w:t>
            </w:r>
            <w:r w:rsidRPr="00E51051">
              <w:rPr>
                <w:rFonts w:eastAsia="SimSun"/>
                <w:sz w:val="22"/>
                <w:szCs w:val="22"/>
                <w:vertAlign w:val="superscript"/>
                <w:lang w:val="sr-Latn-RS"/>
              </w:rPr>
              <w:t>1</w:t>
            </w:r>
          </w:p>
        </w:tc>
      </w:tr>
      <w:tr w:rsidR="00BE39AA" w:rsidRPr="00E51051" w14:paraId="2D5AEBE8" w14:textId="77777777" w:rsidTr="004A38AE">
        <w:trPr>
          <w:cantSplit/>
        </w:trPr>
        <w:tc>
          <w:tcPr>
            <w:tcW w:w="1957" w:type="pct"/>
            <w:vAlign w:val="center"/>
          </w:tcPr>
          <w:p w14:paraId="717DFF9C"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Vaskularni poremećaji</w:t>
            </w:r>
          </w:p>
        </w:tc>
        <w:tc>
          <w:tcPr>
            <w:tcW w:w="1553" w:type="pct"/>
            <w:vAlign w:val="center"/>
          </w:tcPr>
          <w:p w14:paraId="09C3F484"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hipotenzija</w:t>
            </w:r>
            <w:r w:rsidRPr="00E51051">
              <w:rPr>
                <w:rFonts w:eastAsia="SimSun"/>
                <w:sz w:val="22"/>
                <w:szCs w:val="22"/>
                <w:vertAlign w:val="superscript"/>
                <w:lang w:val="sr-Latn-RS"/>
              </w:rPr>
              <w:t>1</w:t>
            </w:r>
            <w:r w:rsidRPr="00E51051">
              <w:rPr>
                <w:rFonts w:eastAsia="SimSun"/>
                <w:sz w:val="22"/>
                <w:szCs w:val="22"/>
                <w:lang w:val="sr-Latn-RS"/>
              </w:rPr>
              <w:t xml:space="preserve"> </w:t>
            </w:r>
          </w:p>
        </w:tc>
        <w:tc>
          <w:tcPr>
            <w:tcW w:w="1490" w:type="pct"/>
            <w:vAlign w:val="center"/>
          </w:tcPr>
          <w:p w14:paraId="3D8834B5"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flebitis</w:t>
            </w:r>
            <w:r w:rsidRPr="00E51051">
              <w:rPr>
                <w:rFonts w:eastAsia="SimSun"/>
                <w:sz w:val="22"/>
                <w:szCs w:val="22"/>
                <w:vertAlign w:val="superscript"/>
                <w:lang w:val="sr-Latn-RS"/>
              </w:rPr>
              <w:t>1</w:t>
            </w:r>
            <w:r w:rsidRPr="00E51051">
              <w:rPr>
                <w:rFonts w:eastAsia="SimSun"/>
                <w:sz w:val="22"/>
                <w:szCs w:val="22"/>
                <w:lang w:val="sr-Latn-RS"/>
              </w:rPr>
              <w:t>, venska tromboza</w:t>
            </w:r>
            <w:r w:rsidRPr="00E51051">
              <w:rPr>
                <w:rFonts w:eastAsia="SimSun"/>
                <w:sz w:val="22"/>
                <w:szCs w:val="22"/>
                <w:vertAlign w:val="superscript"/>
                <w:lang w:val="sr-Latn-RS"/>
              </w:rPr>
              <w:t>1</w:t>
            </w:r>
          </w:p>
        </w:tc>
      </w:tr>
      <w:tr w:rsidR="00BE39AA" w:rsidRPr="00E51051" w14:paraId="67AC0F45" w14:textId="77777777" w:rsidTr="004A38AE">
        <w:trPr>
          <w:cantSplit/>
        </w:trPr>
        <w:tc>
          <w:tcPr>
            <w:tcW w:w="1957" w:type="pct"/>
            <w:vAlign w:val="center"/>
          </w:tcPr>
          <w:p w14:paraId="1418E931"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 xml:space="preserve">Respiratorni, torakalni i medijastinalni poremećaji </w:t>
            </w:r>
          </w:p>
        </w:tc>
        <w:tc>
          <w:tcPr>
            <w:tcW w:w="1553" w:type="pct"/>
            <w:vAlign w:val="center"/>
          </w:tcPr>
          <w:p w14:paraId="1AB6C256" w14:textId="77777777" w:rsidR="00BE39AA" w:rsidRPr="00E51051" w:rsidRDefault="00BE39AA" w:rsidP="004A38AE">
            <w:pPr>
              <w:autoSpaceDE w:val="0"/>
              <w:autoSpaceDN w:val="0"/>
              <w:adjustRightInd w:val="0"/>
              <w:rPr>
                <w:rFonts w:eastAsia="SimSun"/>
                <w:sz w:val="22"/>
                <w:szCs w:val="22"/>
                <w:lang w:val="sr-Latn-RS"/>
              </w:rPr>
            </w:pPr>
          </w:p>
        </w:tc>
        <w:tc>
          <w:tcPr>
            <w:tcW w:w="1490" w:type="pct"/>
            <w:vAlign w:val="center"/>
          </w:tcPr>
          <w:p w14:paraId="704A264B"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dispnea</w:t>
            </w:r>
            <w:r w:rsidRPr="00E51051">
              <w:rPr>
                <w:rFonts w:eastAsia="SimSun"/>
                <w:sz w:val="22"/>
                <w:szCs w:val="22"/>
                <w:vertAlign w:val="superscript"/>
                <w:lang w:val="sr-Latn-RS"/>
              </w:rPr>
              <w:t>1</w:t>
            </w:r>
          </w:p>
        </w:tc>
      </w:tr>
      <w:tr w:rsidR="00BE39AA" w:rsidRPr="00E51051" w14:paraId="44E874D0" w14:textId="77777777" w:rsidTr="004A38AE">
        <w:trPr>
          <w:cantSplit/>
        </w:trPr>
        <w:tc>
          <w:tcPr>
            <w:tcW w:w="1957" w:type="pct"/>
            <w:vAlign w:val="center"/>
          </w:tcPr>
          <w:p w14:paraId="4ED2A601"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Gastrointestinalni poremećaji</w:t>
            </w:r>
          </w:p>
        </w:tc>
        <w:tc>
          <w:tcPr>
            <w:tcW w:w="1553" w:type="pct"/>
            <w:vAlign w:val="center"/>
          </w:tcPr>
          <w:p w14:paraId="02374956"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mučnina</w:t>
            </w:r>
            <w:r w:rsidRPr="00E51051">
              <w:rPr>
                <w:rFonts w:eastAsia="SimSun"/>
                <w:sz w:val="22"/>
                <w:szCs w:val="22"/>
                <w:vertAlign w:val="superscript"/>
                <w:lang w:val="sr-Latn-RS"/>
              </w:rPr>
              <w:t>1</w:t>
            </w:r>
            <w:r w:rsidRPr="00E51051">
              <w:rPr>
                <w:rFonts w:eastAsia="SimSun"/>
                <w:sz w:val="22"/>
                <w:szCs w:val="22"/>
                <w:lang w:val="sr-Latn-RS"/>
              </w:rPr>
              <w:t>, dijareja</w:t>
            </w:r>
            <w:r w:rsidRPr="00E51051">
              <w:rPr>
                <w:rFonts w:eastAsia="SimSun"/>
                <w:sz w:val="22"/>
                <w:szCs w:val="22"/>
                <w:vertAlign w:val="superscript"/>
                <w:lang w:val="sr-Latn-RS"/>
              </w:rPr>
              <w:t>3</w:t>
            </w:r>
            <w:r w:rsidRPr="00E51051">
              <w:rPr>
                <w:rFonts w:eastAsia="SimSun"/>
                <w:sz w:val="22"/>
                <w:szCs w:val="22"/>
                <w:lang w:val="sr-Latn-RS"/>
              </w:rPr>
              <w:t>, konstipacija</w:t>
            </w:r>
            <w:r w:rsidRPr="00E51051">
              <w:rPr>
                <w:rFonts w:eastAsia="SimSun"/>
                <w:sz w:val="22"/>
                <w:szCs w:val="22"/>
                <w:vertAlign w:val="superscript"/>
                <w:lang w:val="sr-Latn-RS"/>
              </w:rPr>
              <w:t>1</w:t>
            </w:r>
            <w:r w:rsidRPr="00E51051">
              <w:rPr>
                <w:rFonts w:eastAsia="SimSun"/>
                <w:sz w:val="22"/>
                <w:szCs w:val="22"/>
                <w:lang w:val="sr-Latn-RS"/>
              </w:rPr>
              <w:t>, povraćanje</w:t>
            </w:r>
            <w:r w:rsidRPr="00E51051">
              <w:rPr>
                <w:rFonts w:eastAsia="SimSun"/>
                <w:sz w:val="22"/>
                <w:szCs w:val="22"/>
                <w:vertAlign w:val="superscript"/>
                <w:lang w:val="sr-Latn-RS"/>
              </w:rPr>
              <w:t>3</w:t>
            </w:r>
            <w:r w:rsidRPr="00E51051">
              <w:rPr>
                <w:rFonts w:eastAsia="SimSun"/>
                <w:sz w:val="22"/>
                <w:szCs w:val="22"/>
                <w:lang w:val="sr-Latn-RS"/>
              </w:rPr>
              <w:t>, bol u abdomenu</w:t>
            </w:r>
            <w:r w:rsidRPr="00E51051">
              <w:rPr>
                <w:rFonts w:eastAsia="SimSun"/>
                <w:sz w:val="22"/>
                <w:szCs w:val="22"/>
                <w:vertAlign w:val="superscript"/>
                <w:lang w:val="sr-Latn-RS"/>
              </w:rPr>
              <w:t>1</w:t>
            </w:r>
          </w:p>
        </w:tc>
        <w:tc>
          <w:tcPr>
            <w:tcW w:w="1490" w:type="pct"/>
            <w:vAlign w:val="center"/>
          </w:tcPr>
          <w:p w14:paraId="1E051AF9"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gastritis</w:t>
            </w:r>
            <w:r w:rsidRPr="00E51051">
              <w:rPr>
                <w:rFonts w:eastAsia="SimSun"/>
                <w:sz w:val="22"/>
                <w:szCs w:val="22"/>
                <w:vertAlign w:val="superscript"/>
                <w:lang w:val="sr-Latn-RS"/>
              </w:rPr>
              <w:t>1</w:t>
            </w:r>
            <w:r w:rsidRPr="00E51051">
              <w:rPr>
                <w:rFonts w:eastAsia="SimSun"/>
                <w:sz w:val="22"/>
                <w:szCs w:val="22"/>
                <w:lang w:val="sr-Latn-RS"/>
              </w:rPr>
              <w:t>, distenzija abdomena</w:t>
            </w:r>
            <w:r w:rsidRPr="00E51051">
              <w:rPr>
                <w:rFonts w:eastAsia="SimSun"/>
                <w:sz w:val="22"/>
                <w:szCs w:val="22"/>
                <w:vertAlign w:val="superscript"/>
                <w:lang w:val="sr-Latn-RS"/>
              </w:rPr>
              <w:t>1</w:t>
            </w:r>
            <w:r w:rsidRPr="00E51051">
              <w:rPr>
                <w:rFonts w:eastAsia="SimSun"/>
                <w:sz w:val="22"/>
                <w:szCs w:val="22"/>
                <w:lang w:val="sr-Latn-RS"/>
              </w:rPr>
              <w:t>, dispepsija</w:t>
            </w:r>
            <w:r w:rsidRPr="00E51051">
              <w:rPr>
                <w:rFonts w:eastAsia="SimSun"/>
                <w:sz w:val="22"/>
                <w:szCs w:val="22"/>
                <w:vertAlign w:val="superscript"/>
                <w:lang w:val="sr-Latn-RS"/>
              </w:rPr>
              <w:t>1</w:t>
            </w:r>
            <w:r w:rsidRPr="00E51051">
              <w:rPr>
                <w:rFonts w:eastAsia="SimSun"/>
                <w:sz w:val="22"/>
                <w:szCs w:val="22"/>
                <w:lang w:val="sr-Latn-RS"/>
              </w:rPr>
              <w:t>, flatulencija</w:t>
            </w:r>
            <w:r w:rsidRPr="00E51051">
              <w:rPr>
                <w:rFonts w:eastAsia="SimSun"/>
                <w:sz w:val="22"/>
                <w:szCs w:val="22"/>
                <w:vertAlign w:val="superscript"/>
                <w:lang w:val="sr-Latn-RS"/>
              </w:rPr>
              <w:t>1</w:t>
            </w:r>
            <w:r w:rsidRPr="00E51051">
              <w:rPr>
                <w:rFonts w:eastAsia="SimSun"/>
                <w:sz w:val="22"/>
                <w:szCs w:val="22"/>
                <w:lang w:val="sr-Latn-RS"/>
              </w:rPr>
              <w:t>, paralitički ileus</w:t>
            </w:r>
            <w:r w:rsidRPr="00E51051">
              <w:rPr>
                <w:rFonts w:eastAsia="SimSun"/>
                <w:sz w:val="22"/>
                <w:szCs w:val="22"/>
                <w:vertAlign w:val="superscript"/>
                <w:lang w:val="sr-Latn-RS"/>
              </w:rPr>
              <w:t>1</w:t>
            </w:r>
          </w:p>
        </w:tc>
      </w:tr>
      <w:tr w:rsidR="00BE39AA" w:rsidRPr="00E51051" w14:paraId="18074F89" w14:textId="77777777" w:rsidTr="004A38AE">
        <w:trPr>
          <w:cantSplit/>
        </w:trPr>
        <w:tc>
          <w:tcPr>
            <w:tcW w:w="1957" w:type="pct"/>
            <w:vAlign w:val="center"/>
          </w:tcPr>
          <w:p w14:paraId="24D61C71"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Poremećaji kože i potkožnog tkiva</w:t>
            </w:r>
          </w:p>
        </w:tc>
        <w:tc>
          <w:tcPr>
            <w:tcW w:w="1553" w:type="pct"/>
            <w:vAlign w:val="center"/>
          </w:tcPr>
          <w:p w14:paraId="450DDC77"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osip</w:t>
            </w:r>
            <w:r w:rsidRPr="00E51051">
              <w:rPr>
                <w:rFonts w:eastAsia="SimSun"/>
                <w:sz w:val="22"/>
                <w:szCs w:val="22"/>
                <w:vertAlign w:val="superscript"/>
                <w:lang w:val="sr-Latn-RS"/>
              </w:rPr>
              <w:t>1</w:t>
            </w:r>
          </w:p>
        </w:tc>
        <w:tc>
          <w:tcPr>
            <w:tcW w:w="1490" w:type="pct"/>
            <w:vAlign w:val="center"/>
          </w:tcPr>
          <w:p w14:paraId="3FCF8AA9"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urtikarija</w:t>
            </w:r>
            <w:r w:rsidRPr="00E51051">
              <w:rPr>
                <w:rFonts w:eastAsia="SimSun"/>
                <w:sz w:val="22"/>
                <w:szCs w:val="22"/>
                <w:vertAlign w:val="superscript"/>
                <w:lang w:val="sr-Latn-RS"/>
              </w:rPr>
              <w:t>1</w:t>
            </w:r>
          </w:p>
        </w:tc>
      </w:tr>
      <w:tr w:rsidR="00BE39AA" w:rsidRPr="00E51051" w14:paraId="6F336007" w14:textId="77777777" w:rsidTr="004A38AE">
        <w:trPr>
          <w:cantSplit/>
        </w:trPr>
        <w:tc>
          <w:tcPr>
            <w:tcW w:w="1957" w:type="pct"/>
            <w:vAlign w:val="center"/>
          </w:tcPr>
          <w:p w14:paraId="6B8301F3"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Poremećaji bubrega i urinarnog sistema</w:t>
            </w:r>
          </w:p>
        </w:tc>
        <w:tc>
          <w:tcPr>
            <w:tcW w:w="1553" w:type="pct"/>
            <w:vAlign w:val="center"/>
          </w:tcPr>
          <w:p w14:paraId="1BEEB68C" w14:textId="77777777" w:rsidR="00BE39AA" w:rsidRPr="00E51051" w:rsidRDefault="00BE39AA" w:rsidP="004A38AE">
            <w:pPr>
              <w:autoSpaceDE w:val="0"/>
              <w:autoSpaceDN w:val="0"/>
              <w:adjustRightInd w:val="0"/>
              <w:rPr>
                <w:rFonts w:eastAsia="SimSun"/>
                <w:sz w:val="22"/>
                <w:szCs w:val="22"/>
                <w:lang w:val="sr-Latn-RS"/>
              </w:rPr>
            </w:pPr>
          </w:p>
        </w:tc>
        <w:tc>
          <w:tcPr>
            <w:tcW w:w="1490" w:type="pct"/>
            <w:vAlign w:val="center"/>
          </w:tcPr>
          <w:p w14:paraId="2FDDE8A9"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oštećenje funkcije bubrega</w:t>
            </w:r>
            <w:r w:rsidRPr="00E51051">
              <w:rPr>
                <w:rFonts w:eastAsia="SimSun"/>
                <w:sz w:val="22"/>
                <w:szCs w:val="22"/>
                <w:vertAlign w:val="superscript"/>
                <w:lang w:val="sr-Latn-RS"/>
              </w:rPr>
              <w:t>1</w:t>
            </w:r>
            <w:r w:rsidRPr="00E51051">
              <w:rPr>
                <w:rFonts w:eastAsia="SimSun"/>
                <w:sz w:val="22"/>
                <w:szCs w:val="22"/>
                <w:lang w:val="sr-Latn-RS"/>
              </w:rPr>
              <w:t>, insuficijencija bubrega</w:t>
            </w:r>
            <w:r w:rsidRPr="00E51051">
              <w:rPr>
                <w:rFonts w:eastAsia="SimSun"/>
                <w:sz w:val="22"/>
                <w:szCs w:val="22"/>
                <w:vertAlign w:val="superscript"/>
                <w:lang w:val="sr-Latn-RS"/>
              </w:rPr>
              <w:t>1</w:t>
            </w:r>
          </w:p>
        </w:tc>
      </w:tr>
      <w:tr w:rsidR="00BE39AA" w:rsidRPr="00E51051" w14:paraId="1D7A7D26" w14:textId="77777777" w:rsidTr="004A38AE">
        <w:trPr>
          <w:cantSplit/>
        </w:trPr>
        <w:tc>
          <w:tcPr>
            <w:tcW w:w="1957" w:type="pct"/>
            <w:vAlign w:val="center"/>
          </w:tcPr>
          <w:p w14:paraId="20F7D512" w14:textId="77ACB05C"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Opšti poremećaji i reakcije na mjestu prim</w:t>
            </w:r>
            <w:r w:rsidR="00B15B7D" w:rsidRPr="00E51051">
              <w:rPr>
                <w:rFonts w:eastAsia="SimSun"/>
                <w:sz w:val="22"/>
                <w:szCs w:val="22"/>
                <w:lang w:val="sr-Latn-RS"/>
              </w:rPr>
              <w:t>j</w:t>
            </w:r>
            <w:r w:rsidRPr="00E51051">
              <w:rPr>
                <w:rFonts w:eastAsia="SimSun"/>
                <w:sz w:val="22"/>
                <w:szCs w:val="22"/>
                <w:lang w:val="sr-Latn-RS"/>
              </w:rPr>
              <w:t>ene</w:t>
            </w:r>
          </w:p>
        </w:tc>
        <w:tc>
          <w:tcPr>
            <w:tcW w:w="1553" w:type="pct"/>
            <w:vAlign w:val="center"/>
          </w:tcPr>
          <w:p w14:paraId="5EB5D600" w14:textId="75291770"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pireksija</w:t>
            </w:r>
            <w:r w:rsidRPr="00E51051">
              <w:rPr>
                <w:rFonts w:eastAsia="SimSun"/>
                <w:sz w:val="22"/>
                <w:szCs w:val="22"/>
                <w:vertAlign w:val="superscript"/>
                <w:lang w:val="sr-Latn-RS"/>
              </w:rPr>
              <w:t>1</w:t>
            </w:r>
            <w:r w:rsidRPr="00E51051">
              <w:rPr>
                <w:rFonts w:eastAsia="SimSun"/>
                <w:sz w:val="22"/>
                <w:szCs w:val="22"/>
                <w:lang w:val="sr-Latn-RS"/>
              </w:rPr>
              <w:t>, reakcije na m</w:t>
            </w:r>
            <w:r w:rsidR="00EE3B71" w:rsidRPr="00E51051">
              <w:rPr>
                <w:rFonts w:eastAsia="SimSun"/>
                <w:sz w:val="22"/>
                <w:szCs w:val="22"/>
                <w:lang w:val="sr-Latn-RS"/>
              </w:rPr>
              <w:t>j</w:t>
            </w:r>
            <w:r w:rsidRPr="00E51051">
              <w:rPr>
                <w:rFonts w:eastAsia="SimSun"/>
                <w:sz w:val="22"/>
                <w:szCs w:val="22"/>
                <w:lang w:val="sr-Latn-RS"/>
              </w:rPr>
              <w:t>estu primjene infuzije</w:t>
            </w:r>
            <w:r w:rsidRPr="00E51051">
              <w:rPr>
                <w:rFonts w:eastAsia="SimSun"/>
                <w:sz w:val="22"/>
                <w:szCs w:val="22"/>
                <w:vertAlign w:val="superscript"/>
                <w:lang w:val="sr-Latn-RS"/>
              </w:rPr>
              <w:t>1</w:t>
            </w:r>
          </w:p>
        </w:tc>
        <w:tc>
          <w:tcPr>
            <w:tcW w:w="1490" w:type="pct"/>
            <w:vAlign w:val="center"/>
          </w:tcPr>
          <w:p w14:paraId="00DF9C44" w14:textId="77777777" w:rsidR="00BE39AA" w:rsidRPr="00E51051" w:rsidRDefault="00BE39AA" w:rsidP="004A38AE">
            <w:pPr>
              <w:autoSpaceDE w:val="0"/>
              <w:autoSpaceDN w:val="0"/>
              <w:adjustRightInd w:val="0"/>
              <w:rPr>
                <w:rFonts w:eastAsia="SimSun"/>
                <w:sz w:val="22"/>
                <w:szCs w:val="22"/>
                <w:lang w:val="sr-Latn-RS"/>
              </w:rPr>
            </w:pPr>
          </w:p>
        </w:tc>
      </w:tr>
      <w:tr w:rsidR="00BE39AA" w:rsidRPr="00E51051" w14:paraId="612E8B50" w14:textId="77777777" w:rsidTr="004A38AE">
        <w:trPr>
          <w:cantSplit/>
        </w:trPr>
        <w:tc>
          <w:tcPr>
            <w:tcW w:w="1957" w:type="pct"/>
            <w:vAlign w:val="center"/>
          </w:tcPr>
          <w:p w14:paraId="7F1FE73B" w14:textId="77777777"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lastRenderedPageBreak/>
              <w:t>Ispitivanja</w:t>
            </w:r>
          </w:p>
        </w:tc>
        <w:tc>
          <w:tcPr>
            <w:tcW w:w="1553" w:type="pct"/>
            <w:vAlign w:val="center"/>
          </w:tcPr>
          <w:p w14:paraId="05F6B245" w14:textId="334B878D"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povećane vrijednosti alanin aminotransferaze</w:t>
            </w:r>
            <w:r w:rsidRPr="00E51051">
              <w:rPr>
                <w:rFonts w:eastAsia="SimSun"/>
                <w:sz w:val="22"/>
                <w:szCs w:val="22"/>
                <w:vertAlign w:val="superscript"/>
                <w:lang w:val="sr-Latn-RS"/>
              </w:rPr>
              <w:t>3</w:t>
            </w:r>
            <w:r w:rsidRPr="00E51051">
              <w:rPr>
                <w:rFonts w:eastAsia="SimSun"/>
                <w:sz w:val="22"/>
                <w:szCs w:val="22"/>
                <w:lang w:val="sr-Latn-RS"/>
              </w:rPr>
              <w:t>, povećane vrijednosti aspartat aminotransferaze</w:t>
            </w:r>
            <w:r w:rsidRPr="00E51051">
              <w:rPr>
                <w:rFonts w:eastAsia="SimSun"/>
                <w:sz w:val="22"/>
                <w:szCs w:val="22"/>
                <w:vertAlign w:val="superscript"/>
                <w:lang w:val="sr-Latn-RS"/>
              </w:rPr>
              <w:t>3</w:t>
            </w:r>
            <w:r w:rsidRPr="00E51051">
              <w:rPr>
                <w:rFonts w:eastAsia="SimSun"/>
                <w:sz w:val="22"/>
                <w:szCs w:val="22"/>
                <w:lang w:val="sr-Latn-RS"/>
              </w:rPr>
              <w:t>, povećane vrijednosti transaminaza</w:t>
            </w:r>
            <w:r w:rsidRPr="00E51051">
              <w:rPr>
                <w:rFonts w:eastAsia="SimSun"/>
                <w:sz w:val="22"/>
                <w:szCs w:val="22"/>
                <w:vertAlign w:val="superscript"/>
                <w:lang w:val="sr-Latn-RS"/>
              </w:rPr>
              <w:t>2</w:t>
            </w:r>
            <w:r w:rsidRPr="00E51051">
              <w:rPr>
                <w:rFonts w:eastAsia="SimSun"/>
                <w:sz w:val="22"/>
                <w:szCs w:val="22"/>
                <w:lang w:val="sr-Latn-RS"/>
              </w:rPr>
              <w:t>, odstupanje u rezultatima testova funkcije jetre</w:t>
            </w:r>
            <w:r w:rsidRPr="00E51051">
              <w:rPr>
                <w:rFonts w:eastAsia="SimSun"/>
                <w:sz w:val="22"/>
                <w:szCs w:val="22"/>
                <w:vertAlign w:val="superscript"/>
                <w:lang w:val="sr-Latn-RS"/>
              </w:rPr>
              <w:t>2</w:t>
            </w:r>
            <w:r w:rsidRPr="00E51051">
              <w:rPr>
                <w:rFonts w:eastAsia="SimSun"/>
                <w:sz w:val="22"/>
                <w:szCs w:val="22"/>
                <w:lang w:val="sr-Latn-RS"/>
              </w:rPr>
              <w:t>, povećane vrijednosti alkalne fosfataze u krvi</w:t>
            </w:r>
            <w:r w:rsidRPr="00E51051">
              <w:rPr>
                <w:rFonts w:eastAsia="SimSun"/>
                <w:sz w:val="22"/>
                <w:szCs w:val="22"/>
                <w:vertAlign w:val="superscript"/>
                <w:lang w:val="sr-Latn-RS"/>
              </w:rPr>
              <w:t>2</w:t>
            </w:r>
            <w:r w:rsidRPr="00E51051">
              <w:rPr>
                <w:rFonts w:eastAsia="SimSun"/>
                <w:sz w:val="22"/>
                <w:szCs w:val="22"/>
                <w:lang w:val="sr-Latn-RS"/>
              </w:rPr>
              <w:t>, povećane vrijednosti gama-glutamiltransferaze</w:t>
            </w:r>
            <w:r w:rsidRPr="00E51051">
              <w:rPr>
                <w:rFonts w:eastAsia="SimSun"/>
                <w:sz w:val="22"/>
                <w:szCs w:val="22"/>
                <w:vertAlign w:val="superscript"/>
                <w:lang w:val="sr-Latn-RS"/>
              </w:rPr>
              <w:t>2</w:t>
            </w:r>
          </w:p>
        </w:tc>
        <w:tc>
          <w:tcPr>
            <w:tcW w:w="1490" w:type="pct"/>
            <w:vAlign w:val="center"/>
          </w:tcPr>
          <w:p w14:paraId="6421A541" w14:textId="2E8279BB" w:rsidR="00BE39AA" w:rsidRPr="00E51051" w:rsidRDefault="00BE39AA" w:rsidP="004A38AE">
            <w:pPr>
              <w:autoSpaceDE w:val="0"/>
              <w:autoSpaceDN w:val="0"/>
              <w:adjustRightInd w:val="0"/>
              <w:rPr>
                <w:rFonts w:eastAsia="SimSun"/>
                <w:sz w:val="22"/>
                <w:szCs w:val="22"/>
                <w:lang w:val="sr-Latn-RS"/>
              </w:rPr>
            </w:pPr>
            <w:r w:rsidRPr="00E51051">
              <w:rPr>
                <w:rFonts w:eastAsia="SimSun"/>
                <w:sz w:val="22"/>
                <w:szCs w:val="22"/>
                <w:lang w:val="sr-Latn-RS"/>
              </w:rPr>
              <w:t xml:space="preserve">pozitivan rezultat </w:t>
            </w:r>
            <w:r w:rsidRPr="00E51051">
              <w:rPr>
                <w:rFonts w:eastAsia="SimSun"/>
                <w:i/>
                <w:sz w:val="22"/>
                <w:szCs w:val="22"/>
                <w:lang w:val="sr-Latn-RS"/>
              </w:rPr>
              <w:t>Coombs</w:t>
            </w:r>
            <w:r w:rsidRPr="00E51051">
              <w:rPr>
                <w:rFonts w:eastAsia="SimSun"/>
                <w:sz w:val="22"/>
                <w:szCs w:val="22"/>
                <w:lang w:val="sr-Latn-RS"/>
              </w:rPr>
              <w:t>-ovog testa</w:t>
            </w:r>
            <w:r w:rsidRPr="00E51051">
              <w:rPr>
                <w:rFonts w:eastAsia="SimSun"/>
                <w:sz w:val="22"/>
                <w:szCs w:val="22"/>
                <w:vertAlign w:val="superscript"/>
                <w:lang w:val="sr-Latn-RS"/>
              </w:rPr>
              <w:t>3</w:t>
            </w:r>
            <w:r w:rsidRPr="00E51051">
              <w:rPr>
                <w:rFonts w:eastAsia="SimSun"/>
                <w:sz w:val="22"/>
                <w:szCs w:val="22"/>
                <w:lang w:val="sr-Latn-RS"/>
              </w:rPr>
              <w:t>, povećane vrijednosti gama-glutamil transpeptidaze (GGT) u serumu</w:t>
            </w:r>
            <w:r w:rsidRPr="00E51051">
              <w:rPr>
                <w:rFonts w:eastAsia="SimSun"/>
                <w:sz w:val="22"/>
                <w:szCs w:val="22"/>
                <w:vertAlign w:val="superscript"/>
                <w:lang w:val="sr-Latn-RS"/>
              </w:rPr>
              <w:t>1</w:t>
            </w:r>
            <w:r w:rsidRPr="00E51051">
              <w:rPr>
                <w:rFonts w:eastAsia="SimSun"/>
                <w:sz w:val="22"/>
                <w:szCs w:val="22"/>
                <w:lang w:val="sr-Latn-RS"/>
              </w:rPr>
              <w:t>, povećane vrijednosti alkalne fosfataze u serumu</w:t>
            </w:r>
            <w:r w:rsidRPr="00E51051">
              <w:rPr>
                <w:rFonts w:eastAsia="SimSun"/>
                <w:sz w:val="22"/>
                <w:szCs w:val="22"/>
                <w:vertAlign w:val="superscript"/>
                <w:lang w:val="sr-Latn-RS"/>
              </w:rPr>
              <w:t>1</w:t>
            </w:r>
            <w:r w:rsidRPr="00E51051">
              <w:rPr>
                <w:rFonts w:eastAsia="SimSun"/>
                <w:sz w:val="22"/>
                <w:szCs w:val="22"/>
                <w:lang w:val="sr-Latn-RS"/>
              </w:rPr>
              <w:t xml:space="preserve">, pozitivan rezultat testa na bakterije iz roda </w:t>
            </w:r>
            <w:r w:rsidRPr="00E51051">
              <w:rPr>
                <w:rFonts w:eastAsia="SimSun"/>
                <w:i/>
                <w:sz w:val="22"/>
                <w:szCs w:val="22"/>
                <w:lang w:val="sr-Latn-RS"/>
              </w:rPr>
              <w:t>Clostridioides</w:t>
            </w:r>
            <w:r w:rsidRPr="00E51051">
              <w:rPr>
                <w:rFonts w:eastAsia="SimSun"/>
                <w:sz w:val="22"/>
                <w:szCs w:val="22"/>
                <w:vertAlign w:val="superscript"/>
                <w:lang w:val="sr-Latn-RS"/>
              </w:rPr>
              <w:t>2</w:t>
            </w:r>
          </w:p>
          <w:p w14:paraId="79CDA48C" w14:textId="77777777" w:rsidR="00BE39AA" w:rsidRPr="00E51051" w:rsidRDefault="00BE39AA" w:rsidP="004A38AE">
            <w:pPr>
              <w:rPr>
                <w:rFonts w:eastAsia="SimSun"/>
                <w:sz w:val="22"/>
                <w:szCs w:val="22"/>
                <w:lang w:val="sr-Latn-RS"/>
              </w:rPr>
            </w:pPr>
          </w:p>
        </w:tc>
      </w:tr>
    </w:tbl>
    <w:p w14:paraId="0633E1C7" w14:textId="63FD5831" w:rsidR="00BE39AA" w:rsidRPr="00E51051" w:rsidRDefault="00BE39AA" w:rsidP="00187482">
      <w:pPr>
        <w:autoSpaceDE w:val="0"/>
        <w:autoSpaceDN w:val="0"/>
        <w:adjustRightInd w:val="0"/>
        <w:jc w:val="both"/>
        <w:rPr>
          <w:noProof/>
          <w:sz w:val="22"/>
          <w:szCs w:val="22"/>
          <w:lang w:val="sr-Latn-RS"/>
        </w:rPr>
      </w:pPr>
      <w:r w:rsidRPr="00E51051">
        <w:rPr>
          <w:noProof/>
          <w:sz w:val="22"/>
          <w:szCs w:val="22"/>
          <w:vertAlign w:val="superscript"/>
          <w:lang w:val="sr-Latn-RS"/>
        </w:rPr>
        <w:t>1</w:t>
      </w:r>
      <w:r w:rsidRPr="00E51051">
        <w:rPr>
          <w:noProof/>
          <w:sz w:val="22"/>
          <w:szCs w:val="22"/>
          <w:lang w:val="sr-Latn-RS"/>
        </w:rPr>
        <w:t xml:space="preserve"> Specifično za indikacije komplikovanih intraabdominalnih infekcija, akutnog pijelonefritisa i</w:t>
      </w:r>
      <w:r w:rsidR="00EE3B71" w:rsidRPr="00E51051">
        <w:rPr>
          <w:noProof/>
          <w:sz w:val="22"/>
          <w:szCs w:val="22"/>
          <w:lang w:val="sr-Latn-RS"/>
        </w:rPr>
        <w:t xml:space="preserve"> </w:t>
      </w:r>
      <w:r w:rsidRPr="00E51051">
        <w:rPr>
          <w:noProof/>
          <w:sz w:val="22"/>
          <w:szCs w:val="22"/>
          <w:lang w:val="sr-Latn-RS"/>
        </w:rPr>
        <w:t>komplikovanih infekcija mokraćnog sistema liječen</w:t>
      </w:r>
      <w:r w:rsidR="00EE3B71" w:rsidRPr="00E51051">
        <w:rPr>
          <w:noProof/>
          <w:sz w:val="22"/>
          <w:szCs w:val="22"/>
          <w:lang w:val="sr-Latn-RS"/>
        </w:rPr>
        <w:t>ih</w:t>
      </w:r>
      <w:r w:rsidRPr="00E51051">
        <w:rPr>
          <w:noProof/>
          <w:sz w:val="22"/>
          <w:szCs w:val="22"/>
          <w:lang w:val="sr-Latn-RS"/>
        </w:rPr>
        <w:t xml:space="preserve"> lijekom ZERBAXA (</w:t>
      </w:r>
      <w:r w:rsidR="00157168" w:rsidRPr="00E51051">
        <w:rPr>
          <w:noProof/>
          <w:sz w:val="22"/>
          <w:szCs w:val="22"/>
          <w:lang w:val="sr-Latn-RS"/>
        </w:rPr>
        <w:t>1 g + 0,5 g</w:t>
      </w:r>
      <w:r w:rsidRPr="00E51051">
        <w:rPr>
          <w:noProof/>
          <w:sz w:val="22"/>
          <w:szCs w:val="22"/>
          <w:lang w:val="sr-Latn-RS"/>
        </w:rPr>
        <w:t xml:space="preserve"> intravenski svakih 8 sati) do 14 dana.</w:t>
      </w:r>
    </w:p>
    <w:p w14:paraId="0F6946AB" w14:textId="4AF627F2" w:rsidR="00BE39AA" w:rsidRPr="00E51051" w:rsidRDefault="00BE39AA" w:rsidP="00187482">
      <w:pPr>
        <w:autoSpaceDE w:val="0"/>
        <w:autoSpaceDN w:val="0"/>
        <w:adjustRightInd w:val="0"/>
        <w:jc w:val="both"/>
        <w:rPr>
          <w:noProof/>
          <w:sz w:val="22"/>
          <w:szCs w:val="22"/>
          <w:lang w:val="sr-Latn-RS"/>
        </w:rPr>
      </w:pPr>
      <w:r w:rsidRPr="00E51051">
        <w:rPr>
          <w:noProof/>
          <w:sz w:val="22"/>
          <w:szCs w:val="22"/>
          <w:vertAlign w:val="superscript"/>
          <w:lang w:val="sr-Latn-RS"/>
        </w:rPr>
        <w:t>2</w:t>
      </w:r>
      <w:r w:rsidRPr="00E51051">
        <w:rPr>
          <w:noProof/>
          <w:sz w:val="22"/>
          <w:szCs w:val="22"/>
          <w:lang w:val="sr-Latn-RS"/>
        </w:rPr>
        <w:t xml:space="preserve"> Specifično za indikaciju bolnički stečene pneumonije, uključujući pneumoniju povezanu sa mehaničkom ventilacijom liječenu lijekom ZERBAXA (2 g/1 g intravenski svakih 8 sati) do 14 dana.</w:t>
      </w:r>
    </w:p>
    <w:p w14:paraId="54C8CA83" w14:textId="60674F58" w:rsidR="00BE39AA" w:rsidRPr="00E51051" w:rsidRDefault="00BE39AA" w:rsidP="00187482">
      <w:pPr>
        <w:autoSpaceDE w:val="0"/>
        <w:autoSpaceDN w:val="0"/>
        <w:adjustRightInd w:val="0"/>
        <w:jc w:val="both"/>
        <w:rPr>
          <w:noProof/>
          <w:sz w:val="22"/>
          <w:szCs w:val="22"/>
          <w:lang w:val="sr-Latn-RS"/>
        </w:rPr>
      </w:pPr>
      <w:r w:rsidRPr="00E51051">
        <w:rPr>
          <w:noProof/>
          <w:sz w:val="22"/>
          <w:szCs w:val="22"/>
          <w:vertAlign w:val="superscript"/>
          <w:lang w:val="sr-Latn-RS"/>
        </w:rPr>
        <w:t>3</w:t>
      </w:r>
      <w:r w:rsidRPr="00E51051">
        <w:rPr>
          <w:noProof/>
          <w:sz w:val="22"/>
          <w:szCs w:val="22"/>
          <w:lang w:val="sr-Latn-RS"/>
        </w:rPr>
        <w:t xml:space="preserve"> Primjenjivo na sve indikacije: komplikovane intraabdominalne infekcije, akutni pijelonefritis, komplikovane infekcije urinarnog trakta i bolnički stečenu pneumoniju, uključujući pneumoniju povezanu sa mehaničkom ventilacijom.</w:t>
      </w:r>
    </w:p>
    <w:p w14:paraId="782F207C" w14:textId="77777777" w:rsidR="00A30854" w:rsidRPr="00E51051" w:rsidRDefault="00A30854" w:rsidP="00187482">
      <w:pPr>
        <w:autoSpaceDE w:val="0"/>
        <w:autoSpaceDN w:val="0"/>
        <w:adjustRightInd w:val="0"/>
        <w:jc w:val="both"/>
        <w:rPr>
          <w:rFonts w:eastAsia="SimSun"/>
          <w:sz w:val="22"/>
          <w:szCs w:val="22"/>
          <w:lang w:val="sr-Latn-RS"/>
        </w:rPr>
      </w:pPr>
    </w:p>
    <w:p w14:paraId="2967E5E6" w14:textId="77777777" w:rsidR="00A30854" w:rsidRPr="00E51051" w:rsidRDefault="00A30854" w:rsidP="00187482">
      <w:pPr>
        <w:autoSpaceDE w:val="0"/>
        <w:autoSpaceDN w:val="0"/>
        <w:adjustRightInd w:val="0"/>
        <w:jc w:val="both"/>
        <w:rPr>
          <w:noProof/>
          <w:sz w:val="22"/>
          <w:szCs w:val="22"/>
          <w:u w:val="single"/>
          <w:lang w:val="sr-Latn-RS"/>
        </w:rPr>
      </w:pPr>
      <w:r w:rsidRPr="00E51051">
        <w:rPr>
          <w:noProof/>
          <w:sz w:val="22"/>
          <w:szCs w:val="22"/>
          <w:u w:val="single"/>
          <w:lang w:val="sr-Latn-RS"/>
        </w:rPr>
        <w:t>Pedijatrijska populacija</w:t>
      </w:r>
    </w:p>
    <w:p w14:paraId="11EB76DC" w14:textId="77777777" w:rsidR="00A30854" w:rsidRPr="00E51051" w:rsidRDefault="00A30854" w:rsidP="00187482">
      <w:pPr>
        <w:autoSpaceDE w:val="0"/>
        <w:autoSpaceDN w:val="0"/>
        <w:adjustRightInd w:val="0"/>
        <w:jc w:val="both"/>
        <w:rPr>
          <w:noProof/>
          <w:sz w:val="22"/>
          <w:szCs w:val="22"/>
          <w:lang w:val="sr-Latn-RS"/>
        </w:rPr>
      </w:pPr>
    </w:p>
    <w:p w14:paraId="113B8248" w14:textId="0796CA9E" w:rsidR="00A30854" w:rsidRPr="00E51051" w:rsidRDefault="00A30854" w:rsidP="00187482">
      <w:pPr>
        <w:autoSpaceDE w:val="0"/>
        <w:autoSpaceDN w:val="0"/>
        <w:adjustRightInd w:val="0"/>
        <w:jc w:val="both"/>
        <w:rPr>
          <w:noProof/>
          <w:sz w:val="22"/>
          <w:szCs w:val="22"/>
          <w:lang w:val="sr-Latn-RS"/>
        </w:rPr>
      </w:pPr>
      <w:r w:rsidRPr="00E51051">
        <w:rPr>
          <w:noProof/>
          <w:sz w:val="22"/>
          <w:szCs w:val="22"/>
          <w:lang w:val="sr-Latn-RS"/>
        </w:rPr>
        <w:t>Proc</w:t>
      </w:r>
      <w:r w:rsidR="00A06FD9" w:rsidRPr="00E51051">
        <w:rPr>
          <w:noProof/>
          <w:sz w:val="22"/>
          <w:szCs w:val="22"/>
          <w:lang w:val="sr-Latn-RS"/>
        </w:rPr>
        <w:t>j</w:t>
      </w:r>
      <w:r w:rsidRPr="00E51051">
        <w:rPr>
          <w:noProof/>
          <w:sz w:val="22"/>
          <w:szCs w:val="22"/>
          <w:lang w:val="sr-Latn-RS"/>
        </w:rPr>
        <w:t>ena bezbjednosti u pedijatrijskoj populaciji, uzrasta od rođenja do 18. godine, bazirana je na podacima o bezbjednosti iz dvije studije u kojima je 70 pacijenata sa komplikovanim intraabdominalnim infekcijama i 100 pacijenata sa komplikovanim infekcijama urinarnog trakta (uključujući akutni pijelonefritis) primalo lijek ZERBAXA. Bezbjednosni profil kod ovih 170 pacijenata bio je generalno sličan bezbjednosnom profilu uočenom kod odraslih sa komplikovanim intraabdominalnim infekcijama i komplikovanim infekcijama urinarnog trakta (uključujući akutni pijelonefritis). U pedijatrijskoj populaciji uočene su tri dodatne neželjene reakcije: neutropenija, povećanje apetita i disgeuzija (javljanje u svim učestalostima). Najčešće neželjene reakcije (≥ 2% u objedinjenim pedijatrijskim studijama faze 2) koje se javljaju kod pacijenata koji su dobijali lijek ZERBAXA bili su dijareja, povišene vr</w:t>
      </w:r>
      <w:r w:rsidR="00A06FD9" w:rsidRPr="00E51051">
        <w:rPr>
          <w:noProof/>
          <w:sz w:val="22"/>
          <w:szCs w:val="22"/>
          <w:lang w:val="sr-Latn-RS"/>
        </w:rPr>
        <w:t>ij</w:t>
      </w:r>
      <w:r w:rsidRPr="00E51051">
        <w:rPr>
          <w:noProof/>
          <w:sz w:val="22"/>
          <w:szCs w:val="22"/>
          <w:lang w:val="sr-Latn-RS"/>
        </w:rPr>
        <w:t>ednosti alanin aminotransferaze i povišene vrijednosti aspartat aminotransferaze. Podaci o bezbjednosti kod pacijenata mlađih od 3 mjeseca sa komplikovanim intraabdominalnim infekcijama su ograničeni.</w:t>
      </w:r>
    </w:p>
    <w:p w14:paraId="3301CC03" w14:textId="77777777" w:rsidR="00A30854" w:rsidRPr="00E51051" w:rsidRDefault="00A30854" w:rsidP="00187482">
      <w:pPr>
        <w:autoSpaceDE w:val="0"/>
        <w:autoSpaceDN w:val="0"/>
        <w:adjustRightInd w:val="0"/>
        <w:jc w:val="both"/>
        <w:rPr>
          <w:noProof/>
          <w:sz w:val="22"/>
          <w:szCs w:val="22"/>
          <w:lang w:val="sr-Latn-RS"/>
        </w:rPr>
      </w:pPr>
    </w:p>
    <w:p w14:paraId="66FC7058" w14:textId="77777777" w:rsidR="00A30854" w:rsidRPr="00E51051" w:rsidRDefault="00A30854" w:rsidP="00187482">
      <w:pPr>
        <w:autoSpaceDE w:val="0"/>
        <w:autoSpaceDN w:val="0"/>
        <w:adjustRightInd w:val="0"/>
        <w:jc w:val="both"/>
        <w:rPr>
          <w:noProof/>
          <w:sz w:val="22"/>
          <w:szCs w:val="22"/>
          <w:u w:val="single"/>
          <w:lang w:val="sr-Latn-RS"/>
        </w:rPr>
      </w:pPr>
      <w:r w:rsidRPr="00E51051">
        <w:rPr>
          <w:noProof/>
          <w:sz w:val="22"/>
          <w:szCs w:val="22"/>
          <w:u w:val="single"/>
          <w:lang w:val="sr-Latn-RS"/>
        </w:rPr>
        <w:t>Opis odabranih neželjenih reakcija</w:t>
      </w:r>
    </w:p>
    <w:p w14:paraId="7D6ED753" w14:textId="77777777" w:rsidR="00A30854" w:rsidRPr="00E51051" w:rsidRDefault="00A30854" w:rsidP="00187482">
      <w:pPr>
        <w:autoSpaceDE w:val="0"/>
        <w:autoSpaceDN w:val="0"/>
        <w:adjustRightInd w:val="0"/>
        <w:jc w:val="both"/>
        <w:rPr>
          <w:noProof/>
          <w:sz w:val="22"/>
          <w:szCs w:val="22"/>
          <w:lang w:val="sr-Latn-RS"/>
        </w:rPr>
      </w:pPr>
    </w:p>
    <w:p w14:paraId="204798EB" w14:textId="14BD5069" w:rsidR="00A30854" w:rsidRPr="00E51051" w:rsidRDefault="00A30854" w:rsidP="00187482">
      <w:pPr>
        <w:autoSpaceDE w:val="0"/>
        <w:autoSpaceDN w:val="0"/>
        <w:adjustRightInd w:val="0"/>
        <w:jc w:val="both"/>
        <w:rPr>
          <w:i/>
          <w:noProof/>
          <w:sz w:val="22"/>
          <w:szCs w:val="22"/>
          <w:lang w:val="sr-Latn-RS"/>
        </w:rPr>
      </w:pPr>
      <w:r w:rsidRPr="00E51051">
        <w:rPr>
          <w:i/>
          <w:noProof/>
          <w:sz w:val="22"/>
          <w:szCs w:val="22"/>
          <w:lang w:val="sr-Latn-RS"/>
        </w:rPr>
        <w:t>Laboratorijske vr</w:t>
      </w:r>
      <w:r w:rsidR="00EE3B71" w:rsidRPr="00E51051">
        <w:rPr>
          <w:i/>
          <w:noProof/>
          <w:sz w:val="22"/>
          <w:szCs w:val="22"/>
          <w:lang w:val="sr-Latn-RS"/>
        </w:rPr>
        <w:t>ij</w:t>
      </w:r>
      <w:r w:rsidRPr="00E51051">
        <w:rPr>
          <w:i/>
          <w:noProof/>
          <w:sz w:val="22"/>
          <w:szCs w:val="22"/>
          <w:lang w:val="sr-Latn-RS"/>
        </w:rPr>
        <w:t>ednosti</w:t>
      </w:r>
    </w:p>
    <w:p w14:paraId="75C23C52" w14:textId="092D34A8" w:rsidR="00A30854" w:rsidRPr="00E51051" w:rsidRDefault="00A30854" w:rsidP="00187482">
      <w:pPr>
        <w:autoSpaceDE w:val="0"/>
        <w:autoSpaceDN w:val="0"/>
        <w:adjustRightInd w:val="0"/>
        <w:jc w:val="both"/>
        <w:rPr>
          <w:noProof/>
          <w:sz w:val="22"/>
          <w:szCs w:val="22"/>
          <w:lang w:val="sr-Latn-RS"/>
        </w:rPr>
      </w:pPr>
      <w:r w:rsidRPr="00E51051">
        <w:rPr>
          <w:noProof/>
          <w:sz w:val="22"/>
          <w:szCs w:val="22"/>
          <w:lang w:val="sr-Latn-RS"/>
        </w:rPr>
        <w:t xml:space="preserve">Tokom terapije lijekom ZERBAXA mogu se razviti pozitivni rezultati direktnog </w:t>
      </w:r>
      <w:r w:rsidRPr="00E51051">
        <w:rPr>
          <w:i/>
          <w:noProof/>
          <w:sz w:val="22"/>
          <w:szCs w:val="22"/>
          <w:lang w:val="sr-Latn-RS"/>
        </w:rPr>
        <w:t>Coombs</w:t>
      </w:r>
      <w:r w:rsidRPr="00E51051">
        <w:rPr>
          <w:noProof/>
          <w:sz w:val="22"/>
          <w:szCs w:val="22"/>
          <w:lang w:val="sr-Latn-RS"/>
        </w:rPr>
        <w:t xml:space="preserve">-ovog testa. U kliničkim ispitivanjima kod komplikovanih intraabdominalnih infekcija i komplikovanih infekcija urinarnog trakta kod odraslih, incidenca serokonverzije koju pokazuje pozitivni rezultat direktnog </w:t>
      </w:r>
      <w:r w:rsidRPr="00E51051">
        <w:rPr>
          <w:i/>
          <w:noProof/>
          <w:sz w:val="22"/>
          <w:szCs w:val="22"/>
          <w:lang w:val="sr-Latn-RS"/>
        </w:rPr>
        <w:t>Coombs</w:t>
      </w:r>
      <w:r w:rsidRPr="00E51051">
        <w:rPr>
          <w:noProof/>
          <w:sz w:val="22"/>
          <w:szCs w:val="22"/>
          <w:lang w:val="sr-Latn-RS"/>
        </w:rPr>
        <w:t xml:space="preserve">-ovog testa bila je 0,2% kod pacijenata koji su primali lijek ZERBAXA i 0% kod pacijenata koji su primali komparator. Incidenca serokonverzije koju pokazuje pozitivni rezultat direktnog </w:t>
      </w:r>
      <w:r w:rsidRPr="00E51051">
        <w:rPr>
          <w:i/>
          <w:noProof/>
          <w:sz w:val="22"/>
          <w:szCs w:val="22"/>
          <w:lang w:val="sr-Latn-RS"/>
        </w:rPr>
        <w:t>Coombs</w:t>
      </w:r>
      <w:r w:rsidRPr="00E51051">
        <w:rPr>
          <w:noProof/>
          <w:sz w:val="22"/>
          <w:szCs w:val="22"/>
          <w:lang w:val="sr-Latn-RS"/>
        </w:rPr>
        <w:t xml:space="preserve">-ovog testa bila je 31,2% kod pacijenata koji su primali lijek ZERBAXA u kliničkom ispitivanju kod bolnički stečene pneumonije kod odraslih, uključujući pneumoniju povezanu sa mehaničkom ventilacijom i 3,6% kod pacijenata koji su primali meropenem. Incidenca serokonverzije koju pokazuje pozitivni rezultat direktnog </w:t>
      </w:r>
      <w:r w:rsidRPr="00E51051">
        <w:rPr>
          <w:i/>
          <w:iCs/>
          <w:noProof/>
          <w:sz w:val="22"/>
          <w:szCs w:val="22"/>
          <w:lang w:val="sr-Latn-RS"/>
        </w:rPr>
        <w:t>Coombs</w:t>
      </w:r>
      <w:r w:rsidRPr="00E51051">
        <w:rPr>
          <w:noProof/>
          <w:sz w:val="22"/>
          <w:szCs w:val="22"/>
          <w:lang w:val="sr-Latn-RS"/>
        </w:rPr>
        <w:t xml:space="preserve">-ovog testa iznosila je 45,3% kod pacijenata koji su primali lijek ZERBAXA i 33,3% kod pacijenata koji su primali lijek meropenem u kliničkim ispitivanjima kod komplikovane intraabdomilane infekcije u pedijatrijskoj populaciji. Incidenca serokonverzije koju pokazuje pozitivni rezultat direktnog </w:t>
      </w:r>
      <w:r w:rsidRPr="00E51051">
        <w:rPr>
          <w:i/>
          <w:iCs/>
          <w:noProof/>
          <w:sz w:val="22"/>
          <w:szCs w:val="22"/>
          <w:lang w:val="sr-Latn-RS"/>
        </w:rPr>
        <w:t>Coombs</w:t>
      </w:r>
      <w:r w:rsidRPr="00E51051">
        <w:rPr>
          <w:noProof/>
          <w:sz w:val="22"/>
          <w:szCs w:val="22"/>
          <w:lang w:val="sr-Latn-RS"/>
        </w:rPr>
        <w:t xml:space="preserve">-ovog testa iznosila je 29,7% kod pacijenata koji su primali lijek ZERBAXA i 8,7% kod pacijenata koji su primali lijek meropenem u kliničkim ispitivanjima kod komplikovane infekcije urinarnog trakta u pedijatrijskoj populaciji.U kliničkim ispitivanjima ni u jednoj terapijskoj grupi nije bilo dokaza hemolize kod pacijenata kod kojih se razvio pozitivan direktni </w:t>
      </w:r>
      <w:r w:rsidRPr="00E51051">
        <w:rPr>
          <w:i/>
          <w:noProof/>
          <w:sz w:val="22"/>
          <w:szCs w:val="22"/>
          <w:lang w:val="sr-Latn-RS"/>
        </w:rPr>
        <w:t>Coombs</w:t>
      </w:r>
      <w:r w:rsidRPr="00E51051">
        <w:rPr>
          <w:noProof/>
          <w:sz w:val="22"/>
          <w:szCs w:val="22"/>
          <w:lang w:val="sr-Latn-RS"/>
        </w:rPr>
        <w:t xml:space="preserve">-ov test. </w:t>
      </w:r>
    </w:p>
    <w:p w14:paraId="0D709D63" w14:textId="77777777" w:rsidR="004E70AD" w:rsidRPr="00E51051" w:rsidRDefault="004E70AD" w:rsidP="00187482">
      <w:pPr>
        <w:tabs>
          <w:tab w:val="left" w:pos="540"/>
          <w:tab w:val="left" w:pos="569"/>
        </w:tabs>
        <w:jc w:val="both"/>
        <w:rPr>
          <w:b/>
          <w:bCs/>
          <w:sz w:val="22"/>
          <w:szCs w:val="22"/>
          <w:lang w:val="sr-Latn-RS"/>
        </w:rPr>
      </w:pPr>
    </w:p>
    <w:p w14:paraId="3452A76C" w14:textId="77777777" w:rsidR="005A23D2" w:rsidRPr="00E51051" w:rsidRDefault="005A23D2" w:rsidP="00187482">
      <w:pPr>
        <w:spacing w:after="200" w:line="276" w:lineRule="auto"/>
        <w:jc w:val="both"/>
        <w:rPr>
          <w:rFonts w:eastAsia="Calibri"/>
          <w:sz w:val="22"/>
          <w:szCs w:val="22"/>
          <w:u w:val="single"/>
          <w:lang w:val="sr-Latn-RS"/>
        </w:rPr>
      </w:pPr>
      <w:r w:rsidRPr="00E51051">
        <w:rPr>
          <w:rFonts w:eastAsia="Calibri"/>
          <w:sz w:val="22"/>
          <w:szCs w:val="22"/>
          <w:u w:val="single"/>
          <w:lang w:val="sr-Latn-RS"/>
        </w:rPr>
        <w:lastRenderedPageBreak/>
        <w:t>Prijavljivanje sumnji na neželjena dejstva</w:t>
      </w:r>
    </w:p>
    <w:p w14:paraId="61EDA682" w14:textId="77777777" w:rsidR="005A23D2" w:rsidRPr="00E51051" w:rsidRDefault="005A23D2" w:rsidP="002F676D">
      <w:pPr>
        <w:spacing w:after="200"/>
        <w:jc w:val="both"/>
        <w:rPr>
          <w:rFonts w:eastAsia="Calibri"/>
          <w:sz w:val="22"/>
          <w:szCs w:val="22"/>
          <w:lang w:val="sr-Latn-RS"/>
        </w:rPr>
      </w:pPr>
      <w:r w:rsidRPr="00E51051">
        <w:rPr>
          <w:rFonts w:eastAsia="Calibri"/>
          <w:sz w:val="22"/>
          <w:szCs w:val="22"/>
          <w:lang w:val="sr-Latn-RS"/>
        </w:rPr>
        <w:t>Prijavljivanje neželjenih dejstava nakon dobijanja dozvole je od velikog značaja jer obezbjeđuje kont</w:t>
      </w:r>
      <w:r w:rsidR="00EA5765" w:rsidRPr="00E51051">
        <w:rPr>
          <w:rFonts w:eastAsia="Calibri"/>
          <w:sz w:val="22"/>
          <w:szCs w:val="22"/>
          <w:lang w:val="sr-Latn-RS"/>
        </w:rPr>
        <w:t>inuirano praćenje odnosa korist</w:t>
      </w:r>
      <w:r w:rsidRPr="00E51051">
        <w:rPr>
          <w:rFonts w:eastAsia="Calibri"/>
          <w:sz w:val="22"/>
          <w:szCs w:val="22"/>
          <w:lang w:val="sr-Latn-RS"/>
        </w:rPr>
        <w:t>/rizik primjene lijeka. Zdravstveni radnici treba da prijave svaku sumnju na neželjeno</w:t>
      </w:r>
      <w:r w:rsidR="009B062A" w:rsidRPr="00E51051">
        <w:rPr>
          <w:rFonts w:eastAsia="Calibri"/>
          <w:sz w:val="22"/>
          <w:szCs w:val="22"/>
          <w:lang w:val="sr-Latn-RS"/>
        </w:rPr>
        <w:t xml:space="preserve"> </w:t>
      </w:r>
      <w:r w:rsidRPr="00E51051">
        <w:rPr>
          <w:rFonts w:eastAsia="Calibri"/>
          <w:sz w:val="22"/>
          <w:szCs w:val="22"/>
          <w:lang w:val="sr-Latn-RS"/>
        </w:rPr>
        <w:t xml:space="preserve">dejstvo ovog lijeka </w:t>
      </w:r>
      <w:r w:rsidR="004E70AD" w:rsidRPr="00E51051">
        <w:rPr>
          <w:rFonts w:eastAsia="Calibri"/>
          <w:sz w:val="22"/>
          <w:szCs w:val="22"/>
          <w:lang w:val="sr-Latn-RS"/>
        </w:rPr>
        <w:t>Institutu</w:t>
      </w:r>
      <w:r w:rsidRPr="00E51051">
        <w:rPr>
          <w:rFonts w:eastAsia="Calibri"/>
          <w:sz w:val="22"/>
          <w:szCs w:val="22"/>
          <w:lang w:val="sr-Latn-RS"/>
        </w:rPr>
        <w:t xml:space="preserve"> za ljekove i medicinska sredstva</w:t>
      </w:r>
      <w:r w:rsidR="004E70AD" w:rsidRPr="00E51051">
        <w:rPr>
          <w:rFonts w:eastAsia="Calibri"/>
          <w:sz w:val="22"/>
          <w:szCs w:val="22"/>
          <w:lang w:val="sr-Latn-RS"/>
        </w:rPr>
        <w:t xml:space="preserve"> </w:t>
      </w:r>
      <w:r w:rsidRPr="00E51051">
        <w:rPr>
          <w:rFonts w:eastAsia="Calibri"/>
          <w:sz w:val="22"/>
          <w:szCs w:val="22"/>
          <w:lang w:val="sr-Latn-RS"/>
        </w:rPr>
        <w:t>(</w:t>
      </w:r>
      <w:r w:rsidR="004E70AD" w:rsidRPr="00E51051">
        <w:rPr>
          <w:rFonts w:eastAsia="Calibri"/>
          <w:sz w:val="22"/>
          <w:szCs w:val="22"/>
          <w:lang w:val="sr-Latn-RS"/>
        </w:rPr>
        <w:t>CInMED</w:t>
      </w:r>
      <w:r w:rsidRPr="00E51051">
        <w:rPr>
          <w:rFonts w:eastAsia="Calibri"/>
          <w:sz w:val="22"/>
          <w:szCs w:val="22"/>
          <w:lang w:val="sr-Latn-RS"/>
        </w:rPr>
        <w:t>):</w:t>
      </w:r>
    </w:p>
    <w:p w14:paraId="7519C5FB" w14:textId="77777777" w:rsidR="005A23D2" w:rsidRPr="00E51051" w:rsidRDefault="004E70AD" w:rsidP="001B0F06">
      <w:pPr>
        <w:pStyle w:val="NoSpacing"/>
        <w:jc w:val="both"/>
        <w:rPr>
          <w:rFonts w:eastAsia="Calibri"/>
          <w:sz w:val="22"/>
          <w:szCs w:val="22"/>
          <w:lang w:val="sr-Latn-RS"/>
        </w:rPr>
      </w:pPr>
      <w:r w:rsidRPr="00E51051">
        <w:rPr>
          <w:rFonts w:eastAsia="Calibri"/>
          <w:sz w:val="22"/>
          <w:szCs w:val="22"/>
          <w:lang w:val="sr-Latn-RS"/>
        </w:rPr>
        <w:t xml:space="preserve">Institut </w:t>
      </w:r>
      <w:r w:rsidR="005A23D2" w:rsidRPr="00E51051">
        <w:rPr>
          <w:rFonts w:eastAsia="Calibri"/>
          <w:sz w:val="22"/>
          <w:szCs w:val="22"/>
          <w:lang w:val="sr-Latn-RS"/>
        </w:rPr>
        <w:t xml:space="preserve">za ljekove i medicinska sredstva </w:t>
      </w:r>
    </w:p>
    <w:p w14:paraId="78CD1894" w14:textId="77777777" w:rsidR="005A23D2" w:rsidRPr="00E51051" w:rsidRDefault="005A23D2" w:rsidP="003F22BA">
      <w:pPr>
        <w:pStyle w:val="NoSpacing"/>
        <w:jc w:val="both"/>
        <w:rPr>
          <w:rFonts w:eastAsia="Calibri"/>
          <w:sz w:val="22"/>
          <w:szCs w:val="22"/>
          <w:lang w:val="sr-Latn-RS"/>
        </w:rPr>
      </w:pPr>
      <w:r w:rsidRPr="00E51051">
        <w:rPr>
          <w:rFonts w:eastAsia="Calibri"/>
          <w:sz w:val="22"/>
          <w:szCs w:val="22"/>
          <w:lang w:val="sr-Latn-RS"/>
        </w:rPr>
        <w:t>Odjeljenje za farmakovigilancu</w:t>
      </w:r>
    </w:p>
    <w:p w14:paraId="6F34E345" w14:textId="77777777" w:rsidR="00EA5765" w:rsidRPr="00E51051" w:rsidRDefault="005A23D2">
      <w:pPr>
        <w:pStyle w:val="NoSpacing"/>
        <w:jc w:val="both"/>
        <w:rPr>
          <w:rFonts w:eastAsia="Calibri"/>
          <w:sz w:val="22"/>
          <w:szCs w:val="22"/>
          <w:lang w:val="sr-Latn-RS"/>
        </w:rPr>
      </w:pPr>
      <w:r w:rsidRPr="00E51051">
        <w:rPr>
          <w:rFonts w:eastAsia="Calibri"/>
          <w:sz w:val="22"/>
          <w:szCs w:val="22"/>
          <w:lang w:val="sr-Latn-RS"/>
        </w:rPr>
        <w:t>Bulevar Ivana Crnojevića 64a, 81000 Podgorica</w:t>
      </w:r>
    </w:p>
    <w:p w14:paraId="5AFFB17F" w14:textId="77777777" w:rsidR="00EA5765" w:rsidRPr="00E51051" w:rsidRDefault="00EA5765" w:rsidP="00187482">
      <w:pPr>
        <w:pStyle w:val="NoSpacing"/>
        <w:jc w:val="both"/>
        <w:rPr>
          <w:rFonts w:eastAsia="Calibri"/>
          <w:sz w:val="22"/>
          <w:szCs w:val="22"/>
          <w:lang w:val="sr-Latn-RS"/>
        </w:rPr>
      </w:pPr>
    </w:p>
    <w:p w14:paraId="1E49307A" w14:textId="77777777" w:rsidR="005A23D2" w:rsidRPr="00E51051" w:rsidRDefault="005A23D2" w:rsidP="002F676D">
      <w:pPr>
        <w:pStyle w:val="NoSpacing"/>
        <w:jc w:val="both"/>
        <w:rPr>
          <w:rFonts w:eastAsia="Calibri"/>
          <w:sz w:val="22"/>
          <w:szCs w:val="22"/>
          <w:lang w:val="sr-Latn-RS"/>
        </w:rPr>
      </w:pPr>
      <w:r w:rsidRPr="00E51051">
        <w:rPr>
          <w:rFonts w:eastAsia="Calibri"/>
          <w:sz w:val="22"/>
          <w:szCs w:val="22"/>
          <w:lang w:val="sr-Latn-RS"/>
        </w:rPr>
        <w:t>tel: +382 (0) 20 310 280</w:t>
      </w:r>
    </w:p>
    <w:p w14:paraId="78D57BE7" w14:textId="77777777" w:rsidR="00EA5765" w:rsidRPr="00E51051" w:rsidRDefault="005A23D2" w:rsidP="001B0F06">
      <w:pPr>
        <w:pStyle w:val="NoSpacing"/>
        <w:jc w:val="both"/>
        <w:rPr>
          <w:rFonts w:eastAsia="Calibri"/>
          <w:sz w:val="22"/>
          <w:szCs w:val="22"/>
          <w:lang w:val="sr-Latn-RS"/>
        </w:rPr>
      </w:pPr>
      <w:r w:rsidRPr="00E51051">
        <w:rPr>
          <w:rFonts w:eastAsia="Calibri"/>
          <w:sz w:val="22"/>
          <w:szCs w:val="22"/>
          <w:lang w:val="sr-Latn-RS"/>
        </w:rPr>
        <w:t>fax:</w:t>
      </w:r>
      <w:r w:rsidR="00EA5765" w:rsidRPr="00E51051">
        <w:rPr>
          <w:rFonts w:eastAsia="Calibri"/>
          <w:sz w:val="22"/>
          <w:szCs w:val="22"/>
          <w:lang w:val="sr-Latn-RS"/>
        </w:rPr>
        <w:t xml:space="preserve"> </w:t>
      </w:r>
      <w:r w:rsidRPr="00E51051">
        <w:rPr>
          <w:rFonts w:eastAsia="Calibri"/>
          <w:sz w:val="22"/>
          <w:szCs w:val="22"/>
          <w:lang w:val="sr-Latn-RS"/>
        </w:rPr>
        <w:t>+382 (0) 20 310 581</w:t>
      </w:r>
    </w:p>
    <w:p w14:paraId="30FF46FA" w14:textId="77777777" w:rsidR="005A23D2" w:rsidRPr="00E51051" w:rsidRDefault="0062150C" w:rsidP="003F22BA">
      <w:pPr>
        <w:pStyle w:val="NoSpacing"/>
        <w:jc w:val="both"/>
        <w:rPr>
          <w:rFonts w:eastAsia="Calibri"/>
          <w:sz w:val="22"/>
          <w:szCs w:val="22"/>
          <w:lang w:val="sr-Latn-RS"/>
        </w:rPr>
      </w:pPr>
      <w:hyperlink r:id="rId8" w:history="1">
        <w:r w:rsidR="004E70AD" w:rsidRPr="00E51051">
          <w:rPr>
            <w:rStyle w:val="Hyperlink"/>
            <w:rFonts w:eastAsia="Calibri"/>
            <w:sz w:val="22"/>
            <w:szCs w:val="22"/>
            <w:lang w:val="sr-Latn-RS"/>
          </w:rPr>
          <w:t>www.cinmed.me</w:t>
        </w:r>
      </w:hyperlink>
    </w:p>
    <w:p w14:paraId="4C52BA9D" w14:textId="77777777" w:rsidR="00EA5765" w:rsidRPr="00E51051" w:rsidRDefault="0062150C">
      <w:pPr>
        <w:pStyle w:val="NoSpacing"/>
        <w:jc w:val="both"/>
        <w:rPr>
          <w:rFonts w:eastAsia="Calibri"/>
          <w:color w:val="0000FF"/>
          <w:sz w:val="22"/>
          <w:szCs w:val="22"/>
          <w:u w:val="single"/>
          <w:lang w:val="sr-Latn-RS"/>
        </w:rPr>
      </w:pPr>
      <w:hyperlink r:id="rId9" w:history="1">
        <w:r w:rsidR="004E70AD" w:rsidRPr="00E51051">
          <w:rPr>
            <w:rStyle w:val="Hyperlink"/>
            <w:rFonts w:eastAsia="Calibri"/>
            <w:sz w:val="22"/>
            <w:szCs w:val="22"/>
            <w:lang w:val="sr-Latn-RS"/>
          </w:rPr>
          <w:t>nezeljenadejstva@cinmed.me</w:t>
        </w:r>
      </w:hyperlink>
    </w:p>
    <w:p w14:paraId="1CCDF20D" w14:textId="77777777" w:rsidR="005A23D2" w:rsidRPr="00E51051" w:rsidRDefault="005A23D2">
      <w:pPr>
        <w:pStyle w:val="NoSpacing"/>
        <w:jc w:val="both"/>
        <w:rPr>
          <w:rFonts w:eastAsia="Calibri"/>
          <w:sz w:val="22"/>
          <w:szCs w:val="22"/>
          <w:lang w:val="sr-Latn-RS"/>
        </w:rPr>
      </w:pPr>
      <w:r w:rsidRPr="00E51051">
        <w:rPr>
          <w:rFonts w:eastAsia="Calibri"/>
          <w:sz w:val="22"/>
          <w:szCs w:val="22"/>
          <w:lang w:val="sr-Latn-RS"/>
        </w:rPr>
        <w:t>putem IS zdravstvene zaštite</w:t>
      </w:r>
    </w:p>
    <w:p w14:paraId="0EBB8E8C" w14:textId="77777777" w:rsidR="0084484D" w:rsidRPr="00E51051" w:rsidRDefault="0084484D">
      <w:pPr>
        <w:pStyle w:val="NoSpacing"/>
        <w:jc w:val="both"/>
        <w:rPr>
          <w:rFonts w:eastAsia="Calibri"/>
          <w:sz w:val="22"/>
          <w:szCs w:val="22"/>
          <w:lang w:val="sr-Latn-RS"/>
        </w:rPr>
      </w:pPr>
      <w:r w:rsidRPr="00E51051">
        <w:rPr>
          <w:rFonts w:eastAsia="Calibri"/>
          <w:sz w:val="22"/>
          <w:szCs w:val="22"/>
          <w:lang w:val="sr-Latn-RS"/>
        </w:rPr>
        <w:t>QR kod za online prijavu sumnje na neželjeno dejstvo lijeka:</w:t>
      </w:r>
    </w:p>
    <w:p w14:paraId="4C584083" w14:textId="77777777" w:rsidR="0084484D" w:rsidRPr="00E51051" w:rsidRDefault="0084484D" w:rsidP="0084484D">
      <w:pPr>
        <w:pStyle w:val="NoSpacing"/>
        <w:jc w:val="both"/>
        <w:rPr>
          <w:rFonts w:eastAsia="Calibri"/>
          <w:sz w:val="22"/>
          <w:szCs w:val="22"/>
          <w:lang w:val="sr-Latn-RS"/>
        </w:rPr>
      </w:pPr>
    </w:p>
    <w:p w14:paraId="70AFCF82" w14:textId="77777777" w:rsidR="0084484D" w:rsidRPr="00E51051" w:rsidRDefault="0084484D" w:rsidP="0084484D">
      <w:pPr>
        <w:pStyle w:val="NoSpacing"/>
        <w:rPr>
          <w:rFonts w:eastAsia="Calibri"/>
          <w:sz w:val="22"/>
          <w:szCs w:val="22"/>
          <w:lang w:val="sr-Latn-RS"/>
        </w:rPr>
      </w:pPr>
      <w:r w:rsidRPr="00E51051">
        <w:rPr>
          <w:noProof/>
          <w:sz w:val="22"/>
          <w:szCs w:val="22"/>
          <w:lang w:val="sr-Latn-RS"/>
        </w:rPr>
        <w:drawing>
          <wp:inline distT="0" distB="0" distL="0" distR="0" wp14:anchorId="23B899FA" wp14:editId="7BF7C716">
            <wp:extent cx="971550" cy="971550"/>
            <wp:effectExtent l="0" t="0" r="0" b="0"/>
            <wp:docPr id="2"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CBAE79" w14:textId="77777777" w:rsidR="00836B35" w:rsidRPr="00E51051" w:rsidRDefault="00836B35" w:rsidP="00480FB1">
      <w:pPr>
        <w:tabs>
          <w:tab w:val="left" w:pos="540"/>
          <w:tab w:val="left" w:pos="569"/>
        </w:tabs>
        <w:rPr>
          <w:b/>
          <w:bCs/>
          <w:sz w:val="22"/>
          <w:szCs w:val="22"/>
          <w:lang w:val="sr-Latn-RS"/>
        </w:rPr>
      </w:pPr>
    </w:p>
    <w:p w14:paraId="57F111F3" w14:textId="77777777" w:rsidR="00CD6F02" w:rsidRPr="00E51051" w:rsidRDefault="0072020E" w:rsidP="00187482">
      <w:pPr>
        <w:tabs>
          <w:tab w:val="left" w:pos="540"/>
          <w:tab w:val="left" w:pos="569"/>
        </w:tabs>
        <w:jc w:val="both"/>
        <w:rPr>
          <w:b/>
          <w:bCs/>
          <w:sz w:val="22"/>
          <w:szCs w:val="22"/>
          <w:lang w:val="sr-Latn-RS"/>
        </w:rPr>
      </w:pPr>
      <w:r w:rsidRPr="00E51051">
        <w:rPr>
          <w:b/>
          <w:bCs/>
          <w:sz w:val="22"/>
          <w:szCs w:val="22"/>
          <w:lang w:val="sr-Latn-RS"/>
        </w:rPr>
        <w:t xml:space="preserve">4.9. </w:t>
      </w:r>
      <w:r w:rsidR="00480FB1" w:rsidRPr="00E51051">
        <w:rPr>
          <w:b/>
          <w:bCs/>
          <w:sz w:val="22"/>
          <w:szCs w:val="22"/>
          <w:lang w:val="sr-Latn-RS"/>
        </w:rPr>
        <w:tab/>
      </w:r>
      <w:r w:rsidRPr="00E51051">
        <w:rPr>
          <w:b/>
          <w:bCs/>
          <w:sz w:val="22"/>
          <w:szCs w:val="22"/>
          <w:lang w:val="sr-Latn-RS"/>
        </w:rPr>
        <w:t>Predoziranje</w:t>
      </w:r>
      <w:r w:rsidR="002846DB" w:rsidRPr="00E51051">
        <w:rPr>
          <w:b/>
          <w:bCs/>
          <w:sz w:val="22"/>
          <w:szCs w:val="22"/>
          <w:lang w:val="sr-Latn-RS"/>
        </w:rPr>
        <w:t xml:space="preserve"> </w:t>
      </w:r>
    </w:p>
    <w:p w14:paraId="564A87BE" w14:textId="77777777" w:rsidR="00CD6F02" w:rsidRPr="00E51051" w:rsidRDefault="00CD6F02" w:rsidP="00187482">
      <w:pPr>
        <w:tabs>
          <w:tab w:val="left" w:pos="540"/>
          <w:tab w:val="left" w:pos="569"/>
        </w:tabs>
        <w:jc w:val="both"/>
        <w:rPr>
          <w:b/>
          <w:bCs/>
          <w:sz w:val="22"/>
          <w:szCs w:val="22"/>
          <w:lang w:val="sr-Latn-RS"/>
        </w:rPr>
      </w:pPr>
    </w:p>
    <w:p w14:paraId="6671F0D8" w14:textId="10D56D85" w:rsidR="00A30854" w:rsidRPr="00E51051" w:rsidRDefault="00A30854" w:rsidP="00187482">
      <w:pPr>
        <w:tabs>
          <w:tab w:val="left" w:pos="567"/>
        </w:tabs>
        <w:autoSpaceDE w:val="0"/>
        <w:autoSpaceDN w:val="0"/>
        <w:adjustRightInd w:val="0"/>
        <w:jc w:val="both"/>
        <w:rPr>
          <w:bCs/>
          <w:sz w:val="22"/>
          <w:szCs w:val="22"/>
          <w:lang w:val="sr-Latn-RS"/>
        </w:rPr>
      </w:pPr>
      <w:r w:rsidRPr="00E51051">
        <w:rPr>
          <w:bCs/>
          <w:sz w:val="22"/>
          <w:szCs w:val="22"/>
          <w:lang w:val="sr-Latn-RS"/>
        </w:rPr>
        <w:t>Nema iskustva sa predoziranjem lijekom ZERBAXA. Najviša pojedinačna doza lijeka ZERBAXA prim</w:t>
      </w:r>
      <w:r w:rsidR="003510DD" w:rsidRPr="00E51051">
        <w:rPr>
          <w:bCs/>
          <w:sz w:val="22"/>
          <w:szCs w:val="22"/>
          <w:lang w:val="sr-Latn-RS"/>
        </w:rPr>
        <w:t>i</w:t>
      </w:r>
      <w:r w:rsidRPr="00E51051">
        <w:rPr>
          <w:bCs/>
          <w:sz w:val="22"/>
          <w:szCs w:val="22"/>
          <w:lang w:val="sr-Latn-RS"/>
        </w:rPr>
        <w:t>jenjena u kliničkim ispitivanjima je bila 3 g/1,5 g ceftolozana/tazobaktama i to kod zdravih dobrovoljaca.</w:t>
      </w:r>
    </w:p>
    <w:p w14:paraId="3C318E99" w14:textId="77777777" w:rsidR="00A30854" w:rsidRPr="00E51051" w:rsidRDefault="00A30854" w:rsidP="00187482">
      <w:pPr>
        <w:tabs>
          <w:tab w:val="left" w:pos="567"/>
        </w:tabs>
        <w:autoSpaceDE w:val="0"/>
        <w:autoSpaceDN w:val="0"/>
        <w:adjustRightInd w:val="0"/>
        <w:jc w:val="both"/>
        <w:rPr>
          <w:bCs/>
          <w:sz w:val="22"/>
          <w:szCs w:val="22"/>
          <w:lang w:val="sr-Latn-RS"/>
        </w:rPr>
      </w:pPr>
    </w:p>
    <w:p w14:paraId="54384E49" w14:textId="56E1B324" w:rsidR="00A30854" w:rsidRPr="00E51051" w:rsidRDefault="00A30854" w:rsidP="00187482">
      <w:pPr>
        <w:jc w:val="both"/>
        <w:rPr>
          <w:sz w:val="22"/>
          <w:szCs w:val="22"/>
          <w:lang w:val="sr-Latn-RS"/>
        </w:rPr>
      </w:pPr>
      <w:r w:rsidRPr="00E51051">
        <w:rPr>
          <w:bCs/>
          <w:sz w:val="22"/>
          <w:szCs w:val="22"/>
          <w:lang w:val="sr-Latn-RS"/>
        </w:rPr>
        <w:t>U slučaju predoziranja, prim</w:t>
      </w:r>
      <w:r w:rsidR="003510DD" w:rsidRPr="00E51051">
        <w:rPr>
          <w:bCs/>
          <w:sz w:val="22"/>
          <w:szCs w:val="22"/>
          <w:lang w:val="sr-Latn-RS"/>
        </w:rPr>
        <w:t>j</w:t>
      </w:r>
      <w:r w:rsidRPr="00E51051">
        <w:rPr>
          <w:bCs/>
          <w:sz w:val="22"/>
          <w:szCs w:val="22"/>
          <w:lang w:val="sr-Latn-RS"/>
        </w:rPr>
        <w:t>enu lijeka ZERBAXA treba prekinuti i uvesti opšte potporno liječenje. Lijek ZERBAXA se može ukloniti hemodijalizom. Približno je 66% ceftolozana, 56% tazobaktama i 51% metabolita tazobaktama M1 bilo uklonjeno dijalizom.</w:t>
      </w:r>
    </w:p>
    <w:p w14:paraId="04467685" w14:textId="3C5AA2C8" w:rsidR="00227BDB" w:rsidRDefault="00227BDB" w:rsidP="00187482">
      <w:pPr>
        <w:tabs>
          <w:tab w:val="left" w:pos="540"/>
          <w:tab w:val="left" w:pos="569"/>
        </w:tabs>
        <w:jc w:val="both"/>
        <w:rPr>
          <w:b/>
          <w:bCs/>
          <w:sz w:val="22"/>
          <w:szCs w:val="22"/>
          <w:lang w:val="sr-Latn-RS"/>
        </w:rPr>
      </w:pPr>
    </w:p>
    <w:p w14:paraId="7C23B7E2" w14:textId="77777777" w:rsidR="00E51051" w:rsidRPr="00E51051" w:rsidRDefault="00E51051" w:rsidP="00187482">
      <w:pPr>
        <w:tabs>
          <w:tab w:val="left" w:pos="540"/>
          <w:tab w:val="left" w:pos="569"/>
        </w:tabs>
        <w:jc w:val="both"/>
        <w:rPr>
          <w:b/>
          <w:bCs/>
          <w:sz w:val="22"/>
          <w:szCs w:val="22"/>
          <w:lang w:val="sr-Latn-RS"/>
        </w:rPr>
      </w:pPr>
    </w:p>
    <w:p w14:paraId="1E3D6E69" w14:textId="77777777" w:rsidR="0072020E" w:rsidRPr="00E51051" w:rsidRDefault="0072020E" w:rsidP="00187482">
      <w:pPr>
        <w:tabs>
          <w:tab w:val="left" w:pos="540"/>
          <w:tab w:val="left" w:pos="569"/>
        </w:tabs>
        <w:jc w:val="both"/>
        <w:rPr>
          <w:b/>
          <w:bCs/>
          <w:sz w:val="22"/>
          <w:szCs w:val="22"/>
          <w:lang w:val="sr-Latn-RS"/>
        </w:rPr>
      </w:pPr>
      <w:r w:rsidRPr="00E51051">
        <w:rPr>
          <w:b/>
          <w:bCs/>
          <w:sz w:val="22"/>
          <w:szCs w:val="22"/>
          <w:lang w:val="sr-Latn-RS"/>
        </w:rPr>
        <w:t xml:space="preserve">5. </w:t>
      </w:r>
      <w:r w:rsidR="00480FB1" w:rsidRPr="00E51051">
        <w:rPr>
          <w:b/>
          <w:bCs/>
          <w:sz w:val="22"/>
          <w:szCs w:val="22"/>
          <w:lang w:val="sr-Latn-RS"/>
        </w:rPr>
        <w:tab/>
      </w:r>
      <w:r w:rsidRPr="00E51051">
        <w:rPr>
          <w:b/>
          <w:bCs/>
          <w:sz w:val="22"/>
          <w:szCs w:val="22"/>
          <w:lang w:val="sr-Latn-RS"/>
        </w:rPr>
        <w:t>FARMAKOLOŠK</w:t>
      </w:r>
      <w:r w:rsidR="000D425A" w:rsidRPr="00E51051">
        <w:rPr>
          <w:b/>
          <w:bCs/>
          <w:sz w:val="22"/>
          <w:szCs w:val="22"/>
          <w:lang w:val="sr-Latn-RS"/>
        </w:rPr>
        <w:t>I</w:t>
      </w:r>
      <w:r w:rsidRPr="00E51051">
        <w:rPr>
          <w:b/>
          <w:bCs/>
          <w:sz w:val="22"/>
          <w:szCs w:val="22"/>
          <w:lang w:val="sr-Latn-RS"/>
        </w:rPr>
        <w:t xml:space="preserve"> PODACI</w:t>
      </w:r>
    </w:p>
    <w:p w14:paraId="35C17E6C" w14:textId="77777777" w:rsidR="0072020E" w:rsidRPr="00E51051" w:rsidRDefault="0072020E" w:rsidP="00187482">
      <w:pPr>
        <w:tabs>
          <w:tab w:val="left" w:pos="540"/>
          <w:tab w:val="left" w:pos="569"/>
        </w:tabs>
        <w:jc w:val="both"/>
        <w:rPr>
          <w:b/>
          <w:bCs/>
          <w:sz w:val="22"/>
          <w:szCs w:val="22"/>
          <w:lang w:val="sr-Latn-RS"/>
        </w:rPr>
      </w:pPr>
    </w:p>
    <w:p w14:paraId="5B1BCBA0" w14:textId="378EBA03" w:rsidR="0072020E" w:rsidRPr="00E51051" w:rsidRDefault="0072020E" w:rsidP="00187482">
      <w:pPr>
        <w:tabs>
          <w:tab w:val="left" w:pos="540"/>
          <w:tab w:val="left" w:pos="569"/>
        </w:tabs>
        <w:jc w:val="both"/>
        <w:rPr>
          <w:b/>
          <w:bCs/>
          <w:sz w:val="22"/>
          <w:szCs w:val="22"/>
          <w:lang w:val="sr-Latn-RS"/>
        </w:rPr>
      </w:pPr>
      <w:r w:rsidRPr="00E51051">
        <w:rPr>
          <w:b/>
          <w:bCs/>
          <w:sz w:val="22"/>
          <w:szCs w:val="22"/>
          <w:lang w:val="sr-Latn-RS"/>
        </w:rPr>
        <w:t xml:space="preserve">5.1. </w:t>
      </w:r>
      <w:r w:rsidR="00480FB1" w:rsidRPr="00E51051">
        <w:rPr>
          <w:b/>
          <w:bCs/>
          <w:sz w:val="22"/>
          <w:szCs w:val="22"/>
          <w:lang w:val="sr-Latn-RS"/>
        </w:rPr>
        <w:tab/>
      </w:r>
      <w:r w:rsidRPr="00E51051">
        <w:rPr>
          <w:b/>
          <w:bCs/>
          <w:sz w:val="22"/>
          <w:szCs w:val="22"/>
          <w:lang w:val="sr-Latn-RS"/>
        </w:rPr>
        <w:t>Farmakodinamski podaci</w:t>
      </w:r>
      <w:r w:rsidR="003A7059" w:rsidRPr="00E51051">
        <w:rPr>
          <w:b/>
          <w:bCs/>
          <w:sz w:val="22"/>
          <w:szCs w:val="22"/>
          <w:lang w:val="sr-Latn-RS"/>
        </w:rPr>
        <w:t xml:space="preserve"> </w:t>
      </w:r>
    </w:p>
    <w:p w14:paraId="7982E080" w14:textId="77777777" w:rsidR="00A30854" w:rsidRPr="00E51051" w:rsidRDefault="00A30854" w:rsidP="00187482">
      <w:pPr>
        <w:tabs>
          <w:tab w:val="left" w:pos="540"/>
          <w:tab w:val="left" w:pos="569"/>
        </w:tabs>
        <w:jc w:val="both"/>
        <w:rPr>
          <w:b/>
          <w:bCs/>
          <w:sz w:val="22"/>
          <w:szCs w:val="22"/>
          <w:lang w:val="sr-Latn-RS"/>
        </w:rPr>
      </w:pPr>
    </w:p>
    <w:p w14:paraId="6498C2A2" w14:textId="2649D73E" w:rsidR="00A30854" w:rsidRPr="00E51051" w:rsidRDefault="00A30854" w:rsidP="00187482">
      <w:pPr>
        <w:jc w:val="both"/>
        <w:rPr>
          <w:b/>
          <w:bCs/>
          <w:sz w:val="22"/>
          <w:szCs w:val="22"/>
          <w:lang w:val="sr-Latn-RS"/>
        </w:rPr>
      </w:pPr>
      <w:r w:rsidRPr="00E51051">
        <w:rPr>
          <w:sz w:val="22"/>
          <w:szCs w:val="22"/>
          <w:lang w:val="sr-Latn-RS"/>
        </w:rPr>
        <w:t>Farmakoterapijska grupa</w:t>
      </w:r>
      <w:r w:rsidRPr="00E51051">
        <w:rPr>
          <w:b/>
          <w:bCs/>
          <w:sz w:val="22"/>
          <w:szCs w:val="22"/>
          <w:lang w:val="sr-Latn-RS"/>
        </w:rPr>
        <w:t xml:space="preserve">: </w:t>
      </w:r>
      <w:r w:rsidRPr="00E51051">
        <w:rPr>
          <w:sz w:val="22"/>
          <w:szCs w:val="22"/>
          <w:lang w:val="sr-Latn-RS"/>
        </w:rPr>
        <w:t>Antibakterijski ljekovi za sistemsku prim</w:t>
      </w:r>
      <w:r w:rsidR="003510DD" w:rsidRPr="00E51051">
        <w:rPr>
          <w:sz w:val="22"/>
          <w:szCs w:val="22"/>
          <w:lang w:val="sr-Latn-RS"/>
        </w:rPr>
        <w:t>j</w:t>
      </w:r>
      <w:r w:rsidRPr="00E51051">
        <w:rPr>
          <w:sz w:val="22"/>
          <w:szCs w:val="22"/>
          <w:lang w:val="sr-Latn-RS"/>
        </w:rPr>
        <w:t>enu; ostali cefalosporini i penemi</w:t>
      </w:r>
    </w:p>
    <w:p w14:paraId="536FB61D" w14:textId="77777777" w:rsidR="00A30854" w:rsidRPr="00E51051" w:rsidRDefault="00A30854" w:rsidP="00187482">
      <w:pPr>
        <w:jc w:val="both"/>
        <w:rPr>
          <w:sz w:val="22"/>
          <w:szCs w:val="22"/>
          <w:lang w:val="sr-Latn-RS"/>
        </w:rPr>
      </w:pPr>
    </w:p>
    <w:p w14:paraId="7FAA5AA3" w14:textId="12E3622A" w:rsidR="00A30854" w:rsidRPr="00E51051" w:rsidRDefault="00A30854" w:rsidP="00187482">
      <w:pPr>
        <w:jc w:val="both"/>
        <w:rPr>
          <w:b/>
          <w:bCs/>
          <w:sz w:val="22"/>
          <w:szCs w:val="22"/>
          <w:lang w:val="sr-Latn-RS"/>
        </w:rPr>
      </w:pPr>
      <w:r w:rsidRPr="00E51051">
        <w:rPr>
          <w:sz w:val="22"/>
          <w:szCs w:val="22"/>
          <w:lang w:val="sr-Latn-RS"/>
        </w:rPr>
        <w:t>ATC kod</w:t>
      </w:r>
      <w:r w:rsidRPr="00E51051">
        <w:rPr>
          <w:b/>
          <w:bCs/>
          <w:sz w:val="22"/>
          <w:szCs w:val="22"/>
          <w:lang w:val="sr-Latn-RS"/>
        </w:rPr>
        <w:t xml:space="preserve">: </w:t>
      </w:r>
      <w:r w:rsidRPr="00E51051">
        <w:rPr>
          <w:bCs/>
          <w:sz w:val="22"/>
          <w:szCs w:val="22"/>
          <w:lang w:val="sr-Latn-RS"/>
        </w:rPr>
        <w:t>J01DI54</w:t>
      </w:r>
    </w:p>
    <w:p w14:paraId="456412D4" w14:textId="77777777" w:rsidR="00A30854" w:rsidRPr="00E51051" w:rsidRDefault="00A30854" w:rsidP="00187482">
      <w:pPr>
        <w:jc w:val="both"/>
        <w:rPr>
          <w:sz w:val="22"/>
          <w:szCs w:val="22"/>
          <w:lang w:val="sr-Latn-RS"/>
        </w:rPr>
      </w:pPr>
    </w:p>
    <w:p w14:paraId="2B333359" w14:textId="77777777" w:rsidR="00A30854" w:rsidRPr="00E51051" w:rsidRDefault="00A30854" w:rsidP="00187482">
      <w:pPr>
        <w:keepNext/>
        <w:tabs>
          <w:tab w:val="left" w:pos="567"/>
        </w:tabs>
        <w:autoSpaceDE w:val="0"/>
        <w:autoSpaceDN w:val="0"/>
        <w:adjustRightInd w:val="0"/>
        <w:jc w:val="both"/>
        <w:rPr>
          <w:sz w:val="22"/>
          <w:szCs w:val="22"/>
          <w:u w:val="single"/>
          <w:lang w:val="sr-Latn-RS"/>
        </w:rPr>
      </w:pPr>
      <w:r w:rsidRPr="00E51051">
        <w:rPr>
          <w:sz w:val="22"/>
          <w:szCs w:val="22"/>
          <w:u w:val="single"/>
          <w:lang w:val="sr-Latn-RS"/>
        </w:rPr>
        <w:t>Mehanizam dejstva</w:t>
      </w:r>
    </w:p>
    <w:p w14:paraId="6645991F" w14:textId="77777777" w:rsidR="00A30854" w:rsidRPr="00E51051" w:rsidRDefault="00A30854" w:rsidP="00187482">
      <w:pPr>
        <w:keepNext/>
        <w:tabs>
          <w:tab w:val="left" w:pos="567"/>
        </w:tabs>
        <w:autoSpaceDE w:val="0"/>
        <w:autoSpaceDN w:val="0"/>
        <w:adjustRightInd w:val="0"/>
        <w:jc w:val="both"/>
        <w:rPr>
          <w:sz w:val="22"/>
          <w:szCs w:val="22"/>
          <w:lang w:val="sr-Latn-RS"/>
        </w:rPr>
      </w:pPr>
    </w:p>
    <w:p w14:paraId="17103885" w14:textId="361F2E4B" w:rsidR="00A30854" w:rsidRPr="00E51051" w:rsidRDefault="00A30854" w:rsidP="00187482">
      <w:pPr>
        <w:tabs>
          <w:tab w:val="left" w:pos="567"/>
        </w:tabs>
        <w:autoSpaceDE w:val="0"/>
        <w:autoSpaceDN w:val="0"/>
        <w:adjustRightInd w:val="0"/>
        <w:jc w:val="both"/>
        <w:rPr>
          <w:sz w:val="22"/>
          <w:szCs w:val="22"/>
          <w:lang w:val="sr-Latn-RS"/>
        </w:rPr>
      </w:pPr>
      <w:r w:rsidRPr="00E51051">
        <w:rPr>
          <w:sz w:val="22"/>
          <w:szCs w:val="22"/>
          <w:lang w:val="sr-Latn-RS"/>
        </w:rPr>
        <w:t xml:space="preserve">Ceftolozan pripada grupi cefalosporinskih antibiotika. Ceftolozan ostvaruje svoje baktericidno dejstvo vezivanjem za važne proteine koji vežu penicilin (engl. </w:t>
      </w:r>
      <w:r w:rsidRPr="00E51051">
        <w:rPr>
          <w:i/>
          <w:sz w:val="22"/>
          <w:szCs w:val="22"/>
          <w:lang w:val="sr-Latn-RS"/>
        </w:rPr>
        <w:t>penicillin-binding proteins</w:t>
      </w:r>
      <w:r w:rsidRPr="00E51051">
        <w:rPr>
          <w:sz w:val="22"/>
          <w:szCs w:val="22"/>
          <w:lang w:val="sr-Latn-RS"/>
        </w:rPr>
        <w:t xml:space="preserve">, </w:t>
      </w:r>
      <w:r w:rsidRPr="00E51051">
        <w:rPr>
          <w:i/>
          <w:iCs/>
          <w:sz w:val="22"/>
          <w:szCs w:val="22"/>
          <w:lang w:val="sr-Latn-RS"/>
        </w:rPr>
        <w:t>PBPs</w:t>
      </w:r>
      <w:r w:rsidRPr="00E51051">
        <w:rPr>
          <w:sz w:val="22"/>
          <w:szCs w:val="22"/>
          <w:lang w:val="sr-Latn-RS"/>
        </w:rPr>
        <w:t>), što rezultira inhibicijom sinteze bakterijskog ćelijskog zida i posljedično smrti ćelije.</w:t>
      </w:r>
    </w:p>
    <w:p w14:paraId="6454FC43" w14:textId="77777777" w:rsidR="00A30854" w:rsidRPr="00E51051" w:rsidRDefault="00A30854" w:rsidP="00187482">
      <w:pPr>
        <w:tabs>
          <w:tab w:val="left" w:pos="567"/>
        </w:tabs>
        <w:autoSpaceDE w:val="0"/>
        <w:autoSpaceDN w:val="0"/>
        <w:adjustRightInd w:val="0"/>
        <w:jc w:val="both"/>
        <w:rPr>
          <w:sz w:val="22"/>
          <w:szCs w:val="22"/>
          <w:lang w:val="sr-Latn-RS"/>
        </w:rPr>
      </w:pPr>
    </w:p>
    <w:p w14:paraId="2B5E8E27" w14:textId="653FCA63" w:rsidR="00A30854" w:rsidRPr="00E51051" w:rsidRDefault="00A30854" w:rsidP="00187482">
      <w:pPr>
        <w:tabs>
          <w:tab w:val="left" w:pos="567"/>
        </w:tabs>
        <w:autoSpaceDE w:val="0"/>
        <w:autoSpaceDN w:val="0"/>
        <w:adjustRightInd w:val="0"/>
        <w:jc w:val="both"/>
        <w:rPr>
          <w:bCs/>
          <w:sz w:val="22"/>
          <w:szCs w:val="22"/>
          <w:lang w:val="sr-Latn-RS"/>
        </w:rPr>
      </w:pPr>
      <w:r w:rsidRPr="00E51051">
        <w:rPr>
          <w:bCs/>
          <w:sz w:val="22"/>
          <w:szCs w:val="22"/>
          <w:lang w:val="sr-Latn-RS"/>
        </w:rPr>
        <w:t>Tazobaktam je beta</w:t>
      </w:r>
      <w:r w:rsidRPr="00E51051">
        <w:rPr>
          <w:bCs/>
          <w:sz w:val="22"/>
          <w:szCs w:val="22"/>
          <w:lang w:val="sr-Latn-RS"/>
        </w:rPr>
        <w:noBreakHyphen/>
        <w:t>laktam strukturno sličan penicilinima. On je inhibitor mnogih beta</w:t>
      </w:r>
      <w:r w:rsidRPr="00E51051">
        <w:rPr>
          <w:bCs/>
          <w:sz w:val="22"/>
          <w:szCs w:val="22"/>
          <w:lang w:val="sr-Latn-RS"/>
        </w:rPr>
        <w:noBreakHyphen/>
        <w:t>laktamaza molekulske klase A, uključujući enzime CTX</w:t>
      </w:r>
      <w:r w:rsidRPr="00E51051">
        <w:rPr>
          <w:bCs/>
          <w:sz w:val="22"/>
          <w:szCs w:val="22"/>
          <w:lang w:val="sr-Latn-RS"/>
        </w:rPr>
        <w:noBreakHyphen/>
        <w:t>M, SHV i TEM. Vidjeti u nastavku.</w:t>
      </w:r>
    </w:p>
    <w:p w14:paraId="658032A7" w14:textId="77777777" w:rsidR="00A30854" w:rsidRPr="00E51051" w:rsidRDefault="00A30854" w:rsidP="00187482">
      <w:pPr>
        <w:jc w:val="both"/>
        <w:rPr>
          <w:sz w:val="22"/>
          <w:szCs w:val="22"/>
          <w:lang w:val="sr-Latn-RS" w:eastAsia="hr-HR"/>
        </w:rPr>
      </w:pPr>
    </w:p>
    <w:p w14:paraId="02240B43" w14:textId="77777777" w:rsidR="00A30854" w:rsidRPr="00E51051" w:rsidRDefault="00A30854" w:rsidP="00187482">
      <w:pPr>
        <w:keepNext/>
        <w:tabs>
          <w:tab w:val="left" w:pos="567"/>
        </w:tabs>
        <w:autoSpaceDE w:val="0"/>
        <w:autoSpaceDN w:val="0"/>
        <w:adjustRightInd w:val="0"/>
        <w:jc w:val="both"/>
        <w:rPr>
          <w:sz w:val="22"/>
          <w:szCs w:val="22"/>
          <w:u w:val="single"/>
          <w:lang w:val="sr-Latn-RS"/>
        </w:rPr>
      </w:pPr>
      <w:r w:rsidRPr="00E51051">
        <w:rPr>
          <w:sz w:val="22"/>
          <w:szCs w:val="22"/>
          <w:u w:val="single"/>
          <w:lang w:val="sr-Latn-RS"/>
        </w:rPr>
        <w:t>Mehanizmi rezistencije</w:t>
      </w:r>
    </w:p>
    <w:p w14:paraId="3BD0AD9B" w14:textId="77777777" w:rsidR="00A30854" w:rsidRPr="00E51051" w:rsidRDefault="00A30854" w:rsidP="00187482">
      <w:pPr>
        <w:keepNext/>
        <w:tabs>
          <w:tab w:val="left" w:pos="567"/>
        </w:tabs>
        <w:autoSpaceDE w:val="0"/>
        <w:autoSpaceDN w:val="0"/>
        <w:adjustRightInd w:val="0"/>
        <w:jc w:val="both"/>
        <w:rPr>
          <w:sz w:val="22"/>
          <w:szCs w:val="22"/>
          <w:lang w:val="sr-Latn-RS"/>
        </w:rPr>
      </w:pPr>
    </w:p>
    <w:p w14:paraId="4FA0E9DA" w14:textId="15ECDB14" w:rsidR="00A30854" w:rsidRPr="00E51051" w:rsidRDefault="00A30854" w:rsidP="00187482">
      <w:pPr>
        <w:keepNext/>
        <w:jc w:val="both"/>
        <w:rPr>
          <w:sz w:val="22"/>
          <w:szCs w:val="22"/>
          <w:lang w:val="sr-Latn-RS" w:eastAsia="hr-HR"/>
        </w:rPr>
      </w:pPr>
      <w:r w:rsidRPr="00E51051">
        <w:rPr>
          <w:sz w:val="22"/>
          <w:szCs w:val="22"/>
          <w:lang w:val="sr-Latn-RS" w:eastAsia="hr-HR"/>
        </w:rPr>
        <w:t xml:space="preserve">Mehanizmi bakterijske rezistencije na </w:t>
      </w:r>
      <w:r w:rsidR="0050553C" w:rsidRPr="00E51051">
        <w:rPr>
          <w:sz w:val="22"/>
          <w:szCs w:val="22"/>
          <w:lang w:val="sr-Latn-RS" w:eastAsia="hr-HR"/>
        </w:rPr>
        <w:t>ceftolozan, tazobaktam</w:t>
      </w:r>
      <w:r w:rsidRPr="00E51051">
        <w:rPr>
          <w:sz w:val="22"/>
          <w:szCs w:val="22"/>
          <w:lang w:val="sr-Latn-RS" w:eastAsia="hr-HR"/>
        </w:rPr>
        <w:t xml:space="preserve"> uključuju:</w:t>
      </w:r>
    </w:p>
    <w:p w14:paraId="6B38392B" w14:textId="14E517BB" w:rsidR="00A30854" w:rsidRPr="00E51051" w:rsidRDefault="00A30854" w:rsidP="002F676D">
      <w:pPr>
        <w:numPr>
          <w:ilvl w:val="0"/>
          <w:numId w:val="17"/>
        </w:numPr>
        <w:tabs>
          <w:tab w:val="left" w:pos="567"/>
          <w:tab w:val="left" w:pos="1134"/>
        </w:tabs>
        <w:spacing w:line="260" w:lineRule="exact"/>
        <w:ind w:left="1134" w:hanging="567"/>
        <w:jc w:val="both"/>
        <w:rPr>
          <w:sz w:val="22"/>
          <w:szCs w:val="22"/>
          <w:lang w:val="sr-Latn-RS" w:eastAsia="hr-HR"/>
        </w:rPr>
      </w:pPr>
      <w:r w:rsidRPr="00E51051">
        <w:rPr>
          <w:sz w:val="22"/>
          <w:szCs w:val="22"/>
          <w:lang w:val="sr-Latn-RS" w:eastAsia="hr-HR"/>
        </w:rPr>
        <w:t>proizvodnju beta-laktamaza koje mogu dovesti do hidrolize ceftolozana i koje ni</w:t>
      </w:r>
      <w:r w:rsidR="003510DD" w:rsidRPr="00E51051">
        <w:rPr>
          <w:sz w:val="22"/>
          <w:szCs w:val="22"/>
          <w:lang w:val="sr-Latn-RS" w:eastAsia="hr-HR"/>
        </w:rPr>
        <w:t>je</w:t>
      </w:r>
      <w:r w:rsidRPr="00E51051">
        <w:rPr>
          <w:sz w:val="22"/>
          <w:szCs w:val="22"/>
          <w:lang w:val="sr-Latn-RS" w:eastAsia="hr-HR"/>
        </w:rPr>
        <w:t xml:space="preserve">su inhibirane tazobaktamom (vidjeti u nastavku) </w:t>
      </w:r>
    </w:p>
    <w:p w14:paraId="66F612D1" w14:textId="77777777" w:rsidR="00A30854" w:rsidRPr="00E51051" w:rsidRDefault="00A30854" w:rsidP="001B0F06">
      <w:pPr>
        <w:numPr>
          <w:ilvl w:val="0"/>
          <w:numId w:val="17"/>
        </w:numPr>
        <w:tabs>
          <w:tab w:val="left" w:pos="567"/>
          <w:tab w:val="left" w:pos="1134"/>
        </w:tabs>
        <w:spacing w:line="260" w:lineRule="exact"/>
        <w:ind w:left="1134" w:hanging="567"/>
        <w:jc w:val="both"/>
        <w:rPr>
          <w:sz w:val="22"/>
          <w:szCs w:val="22"/>
          <w:lang w:val="sr-Latn-RS" w:eastAsia="hr-HR"/>
        </w:rPr>
      </w:pPr>
      <w:r w:rsidRPr="00E51051">
        <w:rPr>
          <w:sz w:val="22"/>
          <w:szCs w:val="22"/>
          <w:lang w:val="sr-Latn-RS" w:eastAsia="hr-HR"/>
        </w:rPr>
        <w:lastRenderedPageBreak/>
        <w:t xml:space="preserve">modifikaciju </w:t>
      </w:r>
      <w:r w:rsidRPr="00E51051">
        <w:rPr>
          <w:i/>
          <w:iCs/>
          <w:sz w:val="22"/>
          <w:szCs w:val="22"/>
          <w:lang w:val="sr-Latn-RS" w:eastAsia="hr-HR"/>
        </w:rPr>
        <w:t>PBPs</w:t>
      </w:r>
      <w:r w:rsidRPr="00E51051">
        <w:rPr>
          <w:sz w:val="22"/>
          <w:szCs w:val="22"/>
          <w:lang w:val="sr-Latn-RS" w:eastAsia="hr-HR"/>
        </w:rPr>
        <w:t>.</w:t>
      </w:r>
    </w:p>
    <w:p w14:paraId="093CC0DC" w14:textId="77777777" w:rsidR="00A30854" w:rsidRPr="00E51051" w:rsidRDefault="00A30854" w:rsidP="00187482">
      <w:pPr>
        <w:jc w:val="both"/>
        <w:rPr>
          <w:sz w:val="22"/>
          <w:szCs w:val="22"/>
          <w:lang w:val="sr-Latn-RS" w:eastAsia="hr-HR"/>
        </w:rPr>
      </w:pPr>
    </w:p>
    <w:p w14:paraId="7ABF5EBB" w14:textId="77777777" w:rsidR="00A30854" w:rsidRPr="00E51051" w:rsidRDefault="00A30854" w:rsidP="00187482">
      <w:pPr>
        <w:keepNext/>
        <w:jc w:val="both"/>
        <w:rPr>
          <w:rFonts w:eastAsia="SimSun"/>
          <w:bCs/>
          <w:sz w:val="22"/>
          <w:szCs w:val="22"/>
          <w:lang w:val="sr-Latn-RS" w:eastAsia="zh-CN"/>
        </w:rPr>
      </w:pPr>
      <w:r w:rsidRPr="00E51051">
        <w:rPr>
          <w:rFonts w:eastAsia="SimSun"/>
          <w:bCs/>
          <w:sz w:val="22"/>
          <w:szCs w:val="22"/>
          <w:lang w:val="sr-Latn-RS" w:eastAsia="zh-CN"/>
        </w:rPr>
        <w:t>Tazobaktam ne inhibira sve enzime klase A.</w:t>
      </w:r>
    </w:p>
    <w:p w14:paraId="1AA22F96" w14:textId="5ED8ED15" w:rsidR="00A30854" w:rsidRPr="00E51051" w:rsidRDefault="00A30854" w:rsidP="00187482">
      <w:pPr>
        <w:keepNext/>
        <w:jc w:val="both"/>
        <w:rPr>
          <w:rFonts w:eastAsia="SimSun"/>
          <w:bCs/>
          <w:sz w:val="22"/>
          <w:szCs w:val="22"/>
          <w:lang w:val="sr-Latn-RS" w:eastAsia="zh-CN"/>
        </w:rPr>
      </w:pPr>
      <w:r w:rsidRPr="00E51051">
        <w:rPr>
          <w:rFonts w:eastAsia="SimSun"/>
          <w:bCs/>
          <w:sz w:val="22"/>
          <w:szCs w:val="22"/>
          <w:lang w:val="sr-Latn-RS" w:eastAsia="zh-CN"/>
        </w:rPr>
        <w:t>Dodatno, tazobaktam ne inhibira sljedeće vrste beta</w:t>
      </w:r>
      <w:r w:rsidRPr="00E51051">
        <w:rPr>
          <w:rFonts w:eastAsia="SimSun"/>
          <w:bCs/>
          <w:sz w:val="22"/>
          <w:szCs w:val="22"/>
          <w:lang w:val="sr-Latn-RS" w:eastAsia="zh-CN"/>
        </w:rPr>
        <w:noBreakHyphen/>
        <w:t>laktamaza:</w:t>
      </w:r>
    </w:p>
    <w:p w14:paraId="5B084683" w14:textId="77777777" w:rsidR="00A30854" w:rsidRPr="00E51051" w:rsidRDefault="00A30854" w:rsidP="002F676D">
      <w:pPr>
        <w:numPr>
          <w:ilvl w:val="0"/>
          <w:numId w:val="18"/>
        </w:numPr>
        <w:tabs>
          <w:tab w:val="left" w:pos="567"/>
          <w:tab w:val="left" w:pos="1134"/>
        </w:tabs>
        <w:spacing w:line="260" w:lineRule="exact"/>
        <w:ind w:left="1134" w:hanging="567"/>
        <w:jc w:val="both"/>
        <w:rPr>
          <w:rFonts w:eastAsia="SimSun"/>
          <w:bCs/>
          <w:sz w:val="22"/>
          <w:szCs w:val="22"/>
          <w:lang w:val="sr-Latn-RS" w:eastAsia="zh-CN"/>
        </w:rPr>
      </w:pPr>
      <w:r w:rsidRPr="00E51051">
        <w:rPr>
          <w:rFonts w:eastAsia="SimSun"/>
          <w:bCs/>
          <w:sz w:val="22"/>
          <w:szCs w:val="22"/>
          <w:lang w:val="sr-Latn-RS" w:eastAsia="zh-CN"/>
        </w:rPr>
        <w:t>AmpC enzime (koje proizvode Enterobacterales)</w:t>
      </w:r>
    </w:p>
    <w:p w14:paraId="6785F232" w14:textId="77777777" w:rsidR="00A30854" w:rsidRPr="00E51051" w:rsidRDefault="00A30854" w:rsidP="001B0F06">
      <w:pPr>
        <w:numPr>
          <w:ilvl w:val="0"/>
          <w:numId w:val="18"/>
        </w:numPr>
        <w:tabs>
          <w:tab w:val="left" w:pos="567"/>
          <w:tab w:val="left" w:pos="1134"/>
        </w:tabs>
        <w:spacing w:line="260" w:lineRule="exact"/>
        <w:ind w:left="1134" w:hanging="567"/>
        <w:jc w:val="both"/>
        <w:rPr>
          <w:rFonts w:eastAsia="SimSun"/>
          <w:bCs/>
          <w:sz w:val="22"/>
          <w:szCs w:val="22"/>
          <w:lang w:val="sr-Latn-RS" w:eastAsia="zh-CN"/>
        </w:rPr>
      </w:pPr>
      <w:r w:rsidRPr="00E51051">
        <w:rPr>
          <w:sz w:val="22"/>
          <w:szCs w:val="22"/>
          <w:lang w:val="sr-Latn-RS" w:eastAsia="zh-CN"/>
        </w:rPr>
        <w:t xml:space="preserve">serinske karbapenemaze (npr. karbapenemaze bakterije </w:t>
      </w:r>
      <w:r w:rsidRPr="00E51051">
        <w:rPr>
          <w:i/>
          <w:sz w:val="22"/>
          <w:szCs w:val="22"/>
          <w:shd w:val="clear" w:color="auto" w:fill="FFFFFF"/>
          <w:lang w:val="sr-Latn-RS" w:eastAsia="hr-HR"/>
        </w:rPr>
        <w:t>Klebsiella pneumoniae</w:t>
      </w:r>
      <w:r w:rsidRPr="00E51051">
        <w:rPr>
          <w:sz w:val="22"/>
          <w:szCs w:val="22"/>
          <w:shd w:val="clear" w:color="auto" w:fill="FFFFFF"/>
          <w:lang w:val="sr-Latn-RS" w:eastAsia="hr-HR"/>
        </w:rPr>
        <w:t xml:space="preserve"> </w:t>
      </w:r>
      <w:r w:rsidRPr="00E51051">
        <w:rPr>
          <w:sz w:val="22"/>
          <w:szCs w:val="22"/>
          <w:lang w:val="sr-Latn-RS" w:eastAsia="zh-CN"/>
        </w:rPr>
        <w:t>[KPCs])</w:t>
      </w:r>
    </w:p>
    <w:p w14:paraId="18A94381" w14:textId="77777777" w:rsidR="00A30854" w:rsidRPr="00E51051" w:rsidRDefault="00A30854" w:rsidP="003F22BA">
      <w:pPr>
        <w:numPr>
          <w:ilvl w:val="0"/>
          <w:numId w:val="18"/>
        </w:numPr>
        <w:tabs>
          <w:tab w:val="left" w:pos="567"/>
          <w:tab w:val="left" w:pos="1134"/>
        </w:tabs>
        <w:spacing w:line="260" w:lineRule="exact"/>
        <w:ind w:left="1134" w:hanging="567"/>
        <w:jc w:val="both"/>
        <w:rPr>
          <w:rFonts w:eastAsia="SimSun"/>
          <w:bCs/>
          <w:sz w:val="22"/>
          <w:szCs w:val="22"/>
          <w:lang w:val="sr-Latn-RS" w:eastAsia="zh-CN"/>
        </w:rPr>
      </w:pPr>
      <w:r w:rsidRPr="00E51051">
        <w:rPr>
          <w:sz w:val="22"/>
          <w:szCs w:val="22"/>
          <w:lang w:val="sr-Latn-RS" w:eastAsia="zh-CN"/>
        </w:rPr>
        <w:t>metalo</w:t>
      </w:r>
      <w:r w:rsidRPr="00E51051">
        <w:rPr>
          <w:sz w:val="22"/>
          <w:szCs w:val="22"/>
          <w:lang w:val="sr-Latn-RS" w:eastAsia="zh-CN"/>
        </w:rPr>
        <w:noBreakHyphen/>
        <w:t>beta</w:t>
      </w:r>
      <w:r w:rsidRPr="00E51051">
        <w:rPr>
          <w:sz w:val="22"/>
          <w:szCs w:val="22"/>
          <w:lang w:val="sr-Latn-RS" w:eastAsia="zh-CN"/>
        </w:rPr>
        <w:noBreakHyphen/>
        <w:t xml:space="preserve">laktamaze (npr. </w:t>
      </w:r>
      <w:r w:rsidRPr="00E51051">
        <w:rPr>
          <w:i/>
          <w:sz w:val="22"/>
          <w:szCs w:val="22"/>
          <w:shd w:val="clear" w:color="auto" w:fill="FFFFFF"/>
          <w:lang w:val="sr-Latn-RS" w:eastAsia="hr-HR"/>
        </w:rPr>
        <w:t>New Delhi</w:t>
      </w:r>
      <w:r w:rsidRPr="00E51051">
        <w:rPr>
          <w:sz w:val="22"/>
          <w:szCs w:val="22"/>
          <w:shd w:val="clear" w:color="auto" w:fill="FFFFFF"/>
          <w:lang w:val="sr-Latn-RS" w:eastAsia="hr-HR"/>
        </w:rPr>
        <w:t xml:space="preserve"> metalo</w:t>
      </w:r>
      <w:r w:rsidRPr="00E51051">
        <w:rPr>
          <w:sz w:val="22"/>
          <w:szCs w:val="22"/>
          <w:shd w:val="clear" w:color="auto" w:fill="FFFFFF"/>
          <w:lang w:val="sr-Latn-RS" w:eastAsia="hr-HR"/>
        </w:rPr>
        <w:noBreakHyphen/>
        <w:t>beta</w:t>
      </w:r>
      <w:r w:rsidRPr="00E51051">
        <w:rPr>
          <w:sz w:val="22"/>
          <w:szCs w:val="22"/>
          <w:shd w:val="clear" w:color="auto" w:fill="FFFFFF"/>
          <w:lang w:val="sr-Latn-RS" w:eastAsia="hr-HR"/>
        </w:rPr>
        <w:noBreakHyphen/>
        <w:t>laktamazu [</w:t>
      </w:r>
      <w:r w:rsidRPr="00E51051">
        <w:rPr>
          <w:sz w:val="22"/>
          <w:szCs w:val="22"/>
          <w:lang w:val="sr-Latn-RS" w:eastAsia="zh-CN"/>
        </w:rPr>
        <w:t>NDM])</w:t>
      </w:r>
    </w:p>
    <w:p w14:paraId="308F6F73" w14:textId="77777777" w:rsidR="00A30854" w:rsidRPr="00E51051" w:rsidRDefault="00A30854">
      <w:pPr>
        <w:numPr>
          <w:ilvl w:val="0"/>
          <w:numId w:val="18"/>
        </w:numPr>
        <w:tabs>
          <w:tab w:val="left" w:pos="567"/>
          <w:tab w:val="left" w:pos="1134"/>
        </w:tabs>
        <w:spacing w:line="260" w:lineRule="exact"/>
        <w:ind w:left="1134" w:hanging="567"/>
        <w:jc w:val="both"/>
        <w:rPr>
          <w:rFonts w:eastAsia="SimSun"/>
          <w:bCs/>
          <w:sz w:val="22"/>
          <w:szCs w:val="22"/>
          <w:lang w:val="sr-Latn-RS" w:eastAsia="zh-CN"/>
        </w:rPr>
      </w:pPr>
      <w:r w:rsidRPr="00E51051">
        <w:rPr>
          <w:sz w:val="22"/>
          <w:szCs w:val="22"/>
          <w:lang w:val="sr-Latn-RS" w:eastAsia="zh-CN"/>
        </w:rPr>
        <w:t>beta</w:t>
      </w:r>
      <w:r w:rsidRPr="00E51051">
        <w:rPr>
          <w:sz w:val="22"/>
          <w:szCs w:val="22"/>
          <w:lang w:val="sr-Latn-RS" w:eastAsia="zh-CN"/>
        </w:rPr>
        <w:noBreakHyphen/>
        <w:t>laktamaze Ambler klase D (OXA</w:t>
      </w:r>
      <w:r w:rsidRPr="00E51051">
        <w:rPr>
          <w:sz w:val="22"/>
          <w:szCs w:val="22"/>
          <w:lang w:val="sr-Latn-RS" w:eastAsia="zh-CN"/>
        </w:rPr>
        <w:noBreakHyphen/>
        <w:t>karbapenemaze).</w:t>
      </w:r>
    </w:p>
    <w:p w14:paraId="09B3627A" w14:textId="77777777" w:rsidR="00A30854" w:rsidRPr="00E51051" w:rsidRDefault="00A30854" w:rsidP="00187482">
      <w:pPr>
        <w:jc w:val="both"/>
        <w:rPr>
          <w:sz w:val="22"/>
          <w:szCs w:val="22"/>
          <w:lang w:val="sr-Latn-RS" w:eastAsia="hr-HR"/>
        </w:rPr>
      </w:pPr>
    </w:p>
    <w:p w14:paraId="41D591AD" w14:textId="77777777" w:rsidR="00A30854" w:rsidRPr="00E51051" w:rsidRDefault="00A30854" w:rsidP="00187482">
      <w:pPr>
        <w:keepNext/>
        <w:jc w:val="both"/>
        <w:rPr>
          <w:sz w:val="22"/>
          <w:szCs w:val="22"/>
          <w:u w:val="single"/>
          <w:lang w:val="sr-Latn-RS" w:eastAsia="hr-HR"/>
        </w:rPr>
      </w:pPr>
      <w:r w:rsidRPr="00E51051">
        <w:rPr>
          <w:sz w:val="22"/>
          <w:szCs w:val="22"/>
          <w:u w:val="single"/>
          <w:lang w:val="sr-Latn-RS" w:eastAsia="hr-HR"/>
        </w:rPr>
        <w:t>Odnosi farmakokinetike/farmakodinamike</w:t>
      </w:r>
    </w:p>
    <w:p w14:paraId="39426BE5" w14:textId="77777777" w:rsidR="00A30854" w:rsidRPr="00E51051" w:rsidRDefault="00A30854" w:rsidP="00187482">
      <w:pPr>
        <w:keepNext/>
        <w:jc w:val="both"/>
        <w:rPr>
          <w:sz w:val="22"/>
          <w:szCs w:val="22"/>
          <w:lang w:val="sr-Latn-RS" w:eastAsia="hr-HR"/>
        </w:rPr>
      </w:pPr>
    </w:p>
    <w:p w14:paraId="4432060F" w14:textId="2B32E9D6" w:rsidR="00A30854" w:rsidRPr="00E51051" w:rsidRDefault="00A30854" w:rsidP="00187482">
      <w:pPr>
        <w:jc w:val="both"/>
        <w:rPr>
          <w:sz w:val="22"/>
          <w:szCs w:val="22"/>
          <w:lang w:val="sr-Latn-RS" w:eastAsia="hr-HR"/>
        </w:rPr>
      </w:pPr>
      <w:r w:rsidRPr="00E51051">
        <w:rPr>
          <w:sz w:val="22"/>
          <w:szCs w:val="22"/>
          <w:lang w:val="sr-Latn-RS" w:eastAsia="hr-HR"/>
        </w:rPr>
        <w:t>Kao najbolji pokazatelj efikasnosti ceftolozana u životinjskim modelima infekcije pokazalo se vrijeme za koje koncentracija ceftolozana u plazmi premašuje minimalnu inhibitornu koncentraciju za organizam koji uzrokuje infekciju.</w:t>
      </w:r>
    </w:p>
    <w:p w14:paraId="4E1F4D6F" w14:textId="77777777" w:rsidR="00A30854" w:rsidRPr="00E51051" w:rsidRDefault="00A30854" w:rsidP="00187482">
      <w:pPr>
        <w:jc w:val="both"/>
        <w:rPr>
          <w:sz w:val="22"/>
          <w:szCs w:val="22"/>
          <w:lang w:val="sr-Latn-RS" w:eastAsia="hr-HR"/>
        </w:rPr>
      </w:pPr>
    </w:p>
    <w:p w14:paraId="21EA68F4" w14:textId="79D32090" w:rsidR="00A30854" w:rsidRPr="00E51051" w:rsidRDefault="00A30854" w:rsidP="00187482">
      <w:pPr>
        <w:jc w:val="both"/>
        <w:rPr>
          <w:sz w:val="22"/>
          <w:szCs w:val="22"/>
          <w:lang w:val="sr-Latn-RS" w:eastAsia="hr-HR"/>
        </w:rPr>
      </w:pPr>
      <w:r w:rsidRPr="00E51051">
        <w:rPr>
          <w:sz w:val="22"/>
          <w:szCs w:val="22"/>
          <w:lang w:val="sr-Latn-RS" w:eastAsia="hr-HR"/>
        </w:rPr>
        <w:t>Za tazobaktam je utvrđeno da je farmakodinamski indeks povezan sa efikasnošću procenta doznog intervala tokom koga koncentracija tazobaktama u plazmi premašuje graničnu vrijednost (%T &gt; granične vrijednosti). Utvrđeno je da je vr</w:t>
      </w:r>
      <w:r w:rsidR="003510DD" w:rsidRPr="00E51051">
        <w:rPr>
          <w:sz w:val="22"/>
          <w:szCs w:val="22"/>
          <w:lang w:val="sr-Latn-RS" w:eastAsia="hr-HR"/>
        </w:rPr>
        <w:t>ij</w:t>
      </w:r>
      <w:r w:rsidRPr="00E51051">
        <w:rPr>
          <w:sz w:val="22"/>
          <w:szCs w:val="22"/>
          <w:lang w:val="sr-Latn-RS" w:eastAsia="hr-HR"/>
        </w:rPr>
        <w:t xml:space="preserve">eme iznad granične koncentracije parametar koji najbolje predviđa efikasnost tazobaktama u </w:t>
      </w:r>
      <w:r w:rsidRPr="00E51051">
        <w:rPr>
          <w:i/>
          <w:sz w:val="22"/>
          <w:szCs w:val="22"/>
          <w:lang w:val="sr-Latn-RS" w:eastAsia="hr-HR"/>
        </w:rPr>
        <w:t>in vitro</w:t>
      </w:r>
      <w:r w:rsidRPr="00E51051">
        <w:rPr>
          <w:sz w:val="22"/>
          <w:szCs w:val="22"/>
          <w:lang w:val="sr-Latn-RS" w:eastAsia="hr-HR"/>
        </w:rPr>
        <w:t xml:space="preserve"> i </w:t>
      </w:r>
      <w:r w:rsidRPr="00E51051">
        <w:rPr>
          <w:i/>
          <w:sz w:val="22"/>
          <w:szCs w:val="22"/>
          <w:lang w:val="sr-Latn-RS" w:eastAsia="hr-HR"/>
        </w:rPr>
        <w:t>in vivo</w:t>
      </w:r>
      <w:r w:rsidRPr="00E51051">
        <w:rPr>
          <w:sz w:val="22"/>
          <w:szCs w:val="22"/>
          <w:lang w:val="sr-Latn-RS" w:eastAsia="hr-HR"/>
        </w:rPr>
        <w:t xml:space="preserve"> </w:t>
      </w:r>
      <w:r w:rsidR="00EA7BF0" w:rsidRPr="00E51051">
        <w:rPr>
          <w:sz w:val="22"/>
          <w:szCs w:val="22"/>
          <w:lang w:val="sr-Latn-RS" w:eastAsia="hr-HR"/>
        </w:rPr>
        <w:t>pret</w:t>
      </w:r>
      <w:r w:rsidRPr="00E51051">
        <w:rPr>
          <w:sz w:val="22"/>
          <w:szCs w:val="22"/>
          <w:lang w:val="sr-Latn-RS" w:eastAsia="hr-HR"/>
        </w:rPr>
        <w:t>kliničkim modelima.</w:t>
      </w:r>
    </w:p>
    <w:p w14:paraId="38C91303" w14:textId="77777777" w:rsidR="00A30854" w:rsidRPr="00E51051" w:rsidRDefault="00A30854" w:rsidP="00187482">
      <w:pPr>
        <w:jc w:val="both"/>
        <w:rPr>
          <w:sz w:val="22"/>
          <w:szCs w:val="22"/>
          <w:lang w:val="sr-Latn-RS" w:eastAsia="hr-HR"/>
        </w:rPr>
      </w:pPr>
    </w:p>
    <w:p w14:paraId="14EB20AD" w14:textId="74E7F3FB" w:rsidR="00A30854" w:rsidRPr="00E51051" w:rsidRDefault="00A30854" w:rsidP="00187482">
      <w:pPr>
        <w:keepNext/>
        <w:tabs>
          <w:tab w:val="left" w:pos="567"/>
        </w:tabs>
        <w:autoSpaceDE w:val="0"/>
        <w:autoSpaceDN w:val="0"/>
        <w:adjustRightInd w:val="0"/>
        <w:jc w:val="both"/>
        <w:rPr>
          <w:sz w:val="22"/>
          <w:szCs w:val="22"/>
          <w:u w:val="single"/>
          <w:lang w:val="sr-Latn-RS"/>
        </w:rPr>
      </w:pPr>
      <w:r w:rsidRPr="00E51051">
        <w:rPr>
          <w:sz w:val="22"/>
          <w:szCs w:val="22"/>
          <w:u w:val="single"/>
          <w:lang w:val="sr-Latn-RS"/>
        </w:rPr>
        <w:t>Granične vrijednosti kod ispitivanja os</w:t>
      </w:r>
      <w:r w:rsidR="003510DD" w:rsidRPr="00E51051">
        <w:rPr>
          <w:sz w:val="22"/>
          <w:szCs w:val="22"/>
          <w:u w:val="single"/>
          <w:lang w:val="sr-Latn-RS"/>
        </w:rPr>
        <w:t>j</w:t>
      </w:r>
      <w:r w:rsidRPr="00E51051">
        <w:rPr>
          <w:sz w:val="22"/>
          <w:szCs w:val="22"/>
          <w:u w:val="single"/>
          <w:lang w:val="sr-Latn-RS"/>
        </w:rPr>
        <w:t>etljivosti</w:t>
      </w:r>
    </w:p>
    <w:p w14:paraId="1B51445F" w14:textId="77777777" w:rsidR="00A30854" w:rsidRPr="00E51051" w:rsidRDefault="00A30854" w:rsidP="00187482">
      <w:pPr>
        <w:keepNext/>
        <w:tabs>
          <w:tab w:val="left" w:pos="567"/>
        </w:tabs>
        <w:autoSpaceDE w:val="0"/>
        <w:autoSpaceDN w:val="0"/>
        <w:adjustRightInd w:val="0"/>
        <w:jc w:val="both"/>
        <w:rPr>
          <w:sz w:val="22"/>
          <w:szCs w:val="22"/>
          <w:lang w:val="sr-Latn-RS"/>
        </w:rPr>
      </w:pPr>
    </w:p>
    <w:p w14:paraId="17B8BAD8" w14:textId="0B646D13" w:rsidR="00A30854" w:rsidRPr="00E51051" w:rsidRDefault="00A30854" w:rsidP="00187482">
      <w:pPr>
        <w:keepNext/>
        <w:tabs>
          <w:tab w:val="left" w:pos="567"/>
        </w:tabs>
        <w:autoSpaceDE w:val="0"/>
        <w:autoSpaceDN w:val="0"/>
        <w:adjustRightInd w:val="0"/>
        <w:jc w:val="both"/>
        <w:rPr>
          <w:sz w:val="22"/>
          <w:szCs w:val="22"/>
          <w:lang w:val="sr-Latn-RS"/>
        </w:rPr>
      </w:pPr>
      <w:r w:rsidRPr="00E51051">
        <w:rPr>
          <w:sz w:val="22"/>
          <w:szCs w:val="22"/>
          <w:lang w:val="sr-Latn-RS"/>
        </w:rPr>
        <w:t xml:space="preserve">Granične vrijednosti minimalne inhibitorne koncentracije koje je ustanovio Evropski komitet za ispitivanje osjetljivosti na antimikrobne ljekove (engl. </w:t>
      </w:r>
      <w:r w:rsidRPr="00E51051">
        <w:rPr>
          <w:i/>
          <w:sz w:val="22"/>
          <w:szCs w:val="22"/>
          <w:lang w:val="sr-Latn-RS"/>
        </w:rPr>
        <w:t xml:space="preserve">European Committee on Antimicrobial Susceptibility Testing, </w:t>
      </w:r>
      <w:r w:rsidRPr="00E51051">
        <w:rPr>
          <w:sz w:val="22"/>
          <w:szCs w:val="22"/>
          <w:lang w:val="sr-Latn-RS"/>
        </w:rPr>
        <w:t>EUCAST) su sljedeće:</w:t>
      </w:r>
    </w:p>
    <w:p w14:paraId="7F7E2BAF" w14:textId="77777777" w:rsidR="00A30854" w:rsidRPr="00E51051" w:rsidRDefault="00A30854" w:rsidP="00A30854">
      <w:pPr>
        <w:pStyle w:val="Header"/>
        <w:tabs>
          <w:tab w:val="left" w:pos="284"/>
        </w:tabs>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2895"/>
        <w:gridCol w:w="1655"/>
        <w:gridCol w:w="2594"/>
      </w:tblGrid>
      <w:tr w:rsidR="00A30854" w:rsidRPr="00E51051" w14:paraId="08A40859" w14:textId="77777777" w:rsidTr="00187482">
        <w:trPr>
          <w:cantSplit/>
          <w:trHeight w:val="554"/>
          <w:tblHeader/>
        </w:trPr>
        <w:tc>
          <w:tcPr>
            <w:tcW w:w="1059" w:type="pct"/>
            <w:shd w:val="clear" w:color="auto" w:fill="auto"/>
          </w:tcPr>
          <w:p w14:paraId="265ED27C" w14:textId="77777777" w:rsidR="00A30854" w:rsidRPr="00E51051" w:rsidRDefault="00A30854" w:rsidP="004A38AE">
            <w:pPr>
              <w:keepNext/>
              <w:autoSpaceDE w:val="0"/>
              <w:autoSpaceDN w:val="0"/>
              <w:adjustRightInd w:val="0"/>
              <w:rPr>
                <w:sz w:val="22"/>
                <w:szCs w:val="22"/>
                <w:lang w:val="sr-Latn-RS"/>
              </w:rPr>
            </w:pPr>
          </w:p>
        </w:tc>
        <w:tc>
          <w:tcPr>
            <w:tcW w:w="1597" w:type="pct"/>
            <w:shd w:val="clear" w:color="auto" w:fill="auto"/>
          </w:tcPr>
          <w:p w14:paraId="1EBDA6E8" w14:textId="77777777" w:rsidR="00A30854" w:rsidRPr="00E51051" w:rsidRDefault="00A30854" w:rsidP="004A38AE">
            <w:pPr>
              <w:keepNext/>
              <w:autoSpaceDE w:val="0"/>
              <w:autoSpaceDN w:val="0"/>
              <w:adjustRightInd w:val="0"/>
              <w:rPr>
                <w:sz w:val="22"/>
                <w:szCs w:val="22"/>
                <w:lang w:val="sr-Latn-RS"/>
              </w:rPr>
            </w:pPr>
          </w:p>
        </w:tc>
        <w:tc>
          <w:tcPr>
            <w:tcW w:w="2344" w:type="pct"/>
            <w:gridSpan w:val="2"/>
            <w:shd w:val="clear" w:color="auto" w:fill="auto"/>
          </w:tcPr>
          <w:p w14:paraId="6CB8CD2C" w14:textId="3395399C" w:rsidR="00A30854" w:rsidRPr="00E51051" w:rsidRDefault="00A30854" w:rsidP="004A38AE">
            <w:pPr>
              <w:keepNext/>
              <w:autoSpaceDE w:val="0"/>
              <w:autoSpaceDN w:val="0"/>
              <w:adjustRightInd w:val="0"/>
              <w:rPr>
                <w:b/>
                <w:sz w:val="22"/>
                <w:szCs w:val="22"/>
                <w:lang w:val="sr-Latn-RS"/>
              </w:rPr>
            </w:pPr>
            <w:r w:rsidRPr="00E51051">
              <w:rPr>
                <w:b/>
                <w:sz w:val="22"/>
                <w:szCs w:val="22"/>
                <w:lang w:val="sr-Latn-RS"/>
              </w:rPr>
              <w:t>Minimalne inhibitorne koncentracije (mg/</w:t>
            </w:r>
            <w:r w:rsidR="00EA7BF0" w:rsidRPr="00E51051">
              <w:rPr>
                <w:b/>
                <w:sz w:val="22"/>
                <w:szCs w:val="22"/>
                <w:lang w:val="sr-Latn-RS"/>
              </w:rPr>
              <w:t>l</w:t>
            </w:r>
            <w:r w:rsidRPr="00E51051">
              <w:rPr>
                <w:b/>
                <w:sz w:val="22"/>
                <w:szCs w:val="22"/>
                <w:lang w:val="sr-Latn-RS"/>
              </w:rPr>
              <w:t>)</w:t>
            </w:r>
          </w:p>
        </w:tc>
      </w:tr>
      <w:tr w:rsidR="00A30854" w:rsidRPr="00E51051" w14:paraId="5FFD1EDA" w14:textId="77777777" w:rsidTr="00187482">
        <w:trPr>
          <w:cantSplit/>
          <w:trHeight w:val="258"/>
          <w:tblHeader/>
        </w:trPr>
        <w:tc>
          <w:tcPr>
            <w:tcW w:w="1059" w:type="pct"/>
            <w:shd w:val="clear" w:color="auto" w:fill="auto"/>
          </w:tcPr>
          <w:p w14:paraId="17E0FF73" w14:textId="77777777" w:rsidR="00A30854" w:rsidRPr="00E51051" w:rsidRDefault="00A30854" w:rsidP="004A38AE">
            <w:pPr>
              <w:keepNext/>
              <w:autoSpaceDE w:val="0"/>
              <w:autoSpaceDN w:val="0"/>
              <w:adjustRightInd w:val="0"/>
              <w:rPr>
                <w:b/>
                <w:sz w:val="22"/>
                <w:szCs w:val="22"/>
                <w:lang w:val="sr-Latn-RS"/>
              </w:rPr>
            </w:pPr>
            <w:r w:rsidRPr="00E51051">
              <w:rPr>
                <w:b/>
                <w:sz w:val="22"/>
                <w:szCs w:val="22"/>
                <w:lang w:val="sr-Latn-RS"/>
              </w:rPr>
              <w:t xml:space="preserve">Patogen </w:t>
            </w:r>
          </w:p>
        </w:tc>
        <w:tc>
          <w:tcPr>
            <w:tcW w:w="1597" w:type="pct"/>
            <w:shd w:val="clear" w:color="auto" w:fill="auto"/>
          </w:tcPr>
          <w:p w14:paraId="2DB48C56" w14:textId="77777777" w:rsidR="00A30854" w:rsidRPr="00E51051" w:rsidRDefault="00A30854" w:rsidP="004A38AE">
            <w:pPr>
              <w:keepNext/>
              <w:autoSpaceDE w:val="0"/>
              <w:autoSpaceDN w:val="0"/>
              <w:adjustRightInd w:val="0"/>
              <w:rPr>
                <w:b/>
                <w:sz w:val="22"/>
                <w:szCs w:val="22"/>
                <w:lang w:val="sr-Latn-RS"/>
              </w:rPr>
            </w:pPr>
            <w:r w:rsidRPr="00E51051">
              <w:rPr>
                <w:b/>
                <w:sz w:val="22"/>
                <w:szCs w:val="22"/>
                <w:lang w:val="sr-Latn-RS"/>
              </w:rPr>
              <w:t>Vrsta infekcije</w:t>
            </w:r>
          </w:p>
        </w:tc>
        <w:tc>
          <w:tcPr>
            <w:tcW w:w="913" w:type="pct"/>
            <w:shd w:val="clear" w:color="auto" w:fill="auto"/>
          </w:tcPr>
          <w:p w14:paraId="02788382" w14:textId="15409E28" w:rsidR="00A30854" w:rsidRPr="00E51051" w:rsidRDefault="00A30854" w:rsidP="004A38AE">
            <w:pPr>
              <w:keepNext/>
              <w:autoSpaceDE w:val="0"/>
              <w:autoSpaceDN w:val="0"/>
              <w:adjustRightInd w:val="0"/>
              <w:jc w:val="center"/>
              <w:rPr>
                <w:b/>
                <w:sz w:val="22"/>
                <w:szCs w:val="22"/>
                <w:lang w:val="sr-Latn-RS"/>
              </w:rPr>
            </w:pPr>
            <w:r w:rsidRPr="00E51051">
              <w:rPr>
                <w:b/>
                <w:sz w:val="22"/>
                <w:szCs w:val="22"/>
                <w:lang w:val="sr-Latn-RS"/>
              </w:rPr>
              <w:t>Osjetljiv</w:t>
            </w:r>
          </w:p>
        </w:tc>
        <w:tc>
          <w:tcPr>
            <w:tcW w:w="1431" w:type="pct"/>
            <w:shd w:val="clear" w:color="auto" w:fill="auto"/>
          </w:tcPr>
          <w:p w14:paraId="6459B18B" w14:textId="77777777" w:rsidR="00A30854" w:rsidRPr="00E51051" w:rsidRDefault="00A30854" w:rsidP="004A38AE">
            <w:pPr>
              <w:keepNext/>
              <w:autoSpaceDE w:val="0"/>
              <w:autoSpaceDN w:val="0"/>
              <w:adjustRightInd w:val="0"/>
              <w:jc w:val="center"/>
              <w:rPr>
                <w:b/>
                <w:sz w:val="22"/>
                <w:szCs w:val="22"/>
                <w:lang w:val="sr-Latn-RS"/>
              </w:rPr>
            </w:pPr>
            <w:r w:rsidRPr="00E51051">
              <w:rPr>
                <w:b/>
                <w:sz w:val="22"/>
                <w:szCs w:val="22"/>
                <w:lang w:val="sr-Latn-RS"/>
              </w:rPr>
              <w:t>Rezistentan</w:t>
            </w:r>
          </w:p>
        </w:tc>
      </w:tr>
      <w:tr w:rsidR="00A30854" w:rsidRPr="00E51051" w14:paraId="2AE94113" w14:textId="77777777" w:rsidTr="00187482">
        <w:trPr>
          <w:cantSplit/>
          <w:trHeight w:val="277"/>
        </w:trPr>
        <w:tc>
          <w:tcPr>
            <w:tcW w:w="1059" w:type="pct"/>
            <w:shd w:val="clear" w:color="auto" w:fill="auto"/>
          </w:tcPr>
          <w:p w14:paraId="0C957D9F" w14:textId="77777777" w:rsidR="00A30854" w:rsidRPr="00E51051" w:rsidRDefault="00A30854" w:rsidP="004A38AE">
            <w:pPr>
              <w:autoSpaceDE w:val="0"/>
              <w:autoSpaceDN w:val="0"/>
              <w:adjustRightInd w:val="0"/>
              <w:rPr>
                <w:i/>
                <w:sz w:val="22"/>
                <w:szCs w:val="22"/>
                <w:lang w:val="sr-Latn-RS"/>
              </w:rPr>
            </w:pPr>
            <w:r w:rsidRPr="00E51051">
              <w:rPr>
                <w:rFonts w:eastAsia="SimSun"/>
                <w:bCs/>
                <w:sz w:val="22"/>
                <w:szCs w:val="22"/>
                <w:lang w:val="sr-Latn-RS" w:eastAsia="zh-CN"/>
              </w:rPr>
              <w:t>Enterobacterales</w:t>
            </w:r>
          </w:p>
        </w:tc>
        <w:tc>
          <w:tcPr>
            <w:tcW w:w="1597" w:type="pct"/>
            <w:shd w:val="clear" w:color="auto" w:fill="auto"/>
          </w:tcPr>
          <w:p w14:paraId="5E00E9DE" w14:textId="77777777" w:rsidR="00A30854" w:rsidRPr="00E51051" w:rsidRDefault="00A30854" w:rsidP="004A38AE">
            <w:pPr>
              <w:keepNext/>
              <w:autoSpaceDE w:val="0"/>
              <w:autoSpaceDN w:val="0"/>
              <w:adjustRightInd w:val="0"/>
              <w:rPr>
                <w:sz w:val="22"/>
                <w:szCs w:val="22"/>
                <w:lang w:val="sr-Latn-RS"/>
              </w:rPr>
            </w:pPr>
            <w:r w:rsidRPr="00E51051">
              <w:rPr>
                <w:sz w:val="22"/>
                <w:szCs w:val="22"/>
                <w:lang w:val="sr-Latn-RS"/>
              </w:rPr>
              <w:t>Komplikovane intraabdominalne infekcije*</w:t>
            </w:r>
          </w:p>
          <w:p w14:paraId="6418D0D3" w14:textId="77777777" w:rsidR="00A30854" w:rsidRPr="00E51051" w:rsidRDefault="00A30854" w:rsidP="004A38AE">
            <w:pPr>
              <w:keepNext/>
              <w:autoSpaceDE w:val="0"/>
              <w:autoSpaceDN w:val="0"/>
              <w:adjustRightInd w:val="0"/>
              <w:rPr>
                <w:sz w:val="22"/>
                <w:szCs w:val="22"/>
                <w:lang w:val="sr-Latn-RS"/>
              </w:rPr>
            </w:pPr>
            <w:r w:rsidRPr="00E51051">
              <w:rPr>
                <w:sz w:val="22"/>
                <w:szCs w:val="22"/>
                <w:lang w:val="sr-Latn-RS"/>
              </w:rPr>
              <w:t>Komplikovane infekcije urinarnog trakta*</w:t>
            </w:r>
          </w:p>
          <w:p w14:paraId="27100D10" w14:textId="77777777" w:rsidR="00A30854" w:rsidRPr="00E51051" w:rsidRDefault="00A30854" w:rsidP="004A38AE">
            <w:pPr>
              <w:autoSpaceDE w:val="0"/>
              <w:autoSpaceDN w:val="0"/>
              <w:adjustRightInd w:val="0"/>
              <w:rPr>
                <w:sz w:val="22"/>
                <w:szCs w:val="22"/>
                <w:lang w:val="sr-Latn-RS"/>
              </w:rPr>
            </w:pPr>
            <w:r w:rsidRPr="00E51051">
              <w:rPr>
                <w:sz w:val="22"/>
                <w:szCs w:val="22"/>
                <w:lang w:val="sr-Latn-RS"/>
              </w:rPr>
              <w:t>Akutni pijelonefritis*</w:t>
            </w:r>
          </w:p>
          <w:p w14:paraId="2DD1F38F" w14:textId="77777777" w:rsidR="00A30854" w:rsidRPr="00E51051" w:rsidRDefault="00A30854" w:rsidP="004A38AE">
            <w:pPr>
              <w:autoSpaceDE w:val="0"/>
              <w:autoSpaceDN w:val="0"/>
              <w:adjustRightInd w:val="0"/>
              <w:rPr>
                <w:sz w:val="22"/>
                <w:szCs w:val="22"/>
                <w:lang w:val="sr-Latn-RS"/>
              </w:rPr>
            </w:pPr>
            <w:r w:rsidRPr="00E51051">
              <w:rPr>
                <w:sz w:val="22"/>
                <w:szCs w:val="22"/>
                <w:lang w:val="sr-Latn-RS"/>
              </w:rPr>
              <w:t>Bolnički stečena pneumonija, uključujući pneumoniju povezanu sa mehaničkom ventilacijom**</w:t>
            </w:r>
          </w:p>
        </w:tc>
        <w:tc>
          <w:tcPr>
            <w:tcW w:w="913" w:type="pct"/>
            <w:shd w:val="clear" w:color="auto" w:fill="auto"/>
          </w:tcPr>
          <w:p w14:paraId="6A797922" w14:textId="47A093EE" w:rsidR="00A30854" w:rsidRPr="00E51051" w:rsidRDefault="00A30854" w:rsidP="004A38AE">
            <w:pPr>
              <w:autoSpaceDE w:val="0"/>
              <w:autoSpaceDN w:val="0"/>
              <w:adjustRightInd w:val="0"/>
              <w:jc w:val="center"/>
              <w:rPr>
                <w:sz w:val="22"/>
                <w:szCs w:val="22"/>
                <w:lang w:val="sr-Latn-RS"/>
              </w:rPr>
            </w:pPr>
            <w:r w:rsidRPr="00E51051">
              <w:rPr>
                <w:sz w:val="22"/>
                <w:szCs w:val="22"/>
                <w:lang w:val="sr-Latn-RS"/>
              </w:rPr>
              <w:t>≤</w:t>
            </w:r>
            <w:r w:rsidR="00EA7BF0" w:rsidRPr="00E51051">
              <w:rPr>
                <w:sz w:val="22"/>
                <w:szCs w:val="22"/>
                <w:lang w:val="sr-Latn-RS"/>
              </w:rPr>
              <w:t xml:space="preserve"> </w:t>
            </w:r>
            <w:r w:rsidRPr="00E51051">
              <w:rPr>
                <w:sz w:val="22"/>
                <w:szCs w:val="22"/>
                <w:lang w:val="sr-Latn-RS"/>
              </w:rPr>
              <w:t>2</w:t>
            </w:r>
          </w:p>
        </w:tc>
        <w:tc>
          <w:tcPr>
            <w:tcW w:w="1431" w:type="pct"/>
            <w:shd w:val="clear" w:color="auto" w:fill="auto"/>
          </w:tcPr>
          <w:p w14:paraId="5128F26E" w14:textId="7ECFF4E7" w:rsidR="00A30854" w:rsidRPr="00E51051" w:rsidRDefault="003F22BA" w:rsidP="00187482">
            <w:pPr>
              <w:pStyle w:val="ListParagraph"/>
              <w:rPr>
                <w:szCs w:val="22"/>
                <w:lang w:val="sr-Latn-RS"/>
              </w:rPr>
            </w:pPr>
            <w:r w:rsidRPr="00E51051">
              <w:rPr>
                <w:szCs w:val="22"/>
                <w:lang w:val="sr-Latn-RS"/>
              </w:rPr>
              <w:t xml:space="preserve">&gt; </w:t>
            </w:r>
            <w:r w:rsidR="00A30854" w:rsidRPr="00E51051">
              <w:rPr>
                <w:szCs w:val="22"/>
                <w:lang w:val="sr-Latn-RS"/>
              </w:rPr>
              <w:t>2</w:t>
            </w:r>
          </w:p>
        </w:tc>
      </w:tr>
      <w:tr w:rsidR="00A30854" w:rsidRPr="00E51051" w14:paraId="58011EE9" w14:textId="77777777" w:rsidTr="00187482">
        <w:trPr>
          <w:cantSplit/>
          <w:trHeight w:val="277"/>
        </w:trPr>
        <w:tc>
          <w:tcPr>
            <w:tcW w:w="1059" w:type="pct"/>
            <w:shd w:val="clear" w:color="auto" w:fill="auto"/>
          </w:tcPr>
          <w:p w14:paraId="51724AF2" w14:textId="77777777" w:rsidR="00A30854" w:rsidRPr="00E51051" w:rsidRDefault="00A30854" w:rsidP="004A38AE">
            <w:pPr>
              <w:autoSpaceDE w:val="0"/>
              <w:autoSpaceDN w:val="0"/>
              <w:adjustRightInd w:val="0"/>
              <w:rPr>
                <w:i/>
                <w:sz w:val="22"/>
                <w:szCs w:val="22"/>
                <w:lang w:val="sr-Latn-RS"/>
              </w:rPr>
            </w:pPr>
            <w:r w:rsidRPr="00E51051">
              <w:rPr>
                <w:i/>
                <w:sz w:val="22"/>
                <w:szCs w:val="22"/>
                <w:lang w:val="sr-Latn-RS"/>
              </w:rPr>
              <w:t>P. aeruginosa</w:t>
            </w:r>
          </w:p>
        </w:tc>
        <w:tc>
          <w:tcPr>
            <w:tcW w:w="1597" w:type="pct"/>
            <w:shd w:val="clear" w:color="auto" w:fill="auto"/>
          </w:tcPr>
          <w:p w14:paraId="28B205F9" w14:textId="77777777" w:rsidR="00A30854" w:rsidRPr="00E51051" w:rsidRDefault="00A30854" w:rsidP="004A38AE">
            <w:pPr>
              <w:keepNext/>
              <w:autoSpaceDE w:val="0"/>
              <w:autoSpaceDN w:val="0"/>
              <w:adjustRightInd w:val="0"/>
              <w:rPr>
                <w:sz w:val="22"/>
                <w:szCs w:val="22"/>
                <w:lang w:val="sr-Latn-RS"/>
              </w:rPr>
            </w:pPr>
            <w:r w:rsidRPr="00E51051">
              <w:rPr>
                <w:sz w:val="22"/>
                <w:szCs w:val="22"/>
                <w:lang w:val="sr-Latn-RS"/>
              </w:rPr>
              <w:t>Komplikovane intraabdominalne infekcije*</w:t>
            </w:r>
          </w:p>
          <w:p w14:paraId="509BF60D" w14:textId="77777777" w:rsidR="00A30854" w:rsidRPr="00E51051" w:rsidRDefault="00A30854" w:rsidP="004A38AE">
            <w:pPr>
              <w:keepNext/>
              <w:autoSpaceDE w:val="0"/>
              <w:autoSpaceDN w:val="0"/>
              <w:adjustRightInd w:val="0"/>
              <w:rPr>
                <w:sz w:val="22"/>
                <w:szCs w:val="22"/>
                <w:lang w:val="sr-Latn-RS"/>
              </w:rPr>
            </w:pPr>
            <w:r w:rsidRPr="00E51051">
              <w:rPr>
                <w:sz w:val="22"/>
                <w:szCs w:val="22"/>
                <w:lang w:val="sr-Latn-RS"/>
              </w:rPr>
              <w:t>Komplikovane infekcije urinarnog trakta*</w:t>
            </w:r>
          </w:p>
          <w:p w14:paraId="0A3B2D56" w14:textId="77777777" w:rsidR="00A30854" w:rsidRPr="00E51051" w:rsidRDefault="00A30854" w:rsidP="004A38AE">
            <w:pPr>
              <w:autoSpaceDE w:val="0"/>
              <w:autoSpaceDN w:val="0"/>
              <w:adjustRightInd w:val="0"/>
              <w:rPr>
                <w:sz w:val="22"/>
                <w:szCs w:val="22"/>
                <w:lang w:val="sr-Latn-RS"/>
              </w:rPr>
            </w:pPr>
            <w:r w:rsidRPr="00E51051">
              <w:rPr>
                <w:sz w:val="22"/>
                <w:szCs w:val="22"/>
                <w:lang w:val="sr-Latn-RS"/>
              </w:rPr>
              <w:t>Akutni pijelonefritis*</w:t>
            </w:r>
          </w:p>
          <w:p w14:paraId="1B470334" w14:textId="77777777" w:rsidR="00A30854" w:rsidRPr="00E51051" w:rsidRDefault="00A30854" w:rsidP="004A38AE">
            <w:pPr>
              <w:autoSpaceDE w:val="0"/>
              <w:autoSpaceDN w:val="0"/>
              <w:adjustRightInd w:val="0"/>
              <w:rPr>
                <w:i/>
                <w:sz w:val="22"/>
                <w:szCs w:val="22"/>
                <w:lang w:val="sr-Latn-RS"/>
              </w:rPr>
            </w:pPr>
            <w:r w:rsidRPr="00E51051">
              <w:rPr>
                <w:sz w:val="22"/>
                <w:szCs w:val="22"/>
                <w:lang w:val="sr-Latn-RS"/>
              </w:rPr>
              <w:t>Bolnički stečena pneumonija, uključujući pneumoniju povezanu sa mehaničkom ventilacijom**</w:t>
            </w:r>
          </w:p>
        </w:tc>
        <w:tc>
          <w:tcPr>
            <w:tcW w:w="913" w:type="pct"/>
            <w:shd w:val="clear" w:color="auto" w:fill="auto"/>
          </w:tcPr>
          <w:p w14:paraId="0E5295E5" w14:textId="77777777" w:rsidR="00A30854" w:rsidRPr="00E51051" w:rsidRDefault="00A30854" w:rsidP="004A38AE">
            <w:pPr>
              <w:autoSpaceDE w:val="0"/>
              <w:autoSpaceDN w:val="0"/>
              <w:adjustRightInd w:val="0"/>
              <w:jc w:val="center"/>
              <w:rPr>
                <w:sz w:val="22"/>
                <w:szCs w:val="22"/>
                <w:lang w:val="sr-Latn-RS"/>
              </w:rPr>
            </w:pPr>
            <w:r w:rsidRPr="00E51051">
              <w:rPr>
                <w:sz w:val="22"/>
                <w:szCs w:val="22"/>
                <w:lang w:val="sr-Latn-RS"/>
              </w:rPr>
              <w:t>≤ 4</w:t>
            </w:r>
          </w:p>
        </w:tc>
        <w:tc>
          <w:tcPr>
            <w:tcW w:w="1431" w:type="pct"/>
            <w:shd w:val="clear" w:color="auto" w:fill="auto"/>
          </w:tcPr>
          <w:p w14:paraId="114D27EB" w14:textId="77777777" w:rsidR="00A30854" w:rsidRPr="00E51051" w:rsidRDefault="00A30854" w:rsidP="004A38AE">
            <w:pPr>
              <w:jc w:val="center"/>
              <w:rPr>
                <w:sz w:val="22"/>
                <w:szCs w:val="22"/>
                <w:lang w:val="sr-Latn-RS"/>
              </w:rPr>
            </w:pPr>
            <w:r w:rsidRPr="00E51051">
              <w:rPr>
                <w:sz w:val="22"/>
                <w:szCs w:val="22"/>
                <w:lang w:val="sr-Latn-RS"/>
              </w:rPr>
              <w:t>&gt; 4</w:t>
            </w:r>
          </w:p>
        </w:tc>
      </w:tr>
      <w:tr w:rsidR="00A30854" w:rsidRPr="00E51051" w14:paraId="4D3C2A94" w14:textId="77777777" w:rsidTr="00187482">
        <w:trPr>
          <w:cantSplit/>
          <w:trHeight w:val="277"/>
        </w:trPr>
        <w:tc>
          <w:tcPr>
            <w:tcW w:w="1059" w:type="pct"/>
            <w:shd w:val="clear" w:color="auto" w:fill="auto"/>
          </w:tcPr>
          <w:p w14:paraId="3E0BC7DB" w14:textId="77777777" w:rsidR="00A30854" w:rsidRPr="00E51051" w:rsidRDefault="00A30854" w:rsidP="004A38AE">
            <w:pPr>
              <w:autoSpaceDE w:val="0"/>
              <w:autoSpaceDN w:val="0"/>
              <w:adjustRightInd w:val="0"/>
              <w:rPr>
                <w:i/>
                <w:sz w:val="22"/>
                <w:szCs w:val="22"/>
                <w:lang w:val="sr-Latn-RS"/>
              </w:rPr>
            </w:pPr>
            <w:r w:rsidRPr="00E51051">
              <w:rPr>
                <w:i/>
                <w:sz w:val="22"/>
                <w:szCs w:val="22"/>
                <w:lang w:val="sr-Latn-RS"/>
              </w:rPr>
              <w:t>H. influenzae</w:t>
            </w:r>
          </w:p>
        </w:tc>
        <w:tc>
          <w:tcPr>
            <w:tcW w:w="1597" w:type="pct"/>
            <w:shd w:val="clear" w:color="auto" w:fill="auto"/>
          </w:tcPr>
          <w:p w14:paraId="64FEF605" w14:textId="77777777" w:rsidR="00A30854" w:rsidRPr="00E51051" w:rsidRDefault="00A30854" w:rsidP="004A38AE">
            <w:pPr>
              <w:keepNext/>
              <w:autoSpaceDE w:val="0"/>
              <w:autoSpaceDN w:val="0"/>
              <w:adjustRightInd w:val="0"/>
              <w:rPr>
                <w:sz w:val="22"/>
                <w:szCs w:val="22"/>
                <w:lang w:val="sr-Latn-RS"/>
              </w:rPr>
            </w:pPr>
            <w:r w:rsidRPr="00E51051">
              <w:rPr>
                <w:sz w:val="22"/>
                <w:szCs w:val="22"/>
                <w:lang w:val="sr-Latn-RS"/>
              </w:rPr>
              <w:t>Bolnički stečena pneumonija, uključujući pneumoniju povezanu sa mehaničkom ventilacijom**</w:t>
            </w:r>
          </w:p>
        </w:tc>
        <w:tc>
          <w:tcPr>
            <w:tcW w:w="913" w:type="pct"/>
            <w:shd w:val="clear" w:color="auto" w:fill="auto"/>
          </w:tcPr>
          <w:p w14:paraId="24311960" w14:textId="0B4E6074" w:rsidR="00A30854" w:rsidRPr="00E51051" w:rsidRDefault="00A30854" w:rsidP="004A38AE">
            <w:pPr>
              <w:autoSpaceDE w:val="0"/>
              <w:autoSpaceDN w:val="0"/>
              <w:adjustRightInd w:val="0"/>
              <w:jc w:val="center"/>
              <w:rPr>
                <w:sz w:val="22"/>
                <w:szCs w:val="22"/>
                <w:lang w:val="sr-Latn-RS"/>
              </w:rPr>
            </w:pPr>
            <w:r w:rsidRPr="00E51051">
              <w:rPr>
                <w:sz w:val="22"/>
                <w:szCs w:val="22"/>
                <w:lang w:val="sr-Latn-RS"/>
              </w:rPr>
              <w:t>≤</w:t>
            </w:r>
            <w:r w:rsidR="00EA7BF0" w:rsidRPr="00E51051">
              <w:rPr>
                <w:sz w:val="22"/>
                <w:szCs w:val="22"/>
                <w:lang w:val="sr-Latn-RS"/>
              </w:rPr>
              <w:t xml:space="preserve"> </w:t>
            </w:r>
            <w:r w:rsidRPr="00E51051">
              <w:rPr>
                <w:sz w:val="22"/>
                <w:szCs w:val="22"/>
                <w:lang w:val="sr-Latn-RS"/>
              </w:rPr>
              <w:t>0,5</w:t>
            </w:r>
          </w:p>
        </w:tc>
        <w:tc>
          <w:tcPr>
            <w:tcW w:w="1431" w:type="pct"/>
            <w:shd w:val="clear" w:color="auto" w:fill="auto"/>
          </w:tcPr>
          <w:p w14:paraId="0AA73F83" w14:textId="228A28C8" w:rsidR="00A30854" w:rsidRPr="00E51051" w:rsidRDefault="00A30854" w:rsidP="004A38AE">
            <w:pPr>
              <w:jc w:val="center"/>
              <w:rPr>
                <w:sz w:val="22"/>
                <w:szCs w:val="22"/>
                <w:lang w:val="sr-Latn-RS"/>
              </w:rPr>
            </w:pPr>
            <w:r w:rsidRPr="00E51051">
              <w:rPr>
                <w:sz w:val="22"/>
                <w:szCs w:val="22"/>
                <w:lang w:val="sr-Latn-RS"/>
              </w:rPr>
              <w:t>&gt;</w:t>
            </w:r>
            <w:r w:rsidR="00EA7BF0" w:rsidRPr="00E51051">
              <w:rPr>
                <w:sz w:val="22"/>
                <w:szCs w:val="22"/>
                <w:lang w:val="sr-Latn-RS"/>
              </w:rPr>
              <w:t xml:space="preserve"> </w:t>
            </w:r>
            <w:r w:rsidRPr="00E51051">
              <w:rPr>
                <w:sz w:val="22"/>
                <w:szCs w:val="22"/>
                <w:lang w:val="sr-Latn-RS"/>
              </w:rPr>
              <w:t>0,5</w:t>
            </w:r>
          </w:p>
        </w:tc>
      </w:tr>
    </w:tbl>
    <w:p w14:paraId="183A4D21" w14:textId="77777777" w:rsidR="00A30854" w:rsidRPr="00E51051" w:rsidRDefault="00A30854" w:rsidP="00187482">
      <w:pPr>
        <w:jc w:val="both"/>
        <w:rPr>
          <w:sz w:val="22"/>
          <w:szCs w:val="22"/>
          <w:lang w:val="sr-Latn-RS"/>
        </w:rPr>
      </w:pPr>
      <w:r w:rsidRPr="00E51051">
        <w:rPr>
          <w:sz w:val="22"/>
          <w:szCs w:val="22"/>
          <w:lang w:val="sr-Latn-RS"/>
        </w:rPr>
        <w:t>*Na osnovu 1 g ceftolozana/0,5 g tazobaktama, intravenski svakih 8 sati.</w:t>
      </w:r>
    </w:p>
    <w:p w14:paraId="0FADAAE8" w14:textId="77777777" w:rsidR="00A30854" w:rsidRPr="00E51051" w:rsidRDefault="00A30854" w:rsidP="00187482">
      <w:pPr>
        <w:jc w:val="both"/>
        <w:rPr>
          <w:sz w:val="22"/>
          <w:szCs w:val="22"/>
          <w:lang w:val="sr-Latn-RS"/>
        </w:rPr>
      </w:pPr>
      <w:r w:rsidRPr="00E51051">
        <w:rPr>
          <w:sz w:val="22"/>
          <w:szCs w:val="22"/>
          <w:lang w:val="sr-Latn-RS"/>
        </w:rPr>
        <w:t>**Na osnovu 2 g ceftolozana/1 g tazobaktama, intravenski svakih 8 sati.</w:t>
      </w:r>
    </w:p>
    <w:p w14:paraId="14823770" w14:textId="77777777" w:rsidR="00A30854" w:rsidRPr="00E51051" w:rsidRDefault="00A30854" w:rsidP="00187482">
      <w:pPr>
        <w:jc w:val="both"/>
        <w:rPr>
          <w:sz w:val="22"/>
          <w:szCs w:val="22"/>
          <w:lang w:val="sr-Latn-RS"/>
        </w:rPr>
      </w:pPr>
    </w:p>
    <w:p w14:paraId="62957D28" w14:textId="77777777" w:rsidR="00A30854" w:rsidRPr="00E51051" w:rsidRDefault="00A30854" w:rsidP="00187482">
      <w:pPr>
        <w:keepNext/>
        <w:tabs>
          <w:tab w:val="left" w:pos="567"/>
        </w:tabs>
        <w:autoSpaceDE w:val="0"/>
        <w:autoSpaceDN w:val="0"/>
        <w:adjustRightInd w:val="0"/>
        <w:jc w:val="both"/>
        <w:rPr>
          <w:sz w:val="22"/>
          <w:szCs w:val="22"/>
          <w:u w:val="single"/>
          <w:lang w:val="sr-Latn-RS"/>
        </w:rPr>
      </w:pPr>
      <w:r w:rsidRPr="00E51051">
        <w:rPr>
          <w:sz w:val="22"/>
          <w:szCs w:val="22"/>
          <w:u w:val="single"/>
          <w:lang w:val="sr-Latn-RS"/>
        </w:rPr>
        <w:lastRenderedPageBreak/>
        <w:t>Klinička efikasnost protiv specifičnih patogena</w:t>
      </w:r>
    </w:p>
    <w:p w14:paraId="1BEF4D96" w14:textId="77777777" w:rsidR="00A30854" w:rsidRPr="00E51051" w:rsidRDefault="00A30854" w:rsidP="00187482">
      <w:pPr>
        <w:keepNext/>
        <w:tabs>
          <w:tab w:val="left" w:pos="567"/>
        </w:tabs>
        <w:autoSpaceDE w:val="0"/>
        <w:autoSpaceDN w:val="0"/>
        <w:adjustRightInd w:val="0"/>
        <w:jc w:val="both"/>
        <w:rPr>
          <w:bCs/>
          <w:sz w:val="22"/>
          <w:szCs w:val="22"/>
          <w:lang w:val="sr-Latn-RS"/>
        </w:rPr>
      </w:pPr>
    </w:p>
    <w:p w14:paraId="4680361A" w14:textId="57906894" w:rsidR="00A30854" w:rsidRPr="00E51051" w:rsidRDefault="00A30854" w:rsidP="00187482">
      <w:pPr>
        <w:tabs>
          <w:tab w:val="left" w:pos="567"/>
        </w:tabs>
        <w:autoSpaceDE w:val="0"/>
        <w:autoSpaceDN w:val="0"/>
        <w:adjustRightInd w:val="0"/>
        <w:jc w:val="both"/>
        <w:rPr>
          <w:sz w:val="22"/>
          <w:szCs w:val="22"/>
          <w:lang w:val="sr-Latn-RS"/>
        </w:rPr>
      </w:pPr>
      <w:r w:rsidRPr="00E51051">
        <w:rPr>
          <w:bCs/>
          <w:sz w:val="22"/>
          <w:szCs w:val="22"/>
          <w:lang w:val="sr-Latn-RS"/>
        </w:rPr>
        <w:t>U kliničkim ispitivanjima je pokazana efikasnost protiv patogena navedenih za svaku indikaciju posebno, koji su bili osjetljivi na lijek ZERBAXA</w:t>
      </w:r>
      <w:r w:rsidRPr="00E51051">
        <w:rPr>
          <w:bCs/>
          <w:i/>
          <w:sz w:val="22"/>
          <w:szCs w:val="22"/>
          <w:lang w:val="sr-Latn-RS"/>
        </w:rPr>
        <w:t xml:space="preserve"> in vitro</w:t>
      </w:r>
      <w:r w:rsidRPr="00E51051">
        <w:rPr>
          <w:bCs/>
          <w:sz w:val="22"/>
          <w:szCs w:val="22"/>
          <w:lang w:val="sr-Latn-RS"/>
        </w:rPr>
        <w:t>:</w:t>
      </w:r>
    </w:p>
    <w:p w14:paraId="3FA86FA4" w14:textId="77777777" w:rsidR="00A30854" w:rsidRPr="00E51051" w:rsidRDefault="00A30854" w:rsidP="00187482">
      <w:pPr>
        <w:tabs>
          <w:tab w:val="left" w:pos="567"/>
        </w:tabs>
        <w:autoSpaceDE w:val="0"/>
        <w:autoSpaceDN w:val="0"/>
        <w:adjustRightInd w:val="0"/>
        <w:jc w:val="both"/>
        <w:rPr>
          <w:b/>
          <w:i/>
          <w:sz w:val="22"/>
          <w:szCs w:val="22"/>
          <w:lang w:val="sr-Latn-RS"/>
        </w:rPr>
      </w:pPr>
    </w:p>
    <w:p w14:paraId="3BCFCB82" w14:textId="77777777" w:rsidR="00A30854" w:rsidRPr="00E51051" w:rsidRDefault="00A30854" w:rsidP="00187482">
      <w:pPr>
        <w:keepNext/>
        <w:tabs>
          <w:tab w:val="left" w:pos="567"/>
        </w:tabs>
        <w:autoSpaceDE w:val="0"/>
        <w:autoSpaceDN w:val="0"/>
        <w:adjustRightInd w:val="0"/>
        <w:jc w:val="both"/>
        <w:rPr>
          <w:b/>
          <w:i/>
          <w:sz w:val="22"/>
          <w:szCs w:val="22"/>
          <w:lang w:val="sr-Latn-RS"/>
        </w:rPr>
      </w:pPr>
      <w:r w:rsidRPr="00E51051">
        <w:rPr>
          <w:b/>
          <w:i/>
          <w:sz w:val="22"/>
          <w:szCs w:val="22"/>
          <w:lang w:val="sr-Latn-RS"/>
        </w:rPr>
        <w:t>Komplikovane intraabdominalne infekcije</w:t>
      </w:r>
    </w:p>
    <w:p w14:paraId="2DBF0767" w14:textId="77777777" w:rsidR="00A30854" w:rsidRPr="00E51051" w:rsidRDefault="00A30854" w:rsidP="00187482">
      <w:pPr>
        <w:keepNext/>
        <w:tabs>
          <w:tab w:val="left" w:pos="567"/>
        </w:tabs>
        <w:autoSpaceDE w:val="0"/>
        <w:autoSpaceDN w:val="0"/>
        <w:adjustRightInd w:val="0"/>
        <w:jc w:val="both"/>
        <w:rPr>
          <w:b/>
          <w:i/>
          <w:sz w:val="22"/>
          <w:szCs w:val="22"/>
          <w:lang w:val="sr-Latn-RS"/>
        </w:rPr>
      </w:pPr>
    </w:p>
    <w:p w14:paraId="148BD7B5" w14:textId="77777777" w:rsidR="00A30854" w:rsidRPr="00E51051" w:rsidRDefault="00A30854" w:rsidP="00187482">
      <w:pPr>
        <w:keepNext/>
        <w:jc w:val="both"/>
        <w:rPr>
          <w:sz w:val="22"/>
          <w:szCs w:val="22"/>
          <w:u w:val="single"/>
          <w:lang w:val="sr-Latn-RS" w:eastAsia="hr-HR"/>
        </w:rPr>
      </w:pPr>
      <w:r w:rsidRPr="00E51051">
        <w:rPr>
          <w:sz w:val="22"/>
          <w:szCs w:val="22"/>
          <w:u w:val="single"/>
          <w:lang w:val="sr-Latn-RS" w:eastAsia="hr-HR"/>
        </w:rPr>
        <w:t>Gram</w:t>
      </w:r>
      <w:r w:rsidRPr="00E51051">
        <w:rPr>
          <w:sz w:val="22"/>
          <w:szCs w:val="22"/>
          <w:u w:val="single"/>
          <w:lang w:val="sr-Latn-RS" w:eastAsia="hr-HR"/>
        </w:rPr>
        <w:noBreakHyphen/>
        <w:t>negativne bakterije</w:t>
      </w:r>
    </w:p>
    <w:p w14:paraId="53DEF3B3"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Enterobacter cloacae</w:t>
      </w:r>
    </w:p>
    <w:p w14:paraId="2B37F5AB" w14:textId="77777777" w:rsidR="00A30854" w:rsidRPr="00E51051" w:rsidRDefault="00A30854" w:rsidP="00187482">
      <w:pPr>
        <w:jc w:val="both"/>
        <w:rPr>
          <w:i/>
          <w:sz w:val="22"/>
          <w:szCs w:val="22"/>
          <w:lang w:val="sr-Latn-RS" w:eastAsia="hr-HR"/>
        </w:rPr>
      </w:pPr>
      <w:r w:rsidRPr="00E51051">
        <w:rPr>
          <w:bCs/>
          <w:i/>
          <w:sz w:val="22"/>
          <w:szCs w:val="22"/>
          <w:lang w:val="sr-Latn-RS" w:eastAsia="hr-HR"/>
        </w:rPr>
        <w:t>Escherichia coli</w:t>
      </w:r>
    </w:p>
    <w:p w14:paraId="1CD85A38" w14:textId="77777777" w:rsidR="00A30854" w:rsidRPr="00E51051" w:rsidRDefault="00A30854" w:rsidP="00187482">
      <w:pPr>
        <w:jc w:val="both"/>
        <w:rPr>
          <w:i/>
          <w:sz w:val="22"/>
          <w:szCs w:val="22"/>
          <w:lang w:val="sr-Latn-RS" w:eastAsia="hr-HR"/>
        </w:rPr>
      </w:pPr>
      <w:r w:rsidRPr="00E51051">
        <w:rPr>
          <w:i/>
          <w:sz w:val="22"/>
          <w:szCs w:val="22"/>
          <w:lang w:val="sr-Latn-RS" w:eastAsia="hr-HR"/>
        </w:rPr>
        <w:t>Klebsiella oxytoca</w:t>
      </w:r>
    </w:p>
    <w:p w14:paraId="3309D98E" w14:textId="77777777" w:rsidR="00A30854" w:rsidRPr="00E51051" w:rsidRDefault="00A30854" w:rsidP="00187482">
      <w:pPr>
        <w:jc w:val="both"/>
        <w:rPr>
          <w:i/>
          <w:sz w:val="22"/>
          <w:szCs w:val="22"/>
          <w:lang w:val="sr-Latn-RS" w:eastAsia="hr-HR"/>
        </w:rPr>
      </w:pPr>
      <w:r w:rsidRPr="00E51051">
        <w:rPr>
          <w:bCs/>
          <w:i/>
          <w:sz w:val="22"/>
          <w:szCs w:val="22"/>
          <w:lang w:val="sr-Latn-RS" w:eastAsia="hr-HR"/>
        </w:rPr>
        <w:t>Klebsiella pneumoniae</w:t>
      </w:r>
    </w:p>
    <w:p w14:paraId="1BEBF3CE" w14:textId="77777777" w:rsidR="00A30854" w:rsidRPr="00E51051" w:rsidRDefault="00A30854" w:rsidP="00187482">
      <w:pPr>
        <w:jc w:val="both"/>
        <w:rPr>
          <w:i/>
          <w:sz w:val="22"/>
          <w:szCs w:val="22"/>
          <w:lang w:val="sr-Latn-RS" w:eastAsia="hr-HR"/>
        </w:rPr>
      </w:pPr>
      <w:r w:rsidRPr="00E51051">
        <w:rPr>
          <w:i/>
          <w:sz w:val="22"/>
          <w:szCs w:val="22"/>
          <w:lang w:val="sr-Latn-RS" w:eastAsia="hr-HR"/>
        </w:rPr>
        <w:t>Proteus mirabilis</w:t>
      </w:r>
    </w:p>
    <w:p w14:paraId="45F4E9CC" w14:textId="77777777" w:rsidR="00A30854" w:rsidRPr="00E51051" w:rsidRDefault="00A30854" w:rsidP="00187482">
      <w:pPr>
        <w:jc w:val="both"/>
        <w:rPr>
          <w:sz w:val="22"/>
          <w:szCs w:val="22"/>
          <w:lang w:val="sr-Latn-RS" w:eastAsia="hr-HR"/>
        </w:rPr>
      </w:pPr>
      <w:r w:rsidRPr="00E51051">
        <w:rPr>
          <w:bCs/>
          <w:i/>
          <w:sz w:val="22"/>
          <w:szCs w:val="22"/>
          <w:lang w:val="sr-Latn-RS" w:eastAsia="hr-HR"/>
        </w:rPr>
        <w:t>Pseudomonas aeruginosa</w:t>
      </w:r>
    </w:p>
    <w:p w14:paraId="5FBA0748" w14:textId="77777777" w:rsidR="00A30854" w:rsidRPr="00E51051" w:rsidRDefault="00A30854" w:rsidP="00187482">
      <w:pPr>
        <w:jc w:val="both"/>
        <w:rPr>
          <w:sz w:val="22"/>
          <w:szCs w:val="22"/>
          <w:lang w:val="sr-Latn-RS" w:eastAsia="hr-HR"/>
        </w:rPr>
      </w:pPr>
    </w:p>
    <w:p w14:paraId="7EB63CA1" w14:textId="77777777" w:rsidR="00A30854" w:rsidRPr="00E51051" w:rsidRDefault="00A30854" w:rsidP="00187482">
      <w:pPr>
        <w:keepNext/>
        <w:jc w:val="both"/>
        <w:rPr>
          <w:sz w:val="22"/>
          <w:szCs w:val="22"/>
          <w:lang w:val="sr-Latn-RS" w:eastAsia="hr-HR"/>
        </w:rPr>
      </w:pPr>
      <w:r w:rsidRPr="00E51051">
        <w:rPr>
          <w:sz w:val="22"/>
          <w:szCs w:val="22"/>
          <w:u w:val="single"/>
          <w:lang w:val="sr-Latn-RS" w:eastAsia="hr-HR"/>
        </w:rPr>
        <w:t>Gram</w:t>
      </w:r>
      <w:r w:rsidRPr="00E51051">
        <w:rPr>
          <w:sz w:val="22"/>
          <w:szCs w:val="22"/>
          <w:u w:val="single"/>
          <w:lang w:val="sr-Latn-RS" w:eastAsia="hr-HR"/>
        </w:rPr>
        <w:noBreakHyphen/>
        <w:t>pozitivne bakterije</w:t>
      </w:r>
    </w:p>
    <w:p w14:paraId="3040E6C6" w14:textId="77777777" w:rsidR="00A30854" w:rsidRPr="00E51051" w:rsidRDefault="00A30854" w:rsidP="00187482">
      <w:pPr>
        <w:jc w:val="both"/>
        <w:rPr>
          <w:i/>
          <w:sz w:val="22"/>
          <w:szCs w:val="22"/>
          <w:lang w:val="sr-Latn-RS" w:eastAsia="hr-HR"/>
        </w:rPr>
      </w:pPr>
      <w:r w:rsidRPr="00E51051">
        <w:rPr>
          <w:i/>
          <w:sz w:val="22"/>
          <w:szCs w:val="22"/>
          <w:lang w:val="sr-Latn-RS" w:eastAsia="hr-HR"/>
        </w:rPr>
        <w:t>Streptococcus anginosus</w:t>
      </w:r>
    </w:p>
    <w:p w14:paraId="44E1FE30" w14:textId="77777777" w:rsidR="00A30854" w:rsidRPr="00E51051" w:rsidRDefault="00A30854" w:rsidP="00187482">
      <w:pPr>
        <w:jc w:val="both"/>
        <w:rPr>
          <w:i/>
          <w:sz w:val="22"/>
          <w:szCs w:val="22"/>
          <w:lang w:val="sr-Latn-RS" w:eastAsia="hr-HR"/>
        </w:rPr>
      </w:pPr>
      <w:r w:rsidRPr="00E51051">
        <w:rPr>
          <w:i/>
          <w:sz w:val="22"/>
          <w:szCs w:val="22"/>
          <w:lang w:val="sr-Latn-RS" w:eastAsia="hr-HR"/>
        </w:rPr>
        <w:t>Streptococcus constellatus</w:t>
      </w:r>
    </w:p>
    <w:p w14:paraId="2CE1637C" w14:textId="77777777" w:rsidR="00A30854" w:rsidRPr="00E51051" w:rsidRDefault="00A30854" w:rsidP="00187482">
      <w:pPr>
        <w:jc w:val="both"/>
        <w:rPr>
          <w:i/>
          <w:sz w:val="22"/>
          <w:szCs w:val="22"/>
          <w:lang w:val="sr-Latn-RS" w:eastAsia="hr-HR"/>
        </w:rPr>
      </w:pPr>
      <w:r w:rsidRPr="00E51051">
        <w:rPr>
          <w:i/>
          <w:sz w:val="22"/>
          <w:szCs w:val="22"/>
          <w:lang w:val="sr-Latn-RS" w:eastAsia="hr-HR"/>
        </w:rPr>
        <w:t>Streptococcus salivarius</w:t>
      </w:r>
    </w:p>
    <w:p w14:paraId="5DB2630A" w14:textId="77777777" w:rsidR="00A30854" w:rsidRPr="00E51051" w:rsidRDefault="00A30854" w:rsidP="00187482">
      <w:pPr>
        <w:tabs>
          <w:tab w:val="left" w:pos="567"/>
        </w:tabs>
        <w:autoSpaceDE w:val="0"/>
        <w:autoSpaceDN w:val="0"/>
        <w:adjustRightInd w:val="0"/>
        <w:jc w:val="both"/>
        <w:rPr>
          <w:sz w:val="22"/>
          <w:szCs w:val="22"/>
          <w:lang w:val="sr-Latn-RS"/>
        </w:rPr>
      </w:pPr>
    </w:p>
    <w:p w14:paraId="1F8E4C0E" w14:textId="77777777" w:rsidR="00A30854" w:rsidRPr="00E51051" w:rsidRDefault="00A30854" w:rsidP="00187482">
      <w:pPr>
        <w:keepNext/>
        <w:tabs>
          <w:tab w:val="left" w:pos="567"/>
        </w:tabs>
        <w:autoSpaceDE w:val="0"/>
        <w:autoSpaceDN w:val="0"/>
        <w:adjustRightInd w:val="0"/>
        <w:jc w:val="both"/>
        <w:rPr>
          <w:b/>
          <w:i/>
          <w:sz w:val="22"/>
          <w:szCs w:val="22"/>
          <w:lang w:val="sr-Latn-RS"/>
        </w:rPr>
      </w:pPr>
      <w:r w:rsidRPr="00E51051">
        <w:rPr>
          <w:b/>
          <w:i/>
          <w:sz w:val="22"/>
          <w:szCs w:val="22"/>
          <w:lang w:val="sr-Latn-RS"/>
        </w:rPr>
        <w:t>Komplikovane infekcije urinarnog trakta, uključujući pijelonefritis</w:t>
      </w:r>
    </w:p>
    <w:p w14:paraId="31086B43" w14:textId="77777777" w:rsidR="00A30854" w:rsidRPr="00E51051" w:rsidRDefault="00A30854" w:rsidP="00187482">
      <w:pPr>
        <w:keepNext/>
        <w:tabs>
          <w:tab w:val="left" w:pos="567"/>
        </w:tabs>
        <w:autoSpaceDE w:val="0"/>
        <w:autoSpaceDN w:val="0"/>
        <w:adjustRightInd w:val="0"/>
        <w:jc w:val="both"/>
        <w:rPr>
          <w:sz w:val="22"/>
          <w:szCs w:val="22"/>
          <w:u w:val="single"/>
          <w:lang w:val="sr-Latn-RS"/>
        </w:rPr>
      </w:pPr>
    </w:p>
    <w:p w14:paraId="2B07A955" w14:textId="77777777" w:rsidR="00A30854" w:rsidRPr="00E51051" w:rsidRDefault="00A30854" w:rsidP="00187482">
      <w:pPr>
        <w:keepNext/>
        <w:jc w:val="both"/>
        <w:rPr>
          <w:sz w:val="22"/>
          <w:szCs w:val="22"/>
          <w:u w:val="single"/>
          <w:lang w:val="sr-Latn-RS" w:eastAsia="hr-HR"/>
        </w:rPr>
      </w:pPr>
      <w:r w:rsidRPr="00E51051">
        <w:rPr>
          <w:sz w:val="22"/>
          <w:szCs w:val="22"/>
          <w:u w:val="single"/>
          <w:lang w:val="sr-Latn-RS" w:eastAsia="hr-HR"/>
        </w:rPr>
        <w:t>Gram</w:t>
      </w:r>
      <w:r w:rsidRPr="00E51051">
        <w:rPr>
          <w:sz w:val="22"/>
          <w:szCs w:val="22"/>
          <w:u w:val="single"/>
          <w:lang w:val="sr-Latn-RS" w:eastAsia="hr-HR"/>
        </w:rPr>
        <w:noBreakHyphen/>
        <w:t>negativne bakterije</w:t>
      </w:r>
    </w:p>
    <w:p w14:paraId="5FF7DA00" w14:textId="77777777" w:rsidR="00A30854" w:rsidRPr="00E51051" w:rsidRDefault="00A30854" w:rsidP="00187482">
      <w:pPr>
        <w:jc w:val="both"/>
        <w:rPr>
          <w:i/>
          <w:sz w:val="22"/>
          <w:szCs w:val="22"/>
          <w:lang w:val="sr-Latn-RS" w:eastAsia="hr-HR"/>
        </w:rPr>
      </w:pPr>
      <w:r w:rsidRPr="00E51051">
        <w:rPr>
          <w:i/>
          <w:sz w:val="22"/>
          <w:szCs w:val="22"/>
          <w:lang w:val="sr-Latn-RS" w:eastAsia="hr-HR"/>
        </w:rPr>
        <w:t>Escherichia coli</w:t>
      </w:r>
    </w:p>
    <w:p w14:paraId="42730DB6" w14:textId="77777777" w:rsidR="00A30854" w:rsidRPr="00E51051" w:rsidRDefault="00A30854" w:rsidP="00187482">
      <w:pPr>
        <w:jc w:val="both"/>
        <w:rPr>
          <w:i/>
          <w:sz w:val="22"/>
          <w:szCs w:val="22"/>
          <w:lang w:val="sr-Latn-RS" w:eastAsia="hr-HR"/>
        </w:rPr>
      </w:pPr>
      <w:r w:rsidRPr="00E51051">
        <w:rPr>
          <w:bCs/>
          <w:i/>
          <w:sz w:val="22"/>
          <w:szCs w:val="22"/>
          <w:lang w:val="sr-Latn-RS" w:eastAsia="hr-HR"/>
        </w:rPr>
        <w:t>Klebsiella pneumoniae</w:t>
      </w:r>
    </w:p>
    <w:p w14:paraId="52E1E58B" w14:textId="77777777" w:rsidR="00A30854" w:rsidRPr="00E51051" w:rsidRDefault="00A30854" w:rsidP="00187482">
      <w:pPr>
        <w:jc w:val="both"/>
        <w:rPr>
          <w:i/>
          <w:sz w:val="22"/>
          <w:szCs w:val="22"/>
          <w:lang w:val="sr-Latn-RS" w:eastAsia="hr-HR"/>
        </w:rPr>
      </w:pPr>
      <w:r w:rsidRPr="00E51051">
        <w:rPr>
          <w:i/>
          <w:sz w:val="22"/>
          <w:szCs w:val="22"/>
          <w:lang w:val="sr-Latn-RS" w:eastAsia="hr-HR"/>
        </w:rPr>
        <w:t>Proteus mirabilis</w:t>
      </w:r>
    </w:p>
    <w:p w14:paraId="3F2FEAF3" w14:textId="77777777" w:rsidR="00A30854" w:rsidRPr="00E51051" w:rsidRDefault="00A30854" w:rsidP="00187482">
      <w:pPr>
        <w:jc w:val="both"/>
        <w:rPr>
          <w:sz w:val="22"/>
          <w:szCs w:val="22"/>
          <w:lang w:val="sr-Latn-RS" w:eastAsia="hr-HR"/>
        </w:rPr>
      </w:pPr>
    </w:p>
    <w:p w14:paraId="2C5543DF" w14:textId="77777777" w:rsidR="00A30854" w:rsidRPr="00E51051" w:rsidRDefault="00A30854" w:rsidP="00187482">
      <w:pPr>
        <w:keepNext/>
        <w:tabs>
          <w:tab w:val="left" w:pos="567"/>
        </w:tabs>
        <w:autoSpaceDE w:val="0"/>
        <w:autoSpaceDN w:val="0"/>
        <w:adjustRightInd w:val="0"/>
        <w:jc w:val="both"/>
        <w:rPr>
          <w:b/>
          <w:i/>
          <w:sz w:val="22"/>
          <w:szCs w:val="22"/>
          <w:lang w:val="sr-Latn-RS"/>
        </w:rPr>
      </w:pPr>
      <w:r w:rsidRPr="00E51051">
        <w:rPr>
          <w:b/>
          <w:i/>
          <w:sz w:val="22"/>
          <w:szCs w:val="22"/>
          <w:lang w:val="sr-Latn-RS"/>
        </w:rPr>
        <w:t>Bolnički stečena pneumonija, uključujući pneumoniju povezanu sa mehaničkom ventilacijom</w:t>
      </w:r>
    </w:p>
    <w:p w14:paraId="5E198273" w14:textId="77777777" w:rsidR="00A30854" w:rsidRPr="00E51051" w:rsidRDefault="00A30854" w:rsidP="00187482">
      <w:pPr>
        <w:keepNext/>
        <w:jc w:val="both"/>
        <w:rPr>
          <w:sz w:val="22"/>
          <w:szCs w:val="22"/>
          <w:u w:val="single"/>
          <w:lang w:val="sr-Latn-RS" w:eastAsia="hr-HR"/>
        </w:rPr>
      </w:pPr>
    </w:p>
    <w:p w14:paraId="13AE57B6" w14:textId="77777777" w:rsidR="00A30854" w:rsidRPr="00E51051" w:rsidRDefault="00A30854" w:rsidP="00187482">
      <w:pPr>
        <w:keepNext/>
        <w:jc w:val="both"/>
        <w:rPr>
          <w:sz w:val="22"/>
          <w:szCs w:val="22"/>
          <w:u w:val="single"/>
          <w:lang w:val="sr-Latn-RS" w:eastAsia="hr-HR"/>
        </w:rPr>
      </w:pPr>
      <w:r w:rsidRPr="00E51051">
        <w:rPr>
          <w:sz w:val="22"/>
          <w:szCs w:val="22"/>
          <w:u w:val="single"/>
          <w:lang w:val="sr-Latn-RS" w:eastAsia="hr-HR"/>
        </w:rPr>
        <w:t>Gram-negativne bakterije</w:t>
      </w:r>
    </w:p>
    <w:p w14:paraId="2267A41B"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Enterobacter cloacae</w:t>
      </w:r>
    </w:p>
    <w:p w14:paraId="7D0F621E"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Escherichia coli</w:t>
      </w:r>
    </w:p>
    <w:p w14:paraId="52340F96"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Haemophilus influenzae</w:t>
      </w:r>
    </w:p>
    <w:p w14:paraId="3246BC8B"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Klebsiella oxytoca</w:t>
      </w:r>
    </w:p>
    <w:p w14:paraId="5EBBEC2C"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Klebsiella pneumoniae</w:t>
      </w:r>
    </w:p>
    <w:p w14:paraId="6A603F5B"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Proteus mirabilis</w:t>
      </w:r>
    </w:p>
    <w:p w14:paraId="096B6B11"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Pseudomonas aeruginosa</w:t>
      </w:r>
    </w:p>
    <w:p w14:paraId="78F718F4" w14:textId="77777777" w:rsidR="00A30854" w:rsidRPr="00E51051" w:rsidRDefault="00A30854" w:rsidP="00187482">
      <w:pPr>
        <w:keepNext/>
        <w:jc w:val="both"/>
        <w:rPr>
          <w:i/>
          <w:sz w:val="22"/>
          <w:szCs w:val="22"/>
          <w:lang w:val="sr-Latn-RS" w:eastAsia="hr-HR"/>
        </w:rPr>
      </w:pPr>
      <w:r w:rsidRPr="00E51051">
        <w:rPr>
          <w:i/>
          <w:sz w:val="22"/>
          <w:szCs w:val="22"/>
          <w:lang w:val="sr-Latn-RS" w:eastAsia="hr-HR"/>
        </w:rPr>
        <w:t>Serratia marcescens</w:t>
      </w:r>
    </w:p>
    <w:p w14:paraId="3A85482B" w14:textId="77777777" w:rsidR="00A30854" w:rsidRPr="00E51051" w:rsidRDefault="00A30854" w:rsidP="00187482">
      <w:pPr>
        <w:jc w:val="both"/>
        <w:rPr>
          <w:sz w:val="22"/>
          <w:szCs w:val="22"/>
          <w:lang w:val="sr-Latn-RS" w:eastAsia="hr-HR"/>
        </w:rPr>
      </w:pPr>
    </w:p>
    <w:p w14:paraId="262E7975" w14:textId="073796AF" w:rsidR="00A30854" w:rsidRPr="00E51051" w:rsidRDefault="00A30854" w:rsidP="00187482">
      <w:pPr>
        <w:keepNext/>
        <w:jc w:val="both"/>
        <w:rPr>
          <w:sz w:val="22"/>
          <w:szCs w:val="22"/>
          <w:u w:val="single"/>
          <w:lang w:val="sr-Latn-RS" w:eastAsia="hr-HR"/>
        </w:rPr>
      </w:pPr>
      <w:r w:rsidRPr="00E51051">
        <w:rPr>
          <w:sz w:val="22"/>
          <w:szCs w:val="22"/>
          <w:lang w:val="sr-Latn-RS" w:eastAsia="hr-HR"/>
        </w:rPr>
        <w:t xml:space="preserve">Klinička efikasnost protiv sljedećih patogena nije ustanovljena, iako ispitivanja </w:t>
      </w:r>
      <w:r w:rsidRPr="00E51051">
        <w:rPr>
          <w:i/>
          <w:sz w:val="22"/>
          <w:szCs w:val="22"/>
          <w:lang w:val="sr-Latn-RS" w:eastAsia="hr-HR"/>
        </w:rPr>
        <w:t>in vitro</w:t>
      </w:r>
      <w:r w:rsidRPr="00E51051">
        <w:rPr>
          <w:sz w:val="22"/>
          <w:szCs w:val="22"/>
          <w:lang w:val="sr-Latn-RS" w:eastAsia="hr-HR"/>
        </w:rPr>
        <w:t xml:space="preserve"> ukazuju na to da bi mogli biti osjetljivi na lijek ZERBAXA u odsustvu stečenih mehanizama rezistencije:</w:t>
      </w:r>
    </w:p>
    <w:p w14:paraId="5FF63D31" w14:textId="77777777" w:rsidR="00A30854" w:rsidRPr="00E51051" w:rsidRDefault="00A30854" w:rsidP="00187482">
      <w:pPr>
        <w:jc w:val="both"/>
        <w:rPr>
          <w:i/>
          <w:sz w:val="22"/>
          <w:szCs w:val="22"/>
          <w:lang w:val="sr-Latn-RS" w:eastAsia="hr-HR"/>
        </w:rPr>
      </w:pPr>
      <w:r w:rsidRPr="00E51051">
        <w:rPr>
          <w:i/>
          <w:sz w:val="22"/>
          <w:szCs w:val="22"/>
          <w:lang w:val="sr-Latn-RS" w:eastAsia="hr-HR"/>
        </w:rPr>
        <w:t>Citrobacter freundii</w:t>
      </w:r>
    </w:p>
    <w:p w14:paraId="049669C7" w14:textId="77777777" w:rsidR="00A30854" w:rsidRPr="00E51051" w:rsidRDefault="00A30854" w:rsidP="00187482">
      <w:pPr>
        <w:jc w:val="both"/>
        <w:rPr>
          <w:i/>
          <w:sz w:val="22"/>
          <w:szCs w:val="22"/>
          <w:lang w:val="sr-Latn-RS" w:eastAsia="hr-HR"/>
        </w:rPr>
      </w:pPr>
      <w:r w:rsidRPr="00E51051">
        <w:rPr>
          <w:i/>
          <w:sz w:val="22"/>
          <w:szCs w:val="22"/>
          <w:lang w:val="sr-Latn-RS" w:eastAsia="hr-HR"/>
        </w:rPr>
        <w:t>Citrobacter koseri</w:t>
      </w:r>
    </w:p>
    <w:p w14:paraId="1964BD21" w14:textId="77777777" w:rsidR="00A30854" w:rsidRPr="00E51051" w:rsidRDefault="00A30854" w:rsidP="00187482">
      <w:pPr>
        <w:jc w:val="both"/>
        <w:rPr>
          <w:i/>
          <w:sz w:val="22"/>
          <w:szCs w:val="22"/>
          <w:lang w:val="sr-Latn-RS" w:eastAsia="hr-HR"/>
        </w:rPr>
      </w:pPr>
      <w:r w:rsidRPr="00E51051">
        <w:rPr>
          <w:i/>
          <w:sz w:val="22"/>
          <w:szCs w:val="22"/>
          <w:lang w:val="sr-Latn-RS" w:eastAsia="hr-HR"/>
        </w:rPr>
        <w:t>Klebsiella</w:t>
      </w:r>
      <w:r w:rsidRPr="00E51051">
        <w:rPr>
          <w:bCs/>
          <w:i/>
          <w:sz w:val="22"/>
          <w:szCs w:val="22"/>
          <w:lang w:val="sr-Latn-RS" w:eastAsia="hr-HR"/>
        </w:rPr>
        <w:t xml:space="preserve"> (Enterobacter) aerogenes</w:t>
      </w:r>
    </w:p>
    <w:p w14:paraId="48B8598E" w14:textId="77777777" w:rsidR="00A30854" w:rsidRPr="00E51051" w:rsidRDefault="00A30854" w:rsidP="00187482">
      <w:pPr>
        <w:jc w:val="both"/>
        <w:rPr>
          <w:i/>
          <w:sz w:val="22"/>
          <w:szCs w:val="22"/>
          <w:lang w:val="sr-Latn-RS" w:eastAsia="hr-HR"/>
        </w:rPr>
      </w:pPr>
      <w:r w:rsidRPr="00E51051">
        <w:rPr>
          <w:i/>
          <w:sz w:val="22"/>
          <w:szCs w:val="22"/>
          <w:lang w:val="sr-Latn-RS" w:eastAsia="hr-HR"/>
        </w:rPr>
        <w:t>Morganella morganii</w:t>
      </w:r>
    </w:p>
    <w:p w14:paraId="635069C3" w14:textId="77777777" w:rsidR="00A30854" w:rsidRPr="00E51051" w:rsidRDefault="00A30854" w:rsidP="00187482">
      <w:pPr>
        <w:jc w:val="both"/>
        <w:rPr>
          <w:i/>
          <w:sz w:val="22"/>
          <w:szCs w:val="22"/>
          <w:lang w:val="sr-Latn-RS" w:eastAsia="hr-HR"/>
        </w:rPr>
      </w:pPr>
      <w:r w:rsidRPr="00E51051">
        <w:rPr>
          <w:i/>
          <w:sz w:val="22"/>
          <w:szCs w:val="22"/>
          <w:lang w:val="sr-Latn-RS" w:eastAsia="hr-HR"/>
        </w:rPr>
        <w:t>Proteus vulgaris</w:t>
      </w:r>
    </w:p>
    <w:p w14:paraId="1EF63B21" w14:textId="77777777" w:rsidR="00A30854" w:rsidRPr="00E51051" w:rsidRDefault="00A30854" w:rsidP="00187482">
      <w:pPr>
        <w:jc w:val="both"/>
        <w:rPr>
          <w:i/>
          <w:sz w:val="22"/>
          <w:szCs w:val="22"/>
          <w:lang w:val="sr-Latn-RS" w:eastAsia="hr-HR"/>
        </w:rPr>
      </w:pPr>
      <w:r w:rsidRPr="00E51051">
        <w:rPr>
          <w:i/>
          <w:sz w:val="22"/>
          <w:szCs w:val="22"/>
          <w:lang w:val="sr-Latn-RS" w:eastAsia="hr-HR"/>
        </w:rPr>
        <w:t>Serratia liquefaciens</w:t>
      </w:r>
    </w:p>
    <w:p w14:paraId="674719EF" w14:textId="77777777" w:rsidR="00A30854" w:rsidRPr="00E51051" w:rsidRDefault="00A30854" w:rsidP="00187482">
      <w:pPr>
        <w:jc w:val="both"/>
        <w:rPr>
          <w:i/>
          <w:sz w:val="22"/>
          <w:szCs w:val="22"/>
          <w:lang w:val="sr-Latn-RS" w:eastAsia="hr-HR"/>
        </w:rPr>
      </w:pPr>
    </w:p>
    <w:p w14:paraId="2DBAC177" w14:textId="3A9D4B68" w:rsidR="00A30854" w:rsidRPr="00E51051" w:rsidRDefault="00A30854" w:rsidP="00187482">
      <w:pPr>
        <w:keepNext/>
        <w:tabs>
          <w:tab w:val="left" w:pos="567"/>
        </w:tabs>
        <w:autoSpaceDE w:val="0"/>
        <w:autoSpaceDN w:val="0"/>
        <w:adjustRightInd w:val="0"/>
        <w:jc w:val="both"/>
        <w:rPr>
          <w:sz w:val="22"/>
          <w:szCs w:val="22"/>
          <w:lang w:val="sr-Latn-RS"/>
        </w:rPr>
      </w:pPr>
      <w:r w:rsidRPr="00E51051">
        <w:rPr>
          <w:i/>
          <w:sz w:val="22"/>
          <w:szCs w:val="22"/>
          <w:lang w:val="sr-Latn-RS"/>
        </w:rPr>
        <w:t xml:space="preserve">In vitro </w:t>
      </w:r>
      <w:r w:rsidRPr="00E51051">
        <w:rPr>
          <w:sz w:val="22"/>
          <w:szCs w:val="22"/>
          <w:lang w:val="sr-Latn-RS"/>
        </w:rPr>
        <w:t>podaci ukazuju da sl</w:t>
      </w:r>
      <w:r w:rsidR="003510DD" w:rsidRPr="00E51051">
        <w:rPr>
          <w:sz w:val="22"/>
          <w:szCs w:val="22"/>
          <w:lang w:val="sr-Latn-RS"/>
        </w:rPr>
        <w:t>j</w:t>
      </w:r>
      <w:r w:rsidRPr="00E51051">
        <w:rPr>
          <w:sz w:val="22"/>
          <w:szCs w:val="22"/>
          <w:lang w:val="sr-Latn-RS"/>
        </w:rPr>
        <w:t>edeće vrste ni</w:t>
      </w:r>
      <w:r w:rsidR="003510DD" w:rsidRPr="00E51051">
        <w:rPr>
          <w:sz w:val="22"/>
          <w:szCs w:val="22"/>
          <w:lang w:val="sr-Latn-RS"/>
        </w:rPr>
        <w:t>je</w:t>
      </w:r>
      <w:r w:rsidRPr="00E51051">
        <w:rPr>
          <w:sz w:val="22"/>
          <w:szCs w:val="22"/>
          <w:lang w:val="sr-Latn-RS"/>
        </w:rPr>
        <w:t>su os</w:t>
      </w:r>
      <w:r w:rsidR="003510DD" w:rsidRPr="00E51051">
        <w:rPr>
          <w:sz w:val="22"/>
          <w:szCs w:val="22"/>
          <w:lang w:val="sr-Latn-RS"/>
        </w:rPr>
        <w:t>j</w:t>
      </w:r>
      <w:r w:rsidRPr="00E51051">
        <w:rPr>
          <w:sz w:val="22"/>
          <w:szCs w:val="22"/>
          <w:lang w:val="sr-Latn-RS"/>
        </w:rPr>
        <w:t xml:space="preserve">etljive na </w:t>
      </w:r>
      <w:r w:rsidR="0050553C" w:rsidRPr="00E51051">
        <w:rPr>
          <w:sz w:val="22"/>
          <w:szCs w:val="22"/>
          <w:lang w:val="sr-Latn-RS"/>
        </w:rPr>
        <w:t>ceftolozan, tazobaktam</w:t>
      </w:r>
      <w:r w:rsidRPr="00E51051">
        <w:rPr>
          <w:sz w:val="22"/>
          <w:szCs w:val="22"/>
          <w:lang w:val="sr-Latn-RS"/>
        </w:rPr>
        <w:t>:</w:t>
      </w:r>
    </w:p>
    <w:p w14:paraId="709CAB53" w14:textId="77777777" w:rsidR="00A30854" w:rsidRPr="00E51051" w:rsidRDefault="00A30854" w:rsidP="00187482">
      <w:pPr>
        <w:tabs>
          <w:tab w:val="left" w:pos="567"/>
        </w:tabs>
        <w:autoSpaceDE w:val="0"/>
        <w:autoSpaceDN w:val="0"/>
        <w:adjustRightInd w:val="0"/>
        <w:jc w:val="both"/>
        <w:rPr>
          <w:i/>
          <w:sz w:val="22"/>
          <w:szCs w:val="22"/>
          <w:lang w:val="sr-Latn-RS"/>
        </w:rPr>
      </w:pPr>
      <w:r w:rsidRPr="00E51051">
        <w:rPr>
          <w:i/>
          <w:sz w:val="22"/>
          <w:szCs w:val="22"/>
          <w:lang w:val="sr-Latn-RS"/>
        </w:rPr>
        <w:t>Staphylococcus aureus</w:t>
      </w:r>
    </w:p>
    <w:p w14:paraId="456578BA" w14:textId="77777777" w:rsidR="00A30854" w:rsidRPr="00E51051" w:rsidRDefault="00A30854" w:rsidP="00187482">
      <w:pPr>
        <w:tabs>
          <w:tab w:val="left" w:pos="567"/>
        </w:tabs>
        <w:autoSpaceDE w:val="0"/>
        <w:autoSpaceDN w:val="0"/>
        <w:adjustRightInd w:val="0"/>
        <w:jc w:val="both"/>
        <w:rPr>
          <w:i/>
          <w:sz w:val="22"/>
          <w:szCs w:val="22"/>
          <w:lang w:val="sr-Latn-RS"/>
        </w:rPr>
      </w:pPr>
      <w:r w:rsidRPr="00E51051">
        <w:rPr>
          <w:i/>
          <w:sz w:val="22"/>
          <w:szCs w:val="22"/>
          <w:lang w:val="sr-Latn-RS"/>
        </w:rPr>
        <w:t>Enterococcus faecalis</w:t>
      </w:r>
    </w:p>
    <w:p w14:paraId="60D54EDC" w14:textId="01B8D7E3" w:rsidR="00A30854" w:rsidRPr="00E51051" w:rsidRDefault="00A30854" w:rsidP="00187482">
      <w:pPr>
        <w:tabs>
          <w:tab w:val="left" w:pos="567"/>
        </w:tabs>
        <w:autoSpaceDE w:val="0"/>
        <w:autoSpaceDN w:val="0"/>
        <w:adjustRightInd w:val="0"/>
        <w:jc w:val="both"/>
        <w:rPr>
          <w:i/>
          <w:sz w:val="22"/>
          <w:szCs w:val="22"/>
          <w:lang w:val="sr-Latn-RS"/>
        </w:rPr>
      </w:pPr>
      <w:r w:rsidRPr="00E51051">
        <w:rPr>
          <w:i/>
          <w:sz w:val="22"/>
          <w:szCs w:val="22"/>
          <w:lang w:val="sr-Latn-RS"/>
        </w:rPr>
        <w:t>Enterococcus faecium</w:t>
      </w:r>
    </w:p>
    <w:p w14:paraId="2B3EDCD5" w14:textId="77777777" w:rsidR="00A30854" w:rsidRPr="00E51051" w:rsidRDefault="00A30854" w:rsidP="00187482">
      <w:pPr>
        <w:tabs>
          <w:tab w:val="left" w:pos="567"/>
        </w:tabs>
        <w:autoSpaceDE w:val="0"/>
        <w:autoSpaceDN w:val="0"/>
        <w:adjustRightInd w:val="0"/>
        <w:jc w:val="both"/>
        <w:rPr>
          <w:i/>
          <w:sz w:val="22"/>
          <w:szCs w:val="22"/>
          <w:lang w:val="sr-Latn-RS"/>
        </w:rPr>
      </w:pPr>
    </w:p>
    <w:p w14:paraId="3C62459D" w14:textId="77777777" w:rsidR="00A30854" w:rsidRPr="00E51051" w:rsidRDefault="00A30854" w:rsidP="00187482">
      <w:pPr>
        <w:keepNext/>
        <w:tabs>
          <w:tab w:val="left" w:pos="567"/>
        </w:tabs>
        <w:jc w:val="both"/>
        <w:rPr>
          <w:sz w:val="22"/>
          <w:szCs w:val="22"/>
          <w:u w:val="single"/>
          <w:lang w:val="sr-Latn-RS"/>
        </w:rPr>
      </w:pPr>
      <w:r w:rsidRPr="00E51051">
        <w:rPr>
          <w:sz w:val="22"/>
          <w:szCs w:val="22"/>
          <w:u w:val="single"/>
          <w:lang w:val="sr-Latn-RS"/>
        </w:rPr>
        <w:t>Pedijatrijska populacija</w:t>
      </w:r>
    </w:p>
    <w:p w14:paraId="21157397" w14:textId="77777777" w:rsidR="00A30854" w:rsidRPr="00E51051" w:rsidRDefault="00A30854" w:rsidP="00187482">
      <w:pPr>
        <w:keepNext/>
        <w:tabs>
          <w:tab w:val="left" w:pos="567"/>
        </w:tabs>
        <w:jc w:val="both"/>
        <w:rPr>
          <w:sz w:val="22"/>
          <w:szCs w:val="22"/>
          <w:u w:val="single"/>
          <w:lang w:val="sr-Latn-RS"/>
        </w:rPr>
      </w:pPr>
    </w:p>
    <w:p w14:paraId="4F00310F" w14:textId="602902A2" w:rsidR="00A30854" w:rsidRPr="00E51051" w:rsidRDefault="00A30854" w:rsidP="00187482">
      <w:pPr>
        <w:keepNext/>
        <w:tabs>
          <w:tab w:val="left" w:pos="567"/>
        </w:tabs>
        <w:jc w:val="both"/>
        <w:rPr>
          <w:sz w:val="22"/>
          <w:szCs w:val="22"/>
          <w:lang w:val="sr-Latn-RS"/>
        </w:rPr>
      </w:pPr>
      <w:r w:rsidRPr="00E51051">
        <w:rPr>
          <w:sz w:val="22"/>
          <w:szCs w:val="22"/>
          <w:lang w:val="sr-Latn-RS"/>
        </w:rPr>
        <w:t>Lijek ZERBAXA je proc</w:t>
      </w:r>
      <w:r w:rsidR="003510DD" w:rsidRPr="00E51051">
        <w:rPr>
          <w:sz w:val="22"/>
          <w:szCs w:val="22"/>
          <w:lang w:val="sr-Latn-RS"/>
        </w:rPr>
        <w:t>j</w:t>
      </w:r>
      <w:r w:rsidRPr="00E51051">
        <w:rPr>
          <w:sz w:val="22"/>
          <w:szCs w:val="22"/>
          <w:lang w:val="sr-Latn-RS"/>
        </w:rPr>
        <w:t>enjivan u dv</w:t>
      </w:r>
      <w:r w:rsidR="00BB1EA4" w:rsidRPr="00E51051">
        <w:rPr>
          <w:sz w:val="22"/>
          <w:szCs w:val="22"/>
          <w:lang w:val="sr-Latn-RS"/>
        </w:rPr>
        <w:t>ij</w:t>
      </w:r>
      <w:r w:rsidRPr="00E51051">
        <w:rPr>
          <w:sz w:val="22"/>
          <w:szCs w:val="22"/>
          <w:lang w:val="sr-Latn-RS"/>
        </w:rPr>
        <w:t>e sl</w:t>
      </w:r>
      <w:r w:rsidR="00BB1EA4" w:rsidRPr="00E51051">
        <w:rPr>
          <w:sz w:val="22"/>
          <w:szCs w:val="22"/>
          <w:lang w:val="sr-Latn-RS"/>
        </w:rPr>
        <w:t>ij</w:t>
      </w:r>
      <w:r w:rsidRPr="00E51051">
        <w:rPr>
          <w:sz w:val="22"/>
          <w:szCs w:val="22"/>
          <w:lang w:val="sr-Latn-RS"/>
        </w:rPr>
        <w:t>epe, randomizovane, aktivno-kontrolisane kliničke studije u pedijatrijskoj populaciji od rođenja (definisano kao &gt; 32 ned</w:t>
      </w:r>
      <w:r w:rsidR="003510DD" w:rsidRPr="00E51051">
        <w:rPr>
          <w:sz w:val="22"/>
          <w:szCs w:val="22"/>
          <w:lang w:val="sr-Latn-RS"/>
        </w:rPr>
        <w:t>j</w:t>
      </w:r>
      <w:r w:rsidRPr="00E51051">
        <w:rPr>
          <w:sz w:val="22"/>
          <w:szCs w:val="22"/>
          <w:lang w:val="sr-Latn-RS"/>
        </w:rPr>
        <w:t xml:space="preserve">elje gestacionog perioda i ≥ 7 dana </w:t>
      </w:r>
      <w:r w:rsidRPr="00E51051">
        <w:rPr>
          <w:sz w:val="22"/>
          <w:szCs w:val="22"/>
          <w:lang w:val="sr-Latn-RS"/>
        </w:rPr>
        <w:lastRenderedPageBreak/>
        <w:t>postnatalnog perioda) do uzrasta ispod 18 godina</w:t>
      </w:r>
      <w:r w:rsidR="00CB134E" w:rsidRPr="00E51051">
        <w:rPr>
          <w:sz w:val="22"/>
          <w:szCs w:val="22"/>
          <w:lang w:val="sr-Latn-RS"/>
        </w:rPr>
        <w:t xml:space="preserve"> starosti</w:t>
      </w:r>
      <w:r w:rsidRPr="00E51051">
        <w:rPr>
          <w:sz w:val="22"/>
          <w:szCs w:val="22"/>
          <w:lang w:val="sr-Latn-RS"/>
        </w:rPr>
        <w:t>, jedna kod pacijenata sa komplikovanom in</w:t>
      </w:r>
      <w:r w:rsidR="0051424C" w:rsidRPr="00E51051">
        <w:rPr>
          <w:sz w:val="22"/>
          <w:szCs w:val="22"/>
          <w:lang w:val="sr-Latn-RS"/>
        </w:rPr>
        <w:t>t</w:t>
      </w:r>
      <w:r w:rsidRPr="00E51051">
        <w:rPr>
          <w:sz w:val="22"/>
          <w:szCs w:val="22"/>
          <w:lang w:val="sr-Latn-RS"/>
        </w:rPr>
        <w:t>ra</w:t>
      </w:r>
      <w:r w:rsidR="00376533" w:rsidRPr="00E51051">
        <w:rPr>
          <w:sz w:val="22"/>
          <w:szCs w:val="22"/>
          <w:lang w:val="sr-Latn-RS"/>
        </w:rPr>
        <w:t>a</w:t>
      </w:r>
      <w:r w:rsidRPr="00E51051">
        <w:rPr>
          <w:sz w:val="22"/>
          <w:szCs w:val="22"/>
          <w:lang w:val="sr-Latn-RS"/>
        </w:rPr>
        <w:t>bdominalnom infekcijom (u kombinaciji sa metronidazolom), a druga kod pacijenata sa komplikovanom infekcijom urinarnog trakta i akutnim pijelonefritisom. Primarni ciljevi u ovim studijama bili su proc</w:t>
      </w:r>
      <w:r w:rsidR="00BB1EA4" w:rsidRPr="00E51051">
        <w:rPr>
          <w:sz w:val="22"/>
          <w:szCs w:val="22"/>
          <w:lang w:val="sr-Latn-RS"/>
        </w:rPr>
        <w:t>j</w:t>
      </w:r>
      <w:r w:rsidRPr="00E51051">
        <w:rPr>
          <w:sz w:val="22"/>
          <w:szCs w:val="22"/>
          <w:lang w:val="sr-Latn-RS"/>
        </w:rPr>
        <w:t>ena bezb</w:t>
      </w:r>
      <w:r w:rsidR="00BB1EA4" w:rsidRPr="00E51051">
        <w:rPr>
          <w:sz w:val="22"/>
          <w:szCs w:val="22"/>
          <w:lang w:val="sr-Latn-RS"/>
        </w:rPr>
        <w:t>j</w:t>
      </w:r>
      <w:r w:rsidRPr="00E51051">
        <w:rPr>
          <w:sz w:val="22"/>
          <w:szCs w:val="22"/>
          <w:lang w:val="sr-Latn-RS"/>
        </w:rPr>
        <w:t xml:space="preserve">ednosti i podnošljivosti ceftolozana/tazobaktama; efikasnost je </w:t>
      </w:r>
      <w:r w:rsidR="009D1D0C" w:rsidRPr="00E51051">
        <w:rPr>
          <w:sz w:val="22"/>
          <w:szCs w:val="22"/>
          <w:lang w:val="sr-Latn-RS"/>
        </w:rPr>
        <w:t>bila sekundarni deskriptivni parametar praćenja</w:t>
      </w:r>
      <w:r w:rsidRPr="00E51051">
        <w:rPr>
          <w:sz w:val="22"/>
          <w:szCs w:val="22"/>
          <w:lang w:val="sr-Latn-RS"/>
        </w:rPr>
        <w:t xml:space="preserve">. Pacijenti mlađi od 18 godina sa </w:t>
      </w:r>
      <w:r w:rsidR="00C7738F" w:rsidRPr="00E51051">
        <w:rPr>
          <w:sz w:val="22"/>
          <w:szCs w:val="22"/>
          <w:lang w:val="sr-Latn-RS"/>
        </w:rPr>
        <w:t>e</w:t>
      </w:r>
      <w:r w:rsidRPr="00E51051">
        <w:rPr>
          <w:sz w:val="22"/>
          <w:szCs w:val="22"/>
          <w:lang w:val="sr-Latn-RS"/>
        </w:rPr>
        <w:t>GFR&lt;</w:t>
      </w:r>
      <w:r w:rsidR="0051424C" w:rsidRPr="00E51051">
        <w:rPr>
          <w:sz w:val="22"/>
          <w:szCs w:val="22"/>
          <w:lang w:val="sr-Latn-RS"/>
        </w:rPr>
        <w:t xml:space="preserve"> </w:t>
      </w:r>
      <w:r w:rsidRPr="00E51051">
        <w:rPr>
          <w:sz w:val="22"/>
          <w:szCs w:val="22"/>
          <w:lang w:val="sr-Latn-RS"/>
        </w:rPr>
        <w:t>50</w:t>
      </w:r>
      <w:r w:rsidR="00157168" w:rsidRPr="00E51051">
        <w:rPr>
          <w:sz w:val="22"/>
          <w:szCs w:val="22"/>
          <w:lang w:val="sr-Latn-RS"/>
        </w:rPr>
        <w:t xml:space="preserve"> ml/</w:t>
      </w:r>
      <w:r w:rsidRPr="00E51051">
        <w:rPr>
          <w:sz w:val="22"/>
          <w:szCs w:val="22"/>
          <w:lang w:val="sr-Latn-RS"/>
        </w:rPr>
        <w:t>min/1.73m</w:t>
      </w:r>
      <w:r w:rsidRPr="00E51051">
        <w:rPr>
          <w:sz w:val="22"/>
          <w:szCs w:val="22"/>
          <w:vertAlign w:val="superscript"/>
          <w:lang w:val="sr-Latn-RS"/>
        </w:rPr>
        <w:t>2</w:t>
      </w:r>
      <w:r w:rsidRPr="00E51051">
        <w:rPr>
          <w:sz w:val="22"/>
          <w:szCs w:val="22"/>
          <w:lang w:val="sr-Latn-RS"/>
        </w:rPr>
        <w:t xml:space="preserve"> (proc</w:t>
      </w:r>
      <w:r w:rsidR="003510DD" w:rsidRPr="00E51051">
        <w:rPr>
          <w:sz w:val="22"/>
          <w:szCs w:val="22"/>
          <w:lang w:val="sr-Latn-RS"/>
        </w:rPr>
        <w:t>i</w:t>
      </w:r>
      <w:r w:rsidR="00BB1EA4" w:rsidRPr="00E51051">
        <w:rPr>
          <w:sz w:val="22"/>
          <w:szCs w:val="22"/>
          <w:lang w:val="sr-Latn-RS"/>
        </w:rPr>
        <w:t>j</w:t>
      </w:r>
      <w:r w:rsidRPr="00E51051">
        <w:rPr>
          <w:sz w:val="22"/>
          <w:szCs w:val="22"/>
          <w:lang w:val="sr-Latn-RS"/>
        </w:rPr>
        <w:t xml:space="preserve">enjeno upotrebom </w:t>
      </w:r>
      <w:r w:rsidRPr="00E51051">
        <w:rPr>
          <w:i/>
          <w:iCs/>
          <w:sz w:val="22"/>
          <w:szCs w:val="22"/>
          <w:lang w:val="sr-Latn-RS"/>
        </w:rPr>
        <w:t>Bedside S</w:t>
      </w:r>
      <w:r w:rsidR="00C7738F" w:rsidRPr="00E51051">
        <w:rPr>
          <w:i/>
          <w:iCs/>
          <w:sz w:val="22"/>
          <w:szCs w:val="22"/>
          <w:lang w:val="sr-Latn-RS"/>
        </w:rPr>
        <w:t>ch</w:t>
      </w:r>
      <w:r w:rsidRPr="00E51051">
        <w:rPr>
          <w:i/>
          <w:iCs/>
          <w:sz w:val="22"/>
          <w:szCs w:val="22"/>
          <w:lang w:val="sr-Latn-RS"/>
        </w:rPr>
        <w:t>wartz</w:t>
      </w:r>
      <w:r w:rsidRPr="00E51051">
        <w:rPr>
          <w:sz w:val="22"/>
          <w:szCs w:val="22"/>
          <w:lang w:val="sr-Latn-RS"/>
        </w:rPr>
        <w:t>-ove jednačine) ni</w:t>
      </w:r>
      <w:r w:rsidR="003510DD" w:rsidRPr="00E51051">
        <w:rPr>
          <w:sz w:val="22"/>
          <w:szCs w:val="22"/>
          <w:lang w:val="sr-Latn-RS"/>
        </w:rPr>
        <w:t>je</w:t>
      </w:r>
      <w:r w:rsidRPr="00E51051">
        <w:rPr>
          <w:sz w:val="22"/>
          <w:szCs w:val="22"/>
          <w:lang w:val="sr-Latn-RS"/>
        </w:rPr>
        <w:t>su bili uključeni u ovu kliničku studiju. Dodatno, podaci o pacijentima mlađim od tri m</w:t>
      </w:r>
      <w:r w:rsidR="003510DD" w:rsidRPr="00E51051">
        <w:rPr>
          <w:sz w:val="22"/>
          <w:szCs w:val="22"/>
          <w:lang w:val="sr-Latn-RS"/>
        </w:rPr>
        <w:t>j</w:t>
      </w:r>
      <w:r w:rsidRPr="00E51051">
        <w:rPr>
          <w:sz w:val="22"/>
          <w:szCs w:val="22"/>
          <w:lang w:val="sr-Latn-RS"/>
        </w:rPr>
        <w:t>eseca sa komplikovanom intraabdominalnom infekcijom su veoma ograničeni (jedan pacijent u grupi za l</w:t>
      </w:r>
      <w:r w:rsidR="003510DD" w:rsidRPr="00E51051">
        <w:rPr>
          <w:sz w:val="22"/>
          <w:szCs w:val="22"/>
          <w:lang w:val="sr-Latn-RS"/>
        </w:rPr>
        <w:t>ij</w:t>
      </w:r>
      <w:r w:rsidRPr="00E51051">
        <w:rPr>
          <w:sz w:val="22"/>
          <w:szCs w:val="22"/>
          <w:lang w:val="sr-Latn-RS"/>
        </w:rPr>
        <w:t>ek ZERBAXA). U pedijatrijskoj populaciji pacijenata sa komplikovanim intraabdominalnim infekcijama stopa kliničkog izl</w:t>
      </w:r>
      <w:r w:rsidR="003510DD" w:rsidRPr="00E51051">
        <w:rPr>
          <w:sz w:val="22"/>
          <w:szCs w:val="22"/>
          <w:lang w:val="sr-Latn-RS"/>
        </w:rPr>
        <w:t>j</w:t>
      </w:r>
      <w:r w:rsidRPr="00E51051">
        <w:rPr>
          <w:sz w:val="22"/>
          <w:szCs w:val="22"/>
          <w:lang w:val="sr-Latn-RS"/>
        </w:rPr>
        <w:t>ečenja pri utvrđivanju izl</w:t>
      </w:r>
      <w:r w:rsidR="00BB1EA4" w:rsidRPr="00E51051">
        <w:rPr>
          <w:sz w:val="22"/>
          <w:szCs w:val="22"/>
          <w:lang w:val="sr-Latn-RS"/>
        </w:rPr>
        <w:t>j</w:t>
      </w:r>
      <w:r w:rsidRPr="00E51051">
        <w:rPr>
          <w:sz w:val="22"/>
          <w:szCs w:val="22"/>
          <w:lang w:val="sr-Latn-RS"/>
        </w:rPr>
        <w:t>ečenja (modifikovana populacija predviđena za l</w:t>
      </w:r>
      <w:r w:rsidR="00BB1EA4" w:rsidRPr="00E51051">
        <w:rPr>
          <w:sz w:val="22"/>
          <w:szCs w:val="22"/>
          <w:lang w:val="sr-Latn-RS"/>
        </w:rPr>
        <w:t>ij</w:t>
      </w:r>
      <w:r w:rsidRPr="00E51051">
        <w:rPr>
          <w:sz w:val="22"/>
          <w:szCs w:val="22"/>
          <w:lang w:val="sr-Latn-RS"/>
        </w:rPr>
        <w:t xml:space="preserve">ečenje [engl. </w:t>
      </w:r>
      <w:r w:rsidRPr="00E51051">
        <w:rPr>
          <w:i/>
          <w:iCs/>
          <w:sz w:val="22"/>
          <w:szCs w:val="22"/>
          <w:lang w:val="sr-Latn-RS"/>
        </w:rPr>
        <w:t>modified intent to treat</w:t>
      </w:r>
      <w:r w:rsidRPr="00E51051">
        <w:rPr>
          <w:sz w:val="22"/>
          <w:szCs w:val="22"/>
          <w:lang w:val="sr-Latn-RS"/>
        </w:rPr>
        <w:t>, MITT]) iznosila je 80,0% (56/70) za l</w:t>
      </w:r>
      <w:r w:rsidR="00BB1EA4" w:rsidRPr="00E51051">
        <w:rPr>
          <w:sz w:val="22"/>
          <w:szCs w:val="22"/>
          <w:lang w:val="sr-Latn-RS"/>
        </w:rPr>
        <w:t>ij</w:t>
      </w:r>
      <w:r w:rsidRPr="00E51051">
        <w:rPr>
          <w:sz w:val="22"/>
          <w:szCs w:val="22"/>
          <w:lang w:val="sr-Latn-RS"/>
        </w:rPr>
        <w:t>ek ZERBAXA u odnosu na 100,0% (21/21) za meropenem. U pedijatrijskoj populaciji pacijenata sa akutnim pijelonefritisom i komplikovanim infekcijama urinarnog trakta, stopa mikrobiološke eradikacije pri utvrđivanju izl</w:t>
      </w:r>
      <w:r w:rsidR="00BB1EA4" w:rsidRPr="00E51051">
        <w:rPr>
          <w:sz w:val="22"/>
          <w:szCs w:val="22"/>
          <w:lang w:val="sr-Latn-RS"/>
        </w:rPr>
        <w:t>j</w:t>
      </w:r>
      <w:r w:rsidRPr="00E51051">
        <w:rPr>
          <w:sz w:val="22"/>
          <w:szCs w:val="22"/>
          <w:lang w:val="sr-Latn-RS"/>
        </w:rPr>
        <w:t>ečenja (modifikovana populacija predviđena za l</w:t>
      </w:r>
      <w:r w:rsidR="00BB1EA4" w:rsidRPr="00E51051">
        <w:rPr>
          <w:sz w:val="22"/>
          <w:szCs w:val="22"/>
          <w:lang w:val="sr-Latn-RS"/>
        </w:rPr>
        <w:t>ij</w:t>
      </w:r>
      <w:r w:rsidRPr="00E51051">
        <w:rPr>
          <w:sz w:val="22"/>
          <w:szCs w:val="22"/>
          <w:lang w:val="sr-Latn-RS"/>
        </w:rPr>
        <w:t xml:space="preserve">ečenje u skladu sa mikrobiološkim nalazima [engl. </w:t>
      </w:r>
      <w:r w:rsidRPr="00E51051">
        <w:rPr>
          <w:i/>
          <w:iCs/>
          <w:sz w:val="22"/>
          <w:szCs w:val="22"/>
          <w:lang w:val="sr-Latn-RS"/>
        </w:rPr>
        <w:t>microbiologically modified intent to treat</w:t>
      </w:r>
      <w:r w:rsidRPr="00E51051">
        <w:rPr>
          <w:sz w:val="22"/>
          <w:szCs w:val="22"/>
          <w:lang w:val="sr-Latn-RS"/>
        </w:rPr>
        <w:t>, mMITT]) iznosila je 84,5% (60/71) za l</w:t>
      </w:r>
      <w:r w:rsidR="00BB1EA4" w:rsidRPr="00E51051">
        <w:rPr>
          <w:sz w:val="22"/>
          <w:szCs w:val="22"/>
          <w:lang w:val="sr-Latn-RS"/>
        </w:rPr>
        <w:t>ij</w:t>
      </w:r>
      <w:r w:rsidRPr="00E51051">
        <w:rPr>
          <w:sz w:val="22"/>
          <w:szCs w:val="22"/>
          <w:lang w:val="sr-Latn-RS"/>
        </w:rPr>
        <w:t>ek ZERBAXA u odnosu na 87,5% (21/24) za meropenem.</w:t>
      </w:r>
    </w:p>
    <w:p w14:paraId="5566F80C" w14:textId="77777777" w:rsidR="00A30854" w:rsidRPr="00E51051" w:rsidRDefault="00A30854" w:rsidP="00187482">
      <w:pPr>
        <w:keepNext/>
        <w:tabs>
          <w:tab w:val="left" w:pos="567"/>
        </w:tabs>
        <w:jc w:val="both"/>
        <w:rPr>
          <w:bCs/>
          <w:iCs/>
          <w:sz w:val="22"/>
          <w:szCs w:val="22"/>
          <w:u w:val="single"/>
          <w:lang w:val="sr-Latn-RS"/>
        </w:rPr>
      </w:pPr>
    </w:p>
    <w:p w14:paraId="360A0710" w14:textId="341A4E9D" w:rsidR="00A30854" w:rsidRPr="00E51051" w:rsidRDefault="00A30854" w:rsidP="00187482">
      <w:pPr>
        <w:tabs>
          <w:tab w:val="left" w:pos="567"/>
        </w:tabs>
        <w:jc w:val="both"/>
        <w:outlineLvl w:val="0"/>
        <w:rPr>
          <w:sz w:val="22"/>
          <w:szCs w:val="22"/>
          <w:lang w:val="sr-Latn-RS"/>
        </w:rPr>
      </w:pPr>
      <w:r w:rsidRPr="00E51051">
        <w:rPr>
          <w:sz w:val="22"/>
          <w:szCs w:val="22"/>
          <w:lang w:val="sr-Latn-RS"/>
        </w:rPr>
        <w:t>Evropska agencija za l</w:t>
      </w:r>
      <w:r w:rsidR="003510DD" w:rsidRPr="00E51051">
        <w:rPr>
          <w:sz w:val="22"/>
          <w:szCs w:val="22"/>
          <w:lang w:val="sr-Latn-RS"/>
        </w:rPr>
        <w:t>j</w:t>
      </w:r>
      <w:r w:rsidRPr="00E51051">
        <w:rPr>
          <w:sz w:val="22"/>
          <w:szCs w:val="22"/>
          <w:lang w:val="sr-Latn-RS"/>
        </w:rPr>
        <w:t>ekove odložila je obavezu podnošenja rezultata ispitivanja l</w:t>
      </w:r>
      <w:r w:rsidR="003510DD" w:rsidRPr="00E51051">
        <w:rPr>
          <w:sz w:val="22"/>
          <w:szCs w:val="22"/>
          <w:lang w:val="sr-Latn-RS"/>
        </w:rPr>
        <w:t>ij</w:t>
      </w:r>
      <w:r w:rsidRPr="00E51051">
        <w:rPr>
          <w:sz w:val="22"/>
          <w:szCs w:val="22"/>
          <w:lang w:val="sr-Latn-RS"/>
        </w:rPr>
        <w:t xml:space="preserve">eka </w:t>
      </w:r>
      <w:r w:rsidRPr="00E51051">
        <w:rPr>
          <w:bCs/>
          <w:sz w:val="22"/>
          <w:szCs w:val="22"/>
          <w:lang w:val="sr-Latn-RS"/>
        </w:rPr>
        <w:t xml:space="preserve">ZERBAXA </w:t>
      </w:r>
      <w:r w:rsidRPr="00E51051">
        <w:rPr>
          <w:sz w:val="22"/>
          <w:szCs w:val="22"/>
          <w:lang w:val="sr-Latn-RS"/>
        </w:rPr>
        <w:t xml:space="preserve">u jednoj ili više podgrupa pedijatrijske populacije kod bolnički stečenih pneumonija, uključujući pneumonije povezane sa mehaničkom ventilacijom </w:t>
      </w:r>
      <w:r w:rsidRPr="00E51051">
        <w:rPr>
          <w:bCs/>
          <w:sz w:val="22"/>
          <w:szCs w:val="22"/>
          <w:lang w:val="sr-Latn-RS"/>
        </w:rPr>
        <w:t>(</w:t>
      </w:r>
      <w:r w:rsidR="00A40402" w:rsidRPr="00E51051">
        <w:rPr>
          <w:sz w:val="22"/>
          <w:szCs w:val="22"/>
          <w:lang w:val="sr-Latn-RS"/>
        </w:rPr>
        <w:t>vidjeti dio</w:t>
      </w:r>
      <w:r w:rsidRPr="00E51051">
        <w:rPr>
          <w:sz w:val="22"/>
          <w:szCs w:val="22"/>
          <w:lang w:val="sr-Latn-RS"/>
        </w:rPr>
        <w:t> 4.2 za informacije o upotrebi u pedijatrijskoj populaciji</w:t>
      </w:r>
      <w:r w:rsidRPr="00E51051">
        <w:rPr>
          <w:bCs/>
          <w:sz w:val="22"/>
          <w:szCs w:val="22"/>
          <w:lang w:val="sr-Latn-RS"/>
        </w:rPr>
        <w:t>).</w:t>
      </w:r>
    </w:p>
    <w:p w14:paraId="31BC57A4" w14:textId="77777777" w:rsidR="002E37A5" w:rsidRPr="00E51051" w:rsidRDefault="002E37A5" w:rsidP="00480FB1">
      <w:pPr>
        <w:tabs>
          <w:tab w:val="left" w:pos="540"/>
          <w:tab w:val="left" w:pos="569"/>
        </w:tabs>
        <w:rPr>
          <w:b/>
          <w:bCs/>
          <w:sz w:val="22"/>
          <w:szCs w:val="22"/>
          <w:lang w:val="sr-Latn-RS"/>
        </w:rPr>
      </w:pPr>
    </w:p>
    <w:p w14:paraId="217AFDC8" w14:textId="50119F5A" w:rsidR="0072020E" w:rsidRPr="00E51051" w:rsidRDefault="0072020E" w:rsidP="00187482">
      <w:pPr>
        <w:tabs>
          <w:tab w:val="left" w:pos="540"/>
          <w:tab w:val="left" w:pos="569"/>
        </w:tabs>
        <w:jc w:val="both"/>
        <w:rPr>
          <w:b/>
          <w:bCs/>
          <w:sz w:val="22"/>
          <w:szCs w:val="22"/>
          <w:lang w:val="sr-Latn-RS"/>
        </w:rPr>
      </w:pPr>
      <w:r w:rsidRPr="00E51051">
        <w:rPr>
          <w:b/>
          <w:bCs/>
          <w:sz w:val="22"/>
          <w:szCs w:val="22"/>
          <w:lang w:val="sr-Latn-RS"/>
        </w:rPr>
        <w:t xml:space="preserve">5.2. </w:t>
      </w:r>
      <w:r w:rsidR="00480FB1" w:rsidRPr="00E51051">
        <w:rPr>
          <w:b/>
          <w:bCs/>
          <w:sz w:val="22"/>
          <w:szCs w:val="22"/>
          <w:lang w:val="sr-Latn-RS"/>
        </w:rPr>
        <w:tab/>
      </w:r>
      <w:r w:rsidRPr="00E51051">
        <w:rPr>
          <w:b/>
          <w:bCs/>
          <w:sz w:val="22"/>
          <w:szCs w:val="22"/>
          <w:lang w:val="sr-Latn-RS"/>
        </w:rPr>
        <w:t>Farmakokinetički podaci</w:t>
      </w:r>
      <w:r w:rsidR="003A7059" w:rsidRPr="00E51051">
        <w:rPr>
          <w:b/>
          <w:bCs/>
          <w:sz w:val="22"/>
          <w:szCs w:val="22"/>
          <w:lang w:val="sr-Latn-RS"/>
        </w:rPr>
        <w:t xml:space="preserve"> </w:t>
      </w:r>
    </w:p>
    <w:p w14:paraId="4F1B188F" w14:textId="77777777" w:rsidR="00BB1EA4" w:rsidRPr="00E51051" w:rsidRDefault="00BB1EA4" w:rsidP="00187482">
      <w:pPr>
        <w:tabs>
          <w:tab w:val="left" w:pos="540"/>
          <w:tab w:val="left" w:pos="569"/>
        </w:tabs>
        <w:jc w:val="both"/>
        <w:rPr>
          <w:b/>
          <w:bCs/>
          <w:sz w:val="22"/>
          <w:szCs w:val="22"/>
          <w:lang w:val="sr-Latn-RS"/>
        </w:rPr>
      </w:pPr>
    </w:p>
    <w:p w14:paraId="52B125EC" w14:textId="051DF400" w:rsidR="00BB1EA4" w:rsidRPr="00E51051" w:rsidRDefault="00BB1EA4" w:rsidP="007D1B7D">
      <w:pPr>
        <w:jc w:val="both"/>
        <w:rPr>
          <w:bCs/>
          <w:sz w:val="22"/>
          <w:szCs w:val="22"/>
          <w:lang w:val="sr-Latn-RS" w:eastAsia="hr-HR"/>
        </w:rPr>
      </w:pPr>
      <w:r w:rsidRPr="00E51051">
        <w:rPr>
          <w:bCs/>
          <w:sz w:val="22"/>
          <w:szCs w:val="22"/>
          <w:lang w:val="sr-Latn-RS" w:eastAsia="hr-HR"/>
        </w:rPr>
        <w:t>Vr</w:t>
      </w:r>
      <w:r w:rsidR="003510DD" w:rsidRPr="00E51051">
        <w:rPr>
          <w:bCs/>
          <w:sz w:val="22"/>
          <w:szCs w:val="22"/>
          <w:lang w:val="sr-Latn-RS" w:eastAsia="hr-HR"/>
        </w:rPr>
        <w:t>ij</w:t>
      </w:r>
      <w:r w:rsidRPr="00E51051">
        <w:rPr>
          <w:bCs/>
          <w:sz w:val="22"/>
          <w:szCs w:val="22"/>
          <w:lang w:val="sr-Latn-RS" w:eastAsia="hr-HR"/>
        </w:rPr>
        <w:t>ednosti C</w:t>
      </w:r>
      <w:r w:rsidRPr="00E51051">
        <w:rPr>
          <w:bCs/>
          <w:sz w:val="22"/>
          <w:szCs w:val="22"/>
          <w:vertAlign w:val="subscript"/>
          <w:lang w:val="sr-Latn-RS" w:eastAsia="hr-HR"/>
        </w:rPr>
        <w:t>max</w:t>
      </w:r>
      <w:r w:rsidRPr="00E51051">
        <w:rPr>
          <w:bCs/>
          <w:sz w:val="22"/>
          <w:szCs w:val="22"/>
          <w:lang w:val="sr-Latn-RS" w:eastAsia="hr-HR"/>
        </w:rPr>
        <w:t xml:space="preserve"> i PIK ceftolozana/tazobaktama se povećavaju približno proporcionalno dozi nakon prim</w:t>
      </w:r>
      <w:r w:rsidR="003510DD" w:rsidRPr="00E51051">
        <w:rPr>
          <w:bCs/>
          <w:sz w:val="22"/>
          <w:szCs w:val="22"/>
          <w:lang w:val="sr-Latn-RS" w:eastAsia="hr-HR"/>
        </w:rPr>
        <w:t>j</w:t>
      </w:r>
      <w:r w:rsidRPr="00E51051">
        <w:rPr>
          <w:bCs/>
          <w:sz w:val="22"/>
          <w:szCs w:val="22"/>
          <w:lang w:val="sr-Latn-RS" w:eastAsia="hr-HR"/>
        </w:rPr>
        <w:t>ene pojedinačne doze ceftolozana u rasponu od 250 mg do 3 g i nakon prim</w:t>
      </w:r>
      <w:r w:rsidR="003510DD" w:rsidRPr="00E51051">
        <w:rPr>
          <w:bCs/>
          <w:sz w:val="22"/>
          <w:szCs w:val="22"/>
          <w:lang w:val="sr-Latn-RS" w:eastAsia="hr-HR"/>
        </w:rPr>
        <w:t>j</w:t>
      </w:r>
      <w:r w:rsidRPr="00E51051">
        <w:rPr>
          <w:bCs/>
          <w:sz w:val="22"/>
          <w:szCs w:val="22"/>
          <w:lang w:val="sr-Latn-RS" w:eastAsia="hr-HR"/>
        </w:rPr>
        <w:t>ene pojedinačne doze tazobaktama u rasponu od 500 mg do 1,5 g. Nije zapažena prim</w:t>
      </w:r>
      <w:r w:rsidR="003E5719" w:rsidRPr="00E51051">
        <w:rPr>
          <w:bCs/>
          <w:sz w:val="22"/>
          <w:szCs w:val="22"/>
          <w:lang w:val="sr-Latn-RS" w:eastAsia="hr-HR"/>
        </w:rPr>
        <w:t>j</w:t>
      </w:r>
      <w:r w:rsidRPr="00E51051">
        <w:rPr>
          <w:bCs/>
          <w:sz w:val="22"/>
          <w:szCs w:val="22"/>
          <w:lang w:val="sr-Latn-RS" w:eastAsia="hr-HR"/>
        </w:rPr>
        <w:t>etna kumulacija</w:t>
      </w:r>
      <w:r w:rsidR="00A40402" w:rsidRPr="00E51051">
        <w:rPr>
          <w:bCs/>
          <w:sz w:val="22"/>
          <w:szCs w:val="22"/>
          <w:lang w:val="sr-Latn-RS" w:eastAsia="hr-HR"/>
        </w:rPr>
        <w:t xml:space="preserve"> </w:t>
      </w:r>
      <w:r w:rsidRPr="00E51051">
        <w:rPr>
          <w:bCs/>
          <w:sz w:val="22"/>
          <w:szCs w:val="22"/>
          <w:lang w:val="sr-Latn-RS" w:eastAsia="hr-HR"/>
        </w:rPr>
        <w:t>ceftolozana/tazobaktama nakon višestrukih intravenskih infuzija tokom 1 sata ceftolozana/tazobaktama u dozama od 1 g/0,5 g ili 2 g/1 g svakih 8 sati u periodu do najviše 10 dana kod zdravih odraslih osoba sa očuvanom funkcijom bubrega. Poluvr</w:t>
      </w:r>
      <w:r w:rsidR="003D0360" w:rsidRPr="00E51051">
        <w:rPr>
          <w:bCs/>
          <w:sz w:val="22"/>
          <w:szCs w:val="22"/>
          <w:lang w:val="sr-Latn-RS" w:eastAsia="hr-HR"/>
        </w:rPr>
        <w:t>ij</w:t>
      </w:r>
      <w:r w:rsidRPr="00E51051">
        <w:rPr>
          <w:bCs/>
          <w:sz w:val="22"/>
          <w:szCs w:val="22"/>
          <w:lang w:val="sr-Latn-RS" w:eastAsia="hr-HR"/>
        </w:rPr>
        <w:t>eme eliminacije (t</w:t>
      </w:r>
      <w:r w:rsidRPr="00E51051">
        <w:rPr>
          <w:bCs/>
          <w:sz w:val="22"/>
          <w:szCs w:val="22"/>
          <w:vertAlign w:val="subscript"/>
          <w:lang w:val="sr-Latn-RS" w:eastAsia="hr-HR"/>
        </w:rPr>
        <w:t>½</w:t>
      </w:r>
      <w:r w:rsidRPr="00E51051">
        <w:rPr>
          <w:bCs/>
          <w:sz w:val="22"/>
          <w:szCs w:val="22"/>
          <w:lang w:val="sr-Latn-RS" w:eastAsia="hr-HR"/>
        </w:rPr>
        <w:t>) ceftolozana ili tazobaktama ne zavisi od prim</w:t>
      </w:r>
      <w:r w:rsidR="003B717E" w:rsidRPr="00E51051">
        <w:rPr>
          <w:bCs/>
          <w:sz w:val="22"/>
          <w:szCs w:val="22"/>
          <w:lang w:val="sr-Latn-RS" w:eastAsia="hr-HR"/>
        </w:rPr>
        <w:t>i</w:t>
      </w:r>
      <w:r w:rsidR="003D0360" w:rsidRPr="00E51051">
        <w:rPr>
          <w:bCs/>
          <w:sz w:val="22"/>
          <w:szCs w:val="22"/>
          <w:lang w:val="sr-Latn-RS" w:eastAsia="hr-HR"/>
        </w:rPr>
        <w:t>j</w:t>
      </w:r>
      <w:r w:rsidRPr="00E51051">
        <w:rPr>
          <w:bCs/>
          <w:sz w:val="22"/>
          <w:szCs w:val="22"/>
          <w:lang w:val="sr-Latn-RS" w:eastAsia="hr-HR"/>
        </w:rPr>
        <w:t>enjene doze.</w:t>
      </w:r>
    </w:p>
    <w:p w14:paraId="7108A712" w14:textId="77777777" w:rsidR="00BB1EA4" w:rsidRPr="00E51051" w:rsidRDefault="00BB1EA4" w:rsidP="00187482">
      <w:pPr>
        <w:numPr>
          <w:ilvl w:val="12"/>
          <w:numId w:val="0"/>
        </w:numPr>
        <w:tabs>
          <w:tab w:val="left" w:pos="567"/>
        </w:tabs>
        <w:ind w:right="-2"/>
        <w:jc w:val="both"/>
        <w:rPr>
          <w:sz w:val="22"/>
          <w:szCs w:val="22"/>
          <w:u w:val="single"/>
          <w:lang w:val="sr-Latn-RS"/>
        </w:rPr>
      </w:pPr>
    </w:p>
    <w:p w14:paraId="73FE63A8" w14:textId="77777777" w:rsidR="00BB1EA4" w:rsidRPr="00E51051" w:rsidRDefault="00BB1EA4" w:rsidP="00187482">
      <w:pPr>
        <w:keepNext/>
        <w:numPr>
          <w:ilvl w:val="12"/>
          <w:numId w:val="0"/>
        </w:numPr>
        <w:tabs>
          <w:tab w:val="left" w:pos="567"/>
        </w:tabs>
        <w:ind w:right="-2"/>
        <w:jc w:val="both"/>
        <w:rPr>
          <w:sz w:val="22"/>
          <w:szCs w:val="22"/>
          <w:u w:val="single"/>
          <w:lang w:val="sr-Latn-RS"/>
        </w:rPr>
      </w:pPr>
      <w:r w:rsidRPr="00E51051">
        <w:rPr>
          <w:sz w:val="22"/>
          <w:szCs w:val="22"/>
          <w:u w:val="single"/>
          <w:lang w:val="sr-Latn-RS"/>
        </w:rPr>
        <w:t>Distribucija</w:t>
      </w:r>
    </w:p>
    <w:p w14:paraId="014229A2" w14:textId="77777777" w:rsidR="00BB1EA4" w:rsidRPr="00E51051" w:rsidRDefault="00BB1EA4" w:rsidP="00187482">
      <w:pPr>
        <w:keepNext/>
        <w:jc w:val="both"/>
        <w:rPr>
          <w:bCs/>
          <w:sz w:val="22"/>
          <w:szCs w:val="22"/>
          <w:lang w:val="sr-Latn-RS" w:eastAsia="hr-HR"/>
        </w:rPr>
      </w:pPr>
    </w:p>
    <w:p w14:paraId="6243DA3B" w14:textId="7EE295E5" w:rsidR="00BB1EA4" w:rsidRPr="00E51051" w:rsidRDefault="00BB1EA4" w:rsidP="00187482">
      <w:pPr>
        <w:jc w:val="both"/>
        <w:rPr>
          <w:bCs/>
          <w:sz w:val="22"/>
          <w:szCs w:val="22"/>
          <w:lang w:val="sr-Latn-RS" w:eastAsia="hr-HR"/>
        </w:rPr>
      </w:pPr>
      <w:r w:rsidRPr="00E51051">
        <w:rPr>
          <w:bCs/>
          <w:sz w:val="22"/>
          <w:szCs w:val="22"/>
          <w:lang w:val="sr-Latn-RS" w:eastAsia="hr-HR"/>
        </w:rPr>
        <w:t>Vezivanje ceftolozana i tazobaktama za proteine plazme kod ljudi je malo (približno 16% do 21% za ceftolozan, odnosno 30% za tazobaktam).</w:t>
      </w:r>
      <w:r w:rsidRPr="00E51051">
        <w:rPr>
          <w:bCs/>
          <w:sz w:val="22"/>
          <w:szCs w:val="22"/>
          <w:vertAlign w:val="superscript"/>
          <w:lang w:val="sr-Latn-RS" w:eastAsia="hr-HR"/>
        </w:rPr>
        <w:t xml:space="preserve"> </w:t>
      </w:r>
      <w:r w:rsidRPr="00E51051">
        <w:rPr>
          <w:bCs/>
          <w:sz w:val="22"/>
          <w:szCs w:val="22"/>
          <w:lang w:val="sr-Latn-RS" w:eastAsia="hr-HR"/>
        </w:rPr>
        <w:t>Srednja vr</w:t>
      </w:r>
      <w:r w:rsidR="003D0360" w:rsidRPr="00E51051">
        <w:rPr>
          <w:bCs/>
          <w:sz w:val="22"/>
          <w:szCs w:val="22"/>
          <w:lang w:val="sr-Latn-RS" w:eastAsia="hr-HR"/>
        </w:rPr>
        <w:t>ij</w:t>
      </w:r>
      <w:r w:rsidRPr="00E51051">
        <w:rPr>
          <w:bCs/>
          <w:sz w:val="22"/>
          <w:szCs w:val="22"/>
          <w:lang w:val="sr-Latn-RS" w:eastAsia="hr-HR"/>
        </w:rPr>
        <w:t xml:space="preserve">ednost (koeficijent varijacije, CV%) volumena distribucije </w:t>
      </w:r>
      <w:r w:rsidRPr="00E51051">
        <w:rPr>
          <w:sz w:val="22"/>
          <w:szCs w:val="22"/>
          <w:lang w:val="sr-Latn-RS" w:eastAsia="hr-HR"/>
        </w:rPr>
        <w:t>ceftolozana/tazobaktama</w:t>
      </w:r>
      <w:r w:rsidRPr="00E51051">
        <w:rPr>
          <w:bCs/>
          <w:sz w:val="22"/>
          <w:szCs w:val="22"/>
          <w:lang w:val="sr-Latn-RS" w:eastAsia="hr-HR"/>
        </w:rPr>
        <w:t xml:space="preserve"> u stanju dinamičke ravnoteže kod zdravih odraslih muškaraca (n = 51) nakon pojedinačne intravenske doze od </w:t>
      </w:r>
      <w:r w:rsidR="00157168" w:rsidRPr="00E51051">
        <w:rPr>
          <w:sz w:val="22"/>
          <w:szCs w:val="22"/>
          <w:lang w:val="sr-Latn-RS" w:eastAsia="hr-HR"/>
        </w:rPr>
        <w:t>1 g + 0,5 g</w:t>
      </w:r>
      <w:r w:rsidRPr="00E51051">
        <w:rPr>
          <w:bCs/>
          <w:sz w:val="22"/>
          <w:szCs w:val="22"/>
          <w:lang w:val="sr-Latn-RS" w:eastAsia="hr-HR"/>
        </w:rPr>
        <w:t xml:space="preserve"> iznosila je 13,5 </w:t>
      </w:r>
      <w:r w:rsidR="003E5719" w:rsidRPr="00E51051">
        <w:rPr>
          <w:bCs/>
          <w:sz w:val="22"/>
          <w:szCs w:val="22"/>
          <w:lang w:val="sr-Latn-RS" w:eastAsia="hr-HR"/>
        </w:rPr>
        <w:t>l</w:t>
      </w:r>
      <w:r w:rsidRPr="00E51051">
        <w:rPr>
          <w:bCs/>
          <w:sz w:val="22"/>
          <w:szCs w:val="22"/>
          <w:lang w:val="sr-Latn-RS" w:eastAsia="hr-HR"/>
        </w:rPr>
        <w:t> (21%) za ceftolozan i 18,2 </w:t>
      </w:r>
      <w:r w:rsidR="003E5719" w:rsidRPr="00E51051">
        <w:rPr>
          <w:bCs/>
          <w:sz w:val="22"/>
          <w:szCs w:val="22"/>
          <w:lang w:val="sr-Latn-RS" w:eastAsia="hr-HR"/>
        </w:rPr>
        <w:t>l</w:t>
      </w:r>
      <w:r w:rsidRPr="00E51051">
        <w:rPr>
          <w:bCs/>
          <w:sz w:val="22"/>
          <w:szCs w:val="22"/>
          <w:lang w:val="sr-Latn-RS" w:eastAsia="hr-HR"/>
        </w:rPr>
        <w:t> (25%) za tazobaktam, slično zapremini ekstracelularne tečnosti.</w:t>
      </w:r>
    </w:p>
    <w:p w14:paraId="6017F3FB" w14:textId="77777777" w:rsidR="00BB1EA4" w:rsidRPr="00E51051" w:rsidRDefault="00BB1EA4" w:rsidP="00187482">
      <w:pPr>
        <w:numPr>
          <w:ilvl w:val="12"/>
          <w:numId w:val="0"/>
        </w:numPr>
        <w:tabs>
          <w:tab w:val="left" w:pos="567"/>
        </w:tabs>
        <w:ind w:right="-2"/>
        <w:jc w:val="both"/>
        <w:rPr>
          <w:sz w:val="22"/>
          <w:szCs w:val="22"/>
          <w:u w:val="single"/>
          <w:lang w:val="sr-Latn-RS"/>
        </w:rPr>
      </w:pPr>
    </w:p>
    <w:p w14:paraId="11F7D4BB" w14:textId="53B3AB75" w:rsidR="00BB1EA4" w:rsidRPr="00E51051" w:rsidRDefault="00BB1EA4" w:rsidP="00187482">
      <w:pPr>
        <w:numPr>
          <w:ilvl w:val="12"/>
          <w:numId w:val="0"/>
        </w:numPr>
        <w:tabs>
          <w:tab w:val="left" w:pos="567"/>
        </w:tabs>
        <w:ind w:right="-2"/>
        <w:jc w:val="both"/>
        <w:rPr>
          <w:sz w:val="22"/>
          <w:szCs w:val="22"/>
          <w:lang w:val="sr-Latn-RS"/>
        </w:rPr>
      </w:pPr>
      <w:r w:rsidRPr="00E51051">
        <w:rPr>
          <w:sz w:val="22"/>
          <w:szCs w:val="22"/>
          <w:lang w:val="sr-Latn-RS"/>
        </w:rPr>
        <w:t>Nakon 1 sata intravenske infuzije ceftolozana/tazobaktama u dozi od 2 g/1 g ili dozi prilagođenoj prema funkciji bubrega prim</w:t>
      </w:r>
      <w:r w:rsidR="003D0360" w:rsidRPr="00E51051">
        <w:rPr>
          <w:sz w:val="22"/>
          <w:szCs w:val="22"/>
          <w:lang w:val="sr-Latn-RS"/>
        </w:rPr>
        <w:t>ij</w:t>
      </w:r>
      <w:r w:rsidRPr="00E51051">
        <w:rPr>
          <w:sz w:val="22"/>
          <w:szCs w:val="22"/>
          <w:lang w:val="sr-Latn-RS"/>
        </w:rPr>
        <w:t>enjenoj svakih 8 sati kod odraslih pacijenata koji su na mehaničkoj ventilaciji sa dokazanom pneumonijom ili sumnjom na pneumoniju (N=22), koncentracije ceftolozana i tazobaktama u tečnosti koja oblaže plućni epitel bile su veće od 8 mikrograma</w:t>
      </w:r>
      <w:r w:rsidR="00157168" w:rsidRPr="00E51051">
        <w:rPr>
          <w:sz w:val="22"/>
          <w:szCs w:val="22"/>
          <w:lang w:val="sr-Latn-RS"/>
        </w:rPr>
        <w:t>/ml</w:t>
      </w:r>
      <w:r w:rsidRPr="00E51051">
        <w:rPr>
          <w:sz w:val="22"/>
          <w:szCs w:val="22"/>
          <w:lang w:val="sr-Latn-RS"/>
        </w:rPr>
        <w:t xml:space="preserve"> za ceftolozan, odnosno 1 mikrogram</w:t>
      </w:r>
      <w:r w:rsidR="00157168" w:rsidRPr="00E51051">
        <w:rPr>
          <w:sz w:val="22"/>
          <w:szCs w:val="22"/>
          <w:lang w:val="sr-Latn-RS"/>
        </w:rPr>
        <w:t xml:space="preserve"> /ml</w:t>
      </w:r>
      <w:r w:rsidRPr="00E51051">
        <w:rPr>
          <w:sz w:val="22"/>
          <w:szCs w:val="22"/>
          <w:lang w:val="sr-Latn-RS"/>
        </w:rPr>
        <w:t xml:space="preserve"> za tazobaktam tokom 100% intervala doziranja. Srednje vr</w:t>
      </w:r>
      <w:r w:rsidR="003D0360" w:rsidRPr="00E51051">
        <w:rPr>
          <w:sz w:val="22"/>
          <w:szCs w:val="22"/>
          <w:lang w:val="sr-Latn-RS"/>
        </w:rPr>
        <w:t>ij</w:t>
      </w:r>
      <w:r w:rsidRPr="00E51051">
        <w:rPr>
          <w:sz w:val="22"/>
          <w:szCs w:val="22"/>
          <w:lang w:val="sr-Latn-RS"/>
        </w:rPr>
        <w:t>ednosti odnosa PIK-ova u plućnom epitelu i slobodnoj plazmi iznosile su približno 50% za ceftolozan i približno 62% za tazobaktam, i slične su onima kod zdravih odraslih ispitanika koji su primili 1 g/0,5 g ceftolozana/tazobaktama (približno 61% za ceftolozan, odnosno 63% za tazobaktam).</w:t>
      </w:r>
    </w:p>
    <w:p w14:paraId="6BA8B6AA" w14:textId="77777777" w:rsidR="00BB1EA4" w:rsidRPr="00E51051" w:rsidRDefault="00BB1EA4" w:rsidP="00187482">
      <w:pPr>
        <w:numPr>
          <w:ilvl w:val="12"/>
          <w:numId w:val="0"/>
        </w:numPr>
        <w:tabs>
          <w:tab w:val="left" w:pos="567"/>
        </w:tabs>
        <w:ind w:right="-2"/>
        <w:jc w:val="both"/>
        <w:rPr>
          <w:sz w:val="22"/>
          <w:szCs w:val="22"/>
          <w:u w:val="single"/>
          <w:lang w:val="sr-Latn-RS"/>
        </w:rPr>
      </w:pPr>
    </w:p>
    <w:p w14:paraId="42748275" w14:textId="77777777" w:rsidR="00BB1EA4" w:rsidRPr="00E51051" w:rsidRDefault="00BB1EA4" w:rsidP="00187482">
      <w:pPr>
        <w:keepNext/>
        <w:numPr>
          <w:ilvl w:val="12"/>
          <w:numId w:val="0"/>
        </w:numPr>
        <w:tabs>
          <w:tab w:val="left" w:pos="567"/>
        </w:tabs>
        <w:ind w:right="-2"/>
        <w:jc w:val="both"/>
        <w:rPr>
          <w:sz w:val="22"/>
          <w:szCs w:val="22"/>
          <w:u w:val="single"/>
          <w:lang w:val="sr-Latn-RS"/>
        </w:rPr>
      </w:pPr>
      <w:r w:rsidRPr="00E51051">
        <w:rPr>
          <w:sz w:val="22"/>
          <w:szCs w:val="22"/>
          <w:u w:val="single"/>
          <w:lang w:val="sr-Latn-RS"/>
        </w:rPr>
        <w:t>Biotransformacija</w:t>
      </w:r>
    </w:p>
    <w:p w14:paraId="0ABD8F29" w14:textId="77777777" w:rsidR="00BB1EA4" w:rsidRPr="00E51051" w:rsidRDefault="00BB1EA4" w:rsidP="00187482">
      <w:pPr>
        <w:keepNext/>
        <w:numPr>
          <w:ilvl w:val="12"/>
          <w:numId w:val="0"/>
        </w:numPr>
        <w:tabs>
          <w:tab w:val="left" w:pos="567"/>
        </w:tabs>
        <w:ind w:right="-2"/>
        <w:jc w:val="both"/>
        <w:rPr>
          <w:bCs/>
          <w:sz w:val="22"/>
          <w:szCs w:val="22"/>
          <w:lang w:val="sr-Latn-RS"/>
        </w:rPr>
      </w:pPr>
    </w:p>
    <w:p w14:paraId="2529C467" w14:textId="6C05F9BD" w:rsidR="00BB1EA4" w:rsidRPr="00E51051" w:rsidRDefault="00BB1EA4" w:rsidP="00187482">
      <w:pPr>
        <w:numPr>
          <w:ilvl w:val="12"/>
          <w:numId w:val="0"/>
        </w:numPr>
        <w:tabs>
          <w:tab w:val="left" w:pos="567"/>
        </w:tabs>
        <w:ind w:right="-2"/>
        <w:jc w:val="both"/>
        <w:rPr>
          <w:sz w:val="22"/>
          <w:szCs w:val="22"/>
          <w:lang w:val="sr-Latn-RS"/>
        </w:rPr>
      </w:pPr>
      <w:r w:rsidRPr="00E51051">
        <w:rPr>
          <w:bCs/>
          <w:sz w:val="22"/>
          <w:szCs w:val="22"/>
          <w:lang w:val="sr-Latn-RS"/>
        </w:rPr>
        <w:t>Ceftolozan se eliminiše urinom u neprom</w:t>
      </w:r>
      <w:r w:rsidR="003D0360" w:rsidRPr="00E51051">
        <w:rPr>
          <w:bCs/>
          <w:sz w:val="22"/>
          <w:szCs w:val="22"/>
          <w:lang w:val="sr-Latn-RS"/>
        </w:rPr>
        <w:t>ij</w:t>
      </w:r>
      <w:r w:rsidRPr="00E51051">
        <w:rPr>
          <w:bCs/>
          <w:sz w:val="22"/>
          <w:szCs w:val="22"/>
          <w:lang w:val="sr-Latn-RS"/>
        </w:rPr>
        <w:t>enjenom obliku, pa izgleda da se ne metaboliše u obimnijem stepenu. Hidrolizom beta</w:t>
      </w:r>
      <w:r w:rsidRPr="00E51051">
        <w:rPr>
          <w:bCs/>
          <w:sz w:val="22"/>
          <w:szCs w:val="22"/>
          <w:lang w:val="sr-Latn-RS"/>
        </w:rPr>
        <w:noBreakHyphen/>
        <w:t xml:space="preserve">laktamskog prstena </w:t>
      </w:r>
      <w:r w:rsidRPr="00E51051">
        <w:rPr>
          <w:sz w:val="22"/>
          <w:szCs w:val="22"/>
          <w:lang w:val="sr-Latn-RS"/>
        </w:rPr>
        <w:t>tazobaktama nastaje farmakološki neaktivan metabolit tazobaktama M1</w:t>
      </w:r>
      <w:r w:rsidRPr="00E51051">
        <w:rPr>
          <w:bCs/>
          <w:sz w:val="22"/>
          <w:szCs w:val="22"/>
          <w:lang w:val="sr-Latn-RS"/>
        </w:rPr>
        <w:t>.</w:t>
      </w:r>
    </w:p>
    <w:p w14:paraId="4E607936" w14:textId="77777777" w:rsidR="00BB1EA4" w:rsidRPr="00E51051" w:rsidRDefault="00BB1EA4" w:rsidP="00187482">
      <w:pPr>
        <w:numPr>
          <w:ilvl w:val="12"/>
          <w:numId w:val="0"/>
        </w:numPr>
        <w:tabs>
          <w:tab w:val="left" w:pos="567"/>
        </w:tabs>
        <w:ind w:right="-2"/>
        <w:jc w:val="both"/>
        <w:rPr>
          <w:sz w:val="22"/>
          <w:szCs w:val="22"/>
          <w:u w:val="single"/>
          <w:lang w:val="sr-Latn-RS"/>
        </w:rPr>
      </w:pPr>
    </w:p>
    <w:p w14:paraId="6616E5A1" w14:textId="77777777" w:rsidR="00BB1EA4" w:rsidRPr="00E51051" w:rsidRDefault="00BB1EA4" w:rsidP="00187482">
      <w:pPr>
        <w:keepNext/>
        <w:numPr>
          <w:ilvl w:val="12"/>
          <w:numId w:val="0"/>
        </w:numPr>
        <w:tabs>
          <w:tab w:val="left" w:pos="567"/>
        </w:tabs>
        <w:ind w:right="-2"/>
        <w:jc w:val="both"/>
        <w:rPr>
          <w:sz w:val="22"/>
          <w:szCs w:val="22"/>
          <w:u w:val="single"/>
          <w:lang w:val="sr-Latn-RS"/>
        </w:rPr>
      </w:pPr>
      <w:r w:rsidRPr="00E51051">
        <w:rPr>
          <w:sz w:val="22"/>
          <w:szCs w:val="22"/>
          <w:u w:val="single"/>
          <w:lang w:val="sr-Latn-RS"/>
        </w:rPr>
        <w:lastRenderedPageBreak/>
        <w:t>Eliminacija</w:t>
      </w:r>
    </w:p>
    <w:p w14:paraId="1774499A" w14:textId="77777777" w:rsidR="00BB1EA4" w:rsidRPr="00E51051" w:rsidRDefault="00BB1EA4" w:rsidP="00187482">
      <w:pPr>
        <w:keepNext/>
        <w:tabs>
          <w:tab w:val="left" w:pos="567"/>
        </w:tabs>
        <w:jc w:val="both"/>
        <w:rPr>
          <w:bCs/>
          <w:sz w:val="22"/>
          <w:szCs w:val="22"/>
          <w:lang w:val="sr-Latn-RS"/>
        </w:rPr>
      </w:pPr>
    </w:p>
    <w:p w14:paraId="633852F0" w14:textId="6B0E127B" w:rsidR="00BB1EA4" w:rsidRPr="00E51051" w:rsidRDefault="00BB1EA4" w:rsidP="00187482">
      <w:pPr>
        <w:tabs>
          <w:tab w:val="left" w:pos="567"/>
        </w:tabs>
        <w:jc w:val="both"/>
        <w:rPr>
          <w:bCs/>
          <w:sz w:val="22"/>
          <w:szCs w:val="22"/>
          <w:lang w:val="sr-Latn-RS"/>
        </w:rPr>
      </w:pPr>
      <w:r w:rsidRPr="00E51051">
        <w:rPr>
          <w:bCs/>
          <w:sz w:val="22"/>
          <w:szCs w:val="22"/>
          <w:lang w:val="sr-Latn-RS"/>
        </w:rPr>
        <w:t>Ceftolozan, tazobaktam i metabolit tazobaktama M1 se eliminišu putem bubrega. Nakon intravenske prim</w:t>
      </w:r>
      <w:r w:rsidR="003D0360" w:rsidRPr="00E51051">
        <w:rPr>
          <w:bCs/>
          <w:sz w:val="22"/>
          <w:szCs w:val="22"/>
          <w:lang w:val="sr-Latn-RS"/>
        </w:rPr>
        <w:t>j</w:t>
      </w:r>
      <w:r w:rsidRPr="00E51051">
        <w:rPr>
          <w:bCs/>
          <w:sz w:val="22"/>
          <w:szCs w:val="22"/>
          <w:lang w:val="sr-Latn-RS"/>
        </w:rPr>
        <w:t xml:space="preserve">ene pojedinačne doze ceftolozana/tazobaktama od </w:t>
      </w:r>
      <w:r w:rsidR="00157168" w:rsidRPr="00E51051">
        <w:rPr>
          <w:bCs/>
          <w:sz w:val="22"/>
          <w:szCs w:val="22"/>
          <w:lang w:val="sr-Latn-RS"/>
        </w:rPr>
        <w:t>1 g + 0,5 g</w:t>
      </w:r>
      <w:r w:rsidRPr="00E51051">
        <w:rPr>
          <w:bCs/>
          <w:sz w:val="22"/>
          <w:szCs w:val="22"/>
          <w:lang w:val="sr-Latn-RS"/>
        </w:rPr>
        <w:t xml:space="preserve"> kod zdravih odraslih muškaraca, više od 95% ceftolozana se izlučilo urinom u neprom</w:t>
      </w:r>
      <w:r w:rsidR="003D0360" w:rsidRPr="00E51051">
        <w:rPr>
          <w:bCs/>
          <w:sz w:val="22"/>
          <w:szCs w:val="22"/>
          <w:lang w:val="sr-Latn-RS"/>
        </w:rPr>
        <w:t>ij</w:t>
      </w:r>
      <w:r w:rsidRPr="00E51051">
        <w:rPr>
          <w:bCs/>
          <w:sz w:val="22"/>
          <w:szCs w:val="22"/>
          <w:lang w:val="sr-Latn-RS"/>
        </w:rPr>
        <w:t>enjenom obliku. Više od 80% tazobaktama se izlučilo kao neprom</w:t>
      </w:r>
      <w:r w:rsidR="003D0360" w:rsidRPr="00E51051">
        <w:rPr>
          <w:bCs/>
          <w:sz w:val="22"/>
          <w:szCs w:val="22"/>
          <w:lang w:val="sr-Latn-RS"/>
        </w:rPr>
        <w:t>ij</w:t>
      </w:r>
      <w:r w:rsidRPr="00E51051">
        <w:rPr>
          <w:bCs/>
          <w:sz w:val="22"/>
          <w:szCs w:val="22"/>
          <w:lang w:val="sr-Latn-RS"/>
        </w:rPr>
        <w:t xml:space="preserve">enjeno jedinjenje, dok se preostala količina izlučila kao metabolit tazobaktama M1. Nakon pojedinačne doze ceftolozana/tazobaktama, renalni klirens ceftolozana (3,41 </w:t>
      </w:r>
      <w:r w:rsidRPr="00E51051">
        <w:rPr>
          <w:bCs/>
          <w:sz w:val="22"/>
          <w:szCs w:val="22"/>
          <w:lang w:val="sr-Latn-RS"/>
        </w:rPr>
        <w:noBreakHyphen/>
        <w:t xml:space="preserve"> 6,69 </w:t>
      </w:r>
      <w:r w:rsidR="003E5719" w:rsidRPr="00E51051">
        <w:rPr>
          <w:bCs/>
          <w:sz w:val="22"/>
          <w:szCs w:val="22"/>
          <w:lang w:val="sr-Latn-RS"/>
        </w:rPr>
        <w:t>l</w:t>
      </w:r>
      <w:r w:rsidRPr="00E51051">
        <w:rPr>
          <w:bCs/>
          <w:sz w:val="22"/>
          <w:szCs w:val="22"/>
          <w:lang w:val="sr-Latn-RS"/>
        </w:rPr>
        <w:t xml:space="preserve">/sat) je bio sličan klirensu iz plazme (4,10 </w:t>
      </w:r>
      <w:r w:rsidRPr="00E51051">
        <w:rPr>
          <w:bCs/>
          <w:sz w:val="22"/>
          <w:szCs w:val="22"/>
          <w:lang w:val="sr-Latn-RS"/>
        </w:rPr>
        <w:noBreakHyphen/>
        <w:t xml:space="preserve"> 6,73 </w:t>
      </w:r>
      <w:r w:rsidR="003E5719" w:rsidRPr="00E51051">
        <w:rPr>
          <w:bCs/>
          <w:sz w:val="22"/>
          <w:szCs w:val="22"/>
          <w:lang w:val="sr-Latn-RS"/>
        </w:rPr>
        <w:t>l</w:t>
      </w:r>
      <w:r w:rsidRPr="00E51051">
        <w:rPr>
          <w:bCs/>
          <w:sz w:val="22"/>
          <w:szCs w:val="22"/>
          <w:lang w:val="sr-Latn-RS"/>
        </w:rPr>
        <w:t>/sat) i sličan brzini glomerularne filtracije nevezane frakcije, što ukazuje na to da se ceftolozan eliminiše putem bubrega glomerularnom filtracijom.</w:t>
      </w:r>
    </w:p>
    <w:p w14:paraId="02D2B1A9" w14:textId="77777777" w:rsidR="00BB1EA4" w:rsidRPr="00E51051" w:rsidRDefault="00BB1EA4" w:rsidP="00187482">
      <w:pPr>
        <w:tabs>
          <w:tab w:val="left" w:pos="567"/>
        </w:tabs>
        <w:jc w:val="both"/>
        <w:rPr>
          <w:bCs/>
          <w:sz w:val="22"/>
          <w:szCs w:val="22"/>
          <w:lang w:val="sr-Latn-RS"/>
        </w:rPr>
      </w:pPr>
    </w:p>
    <w:p w14:paraId="67F64628" w14:textId="0E4DC956" w:rsidR="00BB1EA4" w:rsidRPr="00E51051" w:rsidRDefault="00BB1EA4" w:rsidP="00187482">
      <w:pPr>
        <w:tabs>
          <w:tab w:val="left" w:pos="567"/>
        </w:tabs>
        <w:jc w:val="both"/>
        <w:rPr>
          <w:bCs/>
          <w:sz w:val="22"/>
          <w:szCs w:val="22"/>
          <w:lang w:val="sr-Latn-RS"/>
        </w:rPr>
      </w:pPr>
      <w:r w:rsidRPr="00E51051">
        <w:rPr>
          <w:bCs/>
          <w:sz w:val="22"/>
          <w:szCs w:val="22"/>
          <w:lang w:val="sr-Latn-RS"/>
        </w:rPr>
        <w:t>Srednja vr</w:t>
      </w:r>
      <w:r w:rsidR="003D0360" w:rsidRPr="00E51051">
        <w:rPr>
          <w:bCs/>
          <w:sz w:val="22"/>
          <w:szCs w:val="22"/>
          <w:lang w:val="sr-Latn-RS"/>
        </w:rPr>
        <w:t>ij</w:t>
      </w:r>
      <w:r w:rsidRPr="00E51051">
        <w:rPr>
          <w:bCs/>
          <w:sz w:val="22"/>
          <w:szCs w:val="22"/>
          <w:lang w:val="sr-Latn-RS"/>
        </w:rPr>
        <w:t>ednost terminalnog poluvremena eliminacije ceftolozana kod zdravih odraslih osoba sa očuvanom funkcijom bubrega iznosi približno 3 sata, a tazobaktama 1 sat.</w:t>
      </w:r>
    </w:p>
    <w:p w14:paraId="6DEE5B5A" w14:textId="77777777" w:rsidR="00BB1EA4" w:rsidRPr="00E51051" w:rsidRDefault="00BB1EA4" w:rsidP="00187482">
      <w:pPr>
        <w:tabs>
          <w:tab w:val="left" w:pos="567"/>
        </w:tabs>
        <w:jc w:val="both"/>
        <w:rPr>
          <w:sz w:val="22"/>
          <w:szCs w:val="22"/>
          <w:lang w:val="sr-Latn-RS"/>
        </w:rPr>
      </w:pPr>
    </w:p>
    <w:p w14:paraId="6C336EF9" w14:textId="77777777" w:rsidR="00BB1EA4" w:rsidRPr="00E51051" w:rsidRDefault="00BB1EA4" w:rsidP="00187482">
      <w:pPr>
        <w:keepNext/>
        <w:numPr>
          <w:ilvl w:val="12"/>
          <w:numId w:val="0"/>
        </w:numPr>
        <w:tabs>
          <w:tab w:val="left" w:pos="567"/>
        </w:tabs>
        <w:ind w:right="-2"/>
        <w:jc w:val="both"/>
        <w:rPr>
          <w:sz w:val="22"/>
          <w:szCs w:val="22"/>
          <w:lang w:val="sr-Latn-RS"/>
        </w:rPr>
      </w:pPr>
      <w:r w:rsidRPr="00E51051">
        <w:rPr>
          <w:sz w:val="22"/>
          <w:szCs w:val="22"/>
          <w:u w:val="single"/>
          <w:lang w:val="sr-Latn-RS"/>
        </w:rPr>
        <w:t>Linearnost/nelinearnost</w:t>
      </w:r>
    </w:p>
    <w:p w14:paraId="0C353A3A" w14:textId="77777777" w:rsidR="00BB1EA4" w:rsidRPr="00E51051" w:rsidRDefault="00BB1EA4" w:rsidP="00187482">
      <w:pPr>
        <w:keepNext/>
        <w:jc w:val="both"/>
        <w:rPr>
          <w:bCs/>
          <w:sz w:val="22"/>
          <w:szCs w:val="22"/>
          <w:lang w:val="sr-Latn-RS" w:eastAsia="hr-HR"/>
        </w:rPr>
      </w:pPr>
    </w:p>
    <w:p w14:paraId="7107689B" w14:textId="08FCAB26" w:rsidR="00BB1EA4" w:rsidRPr="00E51051" w:rsidRDefault="00BB1EA4" w:rsidP="00187482">
      <w:pPr>
        <w:jc w:val="both"/>
        <w:rPr>
          <w:bCs/>
          <w:sz w:val="22"/>
          <w:szCs w:val="22"/>
          <w:lang w:val="sr-Latn-RS" w:eastAsia="hr-HR"/>
        </w:rPr>
      </w:pPr>
      <w:r w:rsidRPr="00E51051">
        <w:rPr>
          <w:bCs/>
          <w:sz w:val="22"/>
          <w:szCs w:val="22"/>
          <w:lang w:val="sr-Latn-RS" w:eastAsia="hr-HR"/>
        </w:rPr>
        <w:t>Vr</w:t>
      </w:r>
      <w:r w:rsidR="003D0360" w:rsidRPr="00E51051">
        <w:rPr>
          <w:bCs/>
          <w:sz w:val="22"/>
          <w:szCs w:val="22"/>
          <w:lang w:val="sr-Latn-RS" w:eastAsia="hr-HR"/>
        </w:rPr>
        <w:t>ij</w:t>
      </w:r>
      <w:r w:rsidRPr="00E51051">
        <w:rPr>
          <w:bCs/>
          <w:sz w:val="22"/>
          <w:szCs w:val="22"/>
          <w:lang w:val="sr-Latn-RS" w:eastAsia="hr-HR"/>
        </w:rPr>
        <w:t>ednosti C</w:t>
      </w:r>
      <w:r w:rsidRPr="00E51051">
        <w:rPr>
          <w:bCs/>
          <w:sz w:val="22"/>
          <w:szCs w:val="22"/>
          <w:vertAlign w:val="subscript"/>
          <w:lang w:val="sr-Latn-RS" w:eastAsia="hr-HR"/>
        </w:rPr>
        <w:t>max</w:t>
      </w:r>
      <w:r w:rsidRPr="00E51051">
        <w:rPr>
          <w:bCs/>
          <w:sz w:val="22"/>
          <w:szCs w:val="22"/>
          <w:lang w:val="sr-Latn-RS" w:eastAsia="hr-HR"/>
        </w:rPr>
        <w:t xml:space="preserve"> i PIK ceftolozana/tazobaktama se povećavaju proporcionalno dozi. Koncentracije ceftolozana/tazobaktama u plazmi se ni</w:t>
      </w:r>
      <w:r w:rsidR="003D0360" w:rsidRPr="00E51051">
        <w:rPr>
          <w:bCs/>
          <w:sz w:val="22"/>
          <w:szCs w:val="22"/>
          <w:lang w:val="sr-Latn-RS" w:eastAsia="hr-HR"/>
        </w:rPr>
        <w:t>je</w:t>
      </w:r>
      <w:r w:rsidRPr="00E51051">
        <w:rPr>
          <w:bCs/>
          <w:sz w:val="22"/>
          <w:szCs w:val="22"/>
          <w:lang w:val="sr-Latn-RS" w:eastAsia="hr-HR"/>
        </w:rPr>
        <w:t>su značajno povećale nakon višestrukih intravenskih infuzija u dozama do 2,0 g/1,0 g prim</w:t>
      </w:r>
      <w:r w:rsidR="003D0360" w:rsidRPr="00E51051">
        <w:rPr>
          <w:bCs/>
          <w:sz w:val="22"/>
          <w:szCs w:val="22"/>
          <w:lang w:val="sr-Latn-RS" w:eastAsia="hr-HR"/>
        </w:rPr>
        <w:t>j</w:t>
      </w:r>
      <w:r w:rsidRPr="00E51051">
        <w:rPr>
          <w:bCs/>
          <w:sz w:val="22"/>
          <w:szCs w:val="22"/>
          <w:lang w:val="sr-Latn-RS" w:eastAsia="hr-HR"/>
        </w:rPr>
        <w:t>enjivanih svakih 8 sati u periodu do najviše 10 dana kod zdravih odraslih osoba sa očuvanom funkcijom bubrega. Poluvr</w:t>
      </w:r>
      <w:r w:rsidR="003D0360" w:rsidRPr="00E51051">
        <w:rPr>
          <w:bCs/>
          <w:sz w:val="22"/>
          <w:szCs w:val="22"/>
          <w:lang w:val="sr-Latn-RS" w:eastAsia="hr-HR"/>
        </w:rPr>
        <w:t>ij</w:t>
      </w:r>
      <w:r w:rsidRPr="00E51051">
        <w:rPr>
          <w:bCs/>
          <w:sz w:val="22"/>
          <w:szCs w:val="22"/>
          <w:lang w:val="sr-Latn-RS" w:eastAsia="hr-HR"/>
        </w:rPr>
        <w:t>eme eliminacije (t</w:t>
      </w:r>
      <w:r w:rsidRPr="00E51051">
        <w:rPr>
          <w:bCs/>
          <w:sz w:val="22"/>
          <w:szCs w:val="22"/>
          <w:vertAlign w:val="subscript"/>
          <w:lang w:val="sr-Latn-RS" w:eastAsia="hr-HR"/>
        </w:rPr>
        <w:t>½</w:t>
      </w:r>
      <w:r w:rsidRPr="00E51051">
        <w:rPr>
          <w:bCs/>
          <w:sz w:val="22"/>
          <w:szCs w:val="22"/>
          <w:lang w:val="sr-Latn-RS" w:eastAsia="hr-HR"/>
        </w:rPr>
        <w:t>) ceftolozana ne zavisi od prim</w:t>
      </w:r>
      <w:r w:rsidR="003D0360" w:rsidRPr="00E51051">
        <w:rPr>
          <w:bCs/>
          <w:sz w:val="22"/>
          <w:szCs w:val="22"/>
          <w:lang w:val="sr-Latn-RS" w:eastAsia="hr-HR"/>
        </w:rPr>
        <w:t>j</w:t>
      </w:r>
      <w:r w:rsidRPr="00E51051">
        <w:rPr>
          <w:bCs/>
          <w:sz w:val="22"/>
          <w:szCs w:val="22"/>
          <w:lang w:val="sr-Latn-RS" w:eastAsia="hr-HR"/>
        </w:rPr>
        <w:t>enjene doze.</w:t>
      </w:r>
    </w:p>
    <w:p w14:paraId="44450296" w14:textId="77777777" w:rsidR="00BB1EA4" w:rsidRPr="00E51051" w:rsidRDefault="00BB1EA4" w:rsidP="00187482">
      <w:pPr>
        <w:jc w:val="both"/>
        <w:rPr>
          <w:b/>
          <w:sz w:val="22"/>
          <w:szCs w:val="22"/>
          <w:lang w:val="sr-Latn-RS" w:eastAsia="hr-HR"/>
        </w:rPr>
      </w:pPr>
    </w:p>
    <w:p w14:paraId="26810D22" w14:textId="77777777" w:rsidR="00BB1EA4" w:rsidRPr="00E51051" w:rsidRDefault="00BB1EA4" w:rsidP="00187482">
      <w:pPr>
        <w:keepNext/>
        <w:jc w:val="both"/>
        <w:rPr>
          <w:bCs/>
          <w:sz w:val="22"/>
          <w:szCs w:val="22"/>
          <w:u w:val="single"/>
          <w:lang w:val="sr-Latn-RS" w:eastAsia="hr-HR"/>
        </w:rPr>
      </w:pPr>
      <w:r w:rsidRPr="00E51051">
        <w:rPr>
          <w:bCs/>
          <w:sz w:val="22"/>
          <w:szCs w:val="22"/>
          <w:u w:val="single"/>
          <w:lang w:val="sr-Latn-RS" w:eastAsia="hr-HR"/>
        </w:rPr>
        <w:t>Posebne populacije</w:t>
      </w:r>
    </w:p>
    <w:p w14:paraId="3FE1A69F" w14:textId="77777777" w:rsidR="00BB1EA4" w:rsidRPr="00E51051" w:rsidRDefault="00BB1EA4" w:rsidP="00187482">
      <w:pPr>
        <w:keepNext/>
        <w:jc w:val="both"/>
        <w:rPr>
          <w:sz w:val="22"/>
          <w:szCs w:val="22"/>
          <w:u w:val="single"/>
          <w:lang w:val="sr-Latn-RS" w:eastAsia="hr-HR"/>
        </w:rPr>
      </w:pPr>
    </w:p>
    <w:p w14:paraId="4EC1F05C" w14:textId="77777777" w:rsidR="00BB1EA4" w:rsidRPr="00E51051" w:rsidRDefault="00BB1EA4" w:rsidP="00187482">
      <w:pPr>
        <w:keepNext/>
        <w:jc w:val="both"/>
        <w:rPr>
          <w:i/>
          <w:iCs/>
          <w:sz w:val="22"/>
          <w:szCs w:val="22"/>
          <w:lang w:val="sr-Latn-RS" w:eastAsia="hr-HR"/>
        </w:rPr>
      </w:pPr>
      <w:r w:rsidRPr="00E51051">
        <w:rPr>
          <w:i/>
          <w:iCs/>
          <w:sz w:val="22"/>
          <w:szCs w:val="22"/>
          <w:lang w:val="sr-Latn-RS" w:eastAsia="hr-HR"/>
        </w:rPr>
        <w:t>Oštećenje funkcije bubrega</w:t>
      </w:r>
    </w:p>
    <w:p w14:paraId="012EE805" w14:textId="3F62B703" w:rsidR="00BB1EA4" w:rsidRPr="00E51051" w:rsidRDefault="0050553C" w:rsidP="00187482">
      <w:pPr>
        <w:jc w:val="both"/>
        <w:rPr>
          <w:bCs/>
          <w:sz w:val="22"/>
          <w:szCs w:val="22"/>
          <w:lang w:val="sr-Latn-RS" w:eastAsia="hr-HR"/>
        </w:rPr>
      </w:pPr>
      <w:r w:rsidRPr="00E51051">
        <w:rPr>
          <w:sz w:val="22"/>
          <w:szCs w:val="22"/>
          <w:lang w:val="sr-Latn-RS" w:eastAsia="hr-HR"/>
        </w:rPr>
        <w:t>Ceftolozan, tazobaktam</w:t>
      </w:r>
      <w:r w:rsidR="00BB1EA4" w:rsidRPr="00E51051">
        <w:rPr>
          <w:sz w:val="22"/>
          <w:szCs w:val="22"/>
          <w:lang w:val="sr-Latn-RS" w:eastAsia="hr-HR"/>
        </w:rPr>
        <w:t xml:space="preserve"> </w:t>
      </w:r>
      <w:r w:rsidR="00BB1EA4" w:rsidRPr="00E51051">
        <w:rPr>
          <w:bCs/>
          <w:sz w:val="22"/>
          <w:szCs w:val="22"/>
          <w:lang w:val="sr-Latn-RS" w:eastAsia="hr-HR"/>
        </w:rPr>
        <w:t>i metabolit tazobaktama M1 se eliminišu putem bubrega.</w:t>
      </w:r>
    </w:p>
    <w:p w14:paraId="7F87BF2F" w14:textId="77777777" w:rsidR="00BB1EA4" w:rsidRPr="00E51051" w:rsidRDefault="00BB1EA4" w:rsidP="00187482">
      <w:pPr>
        <w:jc w:val="both"/>
        <w:rPr>
          <w:sz w:val="22"/>
          <w:szCs w:val="22"/>
          <w:lang w:val="sr-Latn-RS" w:eastAsia="hr-HR"/>
        </w:rPr>
      </w:pPr>
    </w:p>
    <w:p w14:paraId="15BE7732" w14:textId="4CAF4419" w:rsidR="00BB1EA4" w:rsidRPr="00E51051" w:rsidRDefault="00BB1EA4" w:rsidP="00187482">
      <w:pPr>
        <w:jc w:val="both"/>
        <w:rPr>
          <w:sz w:val="22"/>
          <w:szCs w:val="22"/>
          <w:lang w:val="sr-Latn-RS" w:eastAsia="hr-HR"/>
        </w:rPr>
      </w:pPr>
      <w:r w:rsidRPr="00E51051">
        <w:rPr>
          <w:bCs/>
          <w:sz w:val="22"/>
          <w:szCs w:val="22"/>
          <w:lang w:val="sr-Latn-RS" w:eastAsia="hr-HR"/>
        </w:rPr>
        <w:t>Geometrijska srednja vr</w:t>
      </w:r>
      <w:r w:rsidR="00DD0417" w:rsidRPr="00E51051">
        <w:rPr>
          <w:bCs/>
          <w:sz w:val="22"/>
          <w:szCs w:val="22"/>
          <w:lang w:val="sr-Latn-RS" w:eastAsia="hr-HR"/>
        </w:rPr>
        <w:t>ij</w:t>
      </w:r>
      <w:r w:rsidRPr="00E51051">
        <w:rPr>
          <w:bCs/>
          <w:sz w:val="22"/>
          <w:szCs w:val="22"/>
          <w:lang w:val="sr-Latn-RS" w:eastAsia="hr-HR"/>
        </w:rPr>
        <w:t>ednost PIK ceftolozana normalizovana na dozu se povećala do 1,26 puta kod odraslih sa blagim oštećenjem funkcije bubrega, do 2,5 puta kod odraslih sa um</w:t>
      </w:r>
      <w:r w:rsidR="00DD0417" w:rsidRPr="00E51051">
        <w:rPr>
          <w:bCs/>
          <w:sz w:val="22"/>
          <w:szCs w:val="22"/>
          <w:lang w:val="sr-Latn-RS" w:eastAsia="hr-HR"/>
        </w:rPr>
        <w:t>j</w:t>
      </w:r>
      <w:r w:rsidRPr="00E51051">
        <w:rPr>
          <w:bCs/>
          <w:sz w:val="22"/>
          <w:szCs w:val="22"/>
          <w:lang w:val="sr-Latn-RS" w:eastAsia="hr-HR"/>
        </w:rPr>
        <w:t>erenim oštećenjem funkcije bubrega i do 5 puta kod odraslih sa teškim oštećenjem funkcije bubrega u poređenju sa zdravim odraslim osobama sa očuvanom funkcijom bubrega. Geometrijska srednja vr</w:t>
      </w:r>
      <w:r w:rsidR="00DD0417" w:rsidRPr="00E51051">
        <w:rPr>
          <w:bCs/>
          <w:sz w:val="22"/>
          <w:szCs w:val="22"/>
          <w:lang w:val="sr-Latn-RS" w:eastAsia="hr-HR"/>
        </w:rPr>
        <w:t>ij</w:t>
      </w:r>
      <w:r w:rsidRPr="00E51051">
        <w:rPr>
          <w:bCs/>
          <w:sz w:val="22"/>
          <w:szCs w:val="22"/>
          <w:lang w:val="sr-Latn-RS" w:eastAsia="hr-HR"/>
        </w:rPr>
        <w:t>ednost PIK tazobaktama normalizovana na dozu se povećala do približno 1,3 puta, 2 puta, odnosno 4 puta. Da bi se održale sistemske izloženosti slične izloženostima kod osoba sa očuvanom funkcijom bubrega, potrebno je prilagođavanje doze (vid</w:t>
      </w:r>
      <w:r w:rsidR="00DD0417" w:rsidRPr="00E51051">
        <w:rPr>
          <w:bCs/>
          <w:sz w:val="22"/>
          <w:szCs w:val="22"/>
          <w:lang w:val="sr-Latn-RS" w:eastAsia="hr-HR"/>
        </w:rPr>
        <w:t>j</w:t>
      </w:r>
      <w:r w:rsidRPr="00E51051">
        <w:rPr>
          <w:bCs/>
          <w:sz w:val="22"/>
          <w:szCs w:val="22"/>
          <w:lang w:val="sr-Latn-RS" w:eastAsia="hr-HR"/>
        </w:rPr>
        <w:t xml:space="preserve">eti </w:t>
      </w:r>
      <w:r w:rsidR="003E5719" w:rsidRPr="00E51051">
        <w:rPr>
          <w:bCs/>
          <w:sz w:val="22"/>
          <w:szCs w:val="22"/>
          <w:lang w:val="sr-Latn-RS" w:eastAsia="hr-HR"/>
        </w:rPr>
        <w:t>dio </w:t>
      </w:r>
      <w:r w:rsidRPr="00E51051">
        <w:rPr>
          <w:bCs/>
          <w:sz w:val="22"/>
          <w:szCs w:val="22"/>
          <w:lang w:val="sr-Latn-RS" w:eastAsia="hr-HR"/>
        </w:rPr>
        <w:t>4.2)</w:t>
      </w:r>
      <w:r w:rsidRPr="00E51051">
        <w:rPr>
          <w:bCs/>
          <w:i/>
          <w:sz w:val="22"/>
          <w:szCs w:val="22"/>
          <w:lang w:val="sr-Latn-RS" w:eastAsia="hr-HR"/>
        </w:rPr>
        <w:t>.</w:t>
      </w:r>
    </w:p>
    <w:p w14:paraId="46EF879D" w14:textId="77777777" w:rsidR="00BB1EA4" w:rsidRPr="00E51051" w:rsidRDefault="00BB1EA4" w:rsidP="00187482">
      <w:pPr>
        <w:jc w:val="both"/>
        <w:rPr>
          <w:sz w:val="22"/>
          <w:szCs w:val="22"/>
          <w:lang w:val="sr-Latn-RS" w:eastAsia="hr-HR"/>
        </w:rPr>
      </w:pPr>
    </w:p>
    <w:p w14:paraId="6E3272B1" w14:textId="5E1C60D1" w:rsidR="00BB1EA4" w:rsidRPr="00E51051" w:rsidRDefault="00BB1EA4" w:rsidP="00187482">
      <w:pPr>
        <w:jc w:val="both"/>
        <w:rPr>
          <w:bCs/>
          <w:sz w:val="22"/>
          <w:szCs w:val="22"/>
          <w:lang w:val="sr-Latn-RS" w:eastAsia="hr-HR"/>
        </w:rPr>
      </w:pPr>
      <w:r w:rsidRPr="00E51051">
        <w:rPr>
          <w:bCs/>
          <w:sz w:val="22"/>
          <w:szCs w:val="22"/>
          <w:lang w:val="sr-Latn-RS" w:eastAsia="hr-HR"/>
        </w:rPr>
        <w:t xml:space="preserve">Kod odraslih </w:t>
      </w:r>
      <w:r w:rsidR="003B5EE9" w:rsidRPr="00E51051">
        <w:rPr>
          <w:bCs/>
          <w:sz w:val="22"/>
          <w:szCs w:val="22"/>
          <w:lang w:val="sr-Latn-RS" w:eastAsia="hr-HR"/>
        </w:rPr>
        <w:t xml:space="preserve">u terminalnom stadijumu </w:t>
      </w:r>
      <w:r w:rsidRPr="00E51051">
        <w:rPr>
          <w:bCs/>
          <w:sz w:val="22"/>
          <w:szCs w:val="22"/>
          <w:lang w:val="sr-Latn-RS" w:eastAsia="hr-HR"/>
        </w:rPr>
        <w:t>bolesti bubrega koji su na hemodijalizi, približno dv</w:t>
      </w:r>
      <w:r w:rsidR="003E5719" w:rsidRPr="00E51051">
        <w:rPr>
          <w:bCs/>
          <w:sz w:val="22"/>
          <w:szCs w:val="22"/>
          <w:lang w:val="sr-Latn-RS" w:eastAsia="hr-HR"/>
        </w:rPr>
        <w:t>ij</w:t>
      </w:r>
      <w:r w:rsidRPr="00E51051">
        <w:rPr>
          <w:bCs/>
          <w:sz w:val="22"/>
          <w:szCs w:val="22"/>
          <w:lang w:val="sr-Latn-RS" w:eastAsia="hr-HR"/>
        </w:rPr>
        <w:t>e trećine prim</w:t>
      </w:r>
      <w:r w:rsidR="00DD0417" w:rsidRPr="00E51051">
        <w:rPr>
          <w:bCs/>
          <w:sz w:val="22"/>
          <w:szCs w:val="22"/>
          <w:lang w:val="sr-Latn-RS" w:eastAsia="hr-HR"/>
        </w:rPr>
        <w:t>ij</w:t>
      </w:r>
      <w:r w:rsidRPr="00E51051">
        <w:rPr>
          <w:bCs/>
          <w:sz w:val="22"/>
          <w:szCs w:val="22"/>
          <w:lang w:val="sr-Latn-RS" w:eastAsia="hr-HR"/>
        </w:rPr>
        <w:t xml:space="preserve">enjene doze ceftolozana/tazobaktama se ukloni hemodijalizom. Kod odraslih </w:t>
      </w:r>
      <w:r w:rsidR="006C58C0" w:rsidRPr="00E51051">
        <w:rPr>
          <w:bCs/>
          <w:sz w:val="22"/>
          <w:szCs w:val="22"/>
          <w:lang w:val="sr-Latn-RS" w:eastAsia="hr-HR"/>
        </w:rPr>
        <w:t xml:space="preserve">u terminalnom stadijumu </w:t>
      </w:r>
      <w:r w:rsidRPr="00E51051">
        <w:rPr>
          <w:bCs/>
          <w:sz w:val="22"/>
          <w:szCs w:val="22"/>
          <w:lang w:val="sr-Latn-RS" w:eastAsia="hr-HR"/>
        </w:rPr>
        <w:t>bolesti bubrega koji su na hemodijalizi sa komplikovanim intraabdominalnim infekcijama ili, komplikovanim infekcijama urinarnog trakta (uključujući akutni pijelonefritis), preporučena doza je pojedinačna udarna doza od 500 mg/250 mg ceftolozana/tazobaktama nakon koje sl</w:t>
      </w:r>
      <w:r w:rsidR="00DD0417" w:rsidRPr="00E51051">
        <w:rPr>
          <w:bCs/>
          <w:sz w:val="22"/>
          <w:szCs w:val="22"/>
          <w:lang w:val="sr-Latn-RS" w:eastAsia="hr-HR"/>
        </w:rPr>
        <w:t>ij</w:t>
      </w:r>
      <w:r w:rsidRPr="00E51051">
        <w:rPr>
          <w:bCs/>
          <w:sz w:val="22"/>
          <w:szCs w:val="22"/>
          <w:lang w:val="sr-Latn-RS" w:eastAsia="hr-HR"/>
        </w:rPr>
        <w:t>edi prim</w:t>
      </w:r>
      <w:r w:rsidR="00DD0417" w:rsidRPr="00E51051">
        <w:rPr>
          <w:bCs/>
          <w:sz w:val="22"/>
          <w:szCs w:val="22"/>
          <w:lang w:val="sr-Latn-RS" w:eastAsia="hr-HR"/>
        </w:rPr>
        <w:t>j</w:t>
      </w:r>
      <w:r w:rsidRPr="00E51051">
        <w:rPr>
          <w:bCs/>
          <w:sz w:val="22"/>
          <w:szCs w:val="22"/>
          <w:lang w:val="sr-Latn-RS" w:eastAsia="hr-HR"/>
        </w:rPr>
        <w:t xml:space="preserve">ena doze održavanja od 100 mg/50 mg ceftolozana/tazobaktama svakih 8 sati tokom preostalog perioda terapije. Kod odraslih </w:t>
      </w:r>
      <w:r w:rsidR="00FD1F73" w:rsidRPr="00E51051">
        <w:rPr>
          <w:bCs/>
          <w:sz w:val="22"/>
          <w:szCs w:val="22"/>
          <w:lang w:val="sr-Latn-RS" w:eastAsia="hr-HR"/>
        </w:rPr>
        <w:t xml:space="preserve">u terminalnom stadijumu </w:t>
      </w:r>
      <w:r w:rsidRPr="00E51051">
        <w:rPr>
          <w:bCs/>
          <w:sz w:val="22"/>
          <w:szCs w:val="22"/>
          <w:lang w:val="sr-Latn-RS" w:eastAsia="hr-HR"/>
        </w:rPr>
        <w:t>bolesti bubrega koji su na hemodijalizi i bolnički stečenom pneumonijom, uključujući pneumoniju povezanu sa mehaničkom ventilacijom, preporučena doza je jednokratna udarna doza od 1,5 g/0,75 g ceftolozana/tazobaktama nakon koje sl</w:t>
      </w:r>
      <w:r w:rsidR="00DD0417" w:rsidRPr="00E51051">
        <w:rPr>
          <w:bCs/>
          <w:sz w:val="22"/>
          <w:szCs w:val="22"/>
          <w:lang w:val="sr-Latn-RS" w:eastAsia="hr-HR"/>
        </w:rPr>
        <w:t>ij</w:t>
      </w:r>
      <w:r w:rsidRPr="00E51051">
        <w:rPr>
          <w:bCs/>
          <w:sz w:val="22"/>
          <w:szCs w:val="22"/>
          <w:lang w:val="sr-Latn-RS" w:eastAsia="hr-HR"/>
        </w:rPr>
        <w:t>edi prim</w:t>
      </w:r>
      <w:r w:rsidR="00DD0417" w:rsidRPr="00E51051">
        <w:rPr>
          <w:bCs/>
          <w:sz w:val="22"/>
          <w:szCs w:val="22"/>
          <w:lang w:val="sr-Latn-RS" w:eastAsia="hr-HR"/>
        </w:rPr>
        <w:t>j</w:t>
      </w:r>
      <w:r w:rsidRPr="00E51051">
        <w:rPr>
          <w:bCs/>
          <w:sz w:val="22"/>
          <w:szCs w:val="22"/>
          <w:lang w:val="sr-Latn-RS" w:eastAsia="hr-HR"/>
        </w:rPr>
        <w:t>ena doze održavanja od 300 mg/150 mg svakih 8 sati tokom preostalog perioda l</w:t>
      </w:r>
      <w:r w:rsidR="00DD0417" w:rsidRPr="00E51051">
        <w:rPr>
          <w:bCs/>
          <w:sz w:val="22"/>
          <w:szCs w:val="22"/>
          <w:lang w:val="sr-Latn-RS" w:eastAsia="hr-HR"/>
        </w:rPr>
        <w:t>ij</w:t>
      </w:r>
      <w:r w:rsidRPr="00E51051">
        <w:rPr>
          <w:bCs/>
          <w:sz w:val="22"/>
          <w:szCs w:val="22"/>
          <w:lang w:val="sr-Latn-RS" w:eastAsia="hr-HR"/>
        </w:rPr>
        <w:t>ečenja. Kod hemodijalize, dozu treba prim</w:t>
      </w:r>
      <w:r w:rsidR="00DD0417" w:rsidRPr="00E51051">
        <w:rPr>
          <w:bCs/>
          <w:sz w:val="22"/>
          <w:szCs w:val="22"/>
          <w:lang w:val="sr-Latn-RS" w:eastAsia="hr-HR"/>
        </w:rPr>
        <w:t>ij</w:t>
      </w:r>
      <w:r w:rsidRPr="00E51051">
        <w:rPr>
          <w:bCs/>
          <w:sz w:val="22"/>
          <w:szCs w:val="22"/>
          <w:lang w:val="sr-Latn-RS" w:eastAsia="hr-HR"/>
        </w:rPr>
        <w:t>eniti odmah nakon završetka dijalize (vid</w:t>
      </w:r>
      <w:r w:rsidR="00DD0417" w:rsidRPr="00E51051">
        <w:rPr>
          <w:bCs/>
          <w:sz w:val="22"/>
          <w:szCs w:val="22"/>
          <w:lang w:val="sr-Latn-RS" w:eastAsia="hr-HR"/>
        </w:rPr>
        <w:t>j</w:t>
      </w:r>
      <w:r w:rsidRPr="00E51051">
        <w:rPr>
          <w:bCs/>
          <w:sz w:val="22"/>
          <w:szCs w:val="22"/>
          <w:lang w:val="sr-Latn-RS" w:eastAsia="hr-HR"/>
        </w:rPr>
        <w:t xml:space="preserve">eti </w:t>
      </w:r>
      <w:r w:rsidR="003E5719" w:rsidRPr="00E51051">
        <w:rPr>
          <w:bCs/>
          <w:sz w:val="22"/>
          <w:szCs w:val="22"/>
          <w:lang w:val="sr-Latn-RS" w:eastAsia="hr-HR"/>
        </w:rPr>
        <w:t>dio</w:t>
      </w:r>
      <w:r w:rsidR="003E5719" w:rsidRPr="00E51051">
        <w:rPr>
          <w:sz w:val="22"/>
          <w:szCs w:val="22"/>
          <w:lang w:val="sr-Latn-RS" w:eastAsia="hr-HR"/>
        </w:rPr>
        <w:t> </w:t>
      </w:r>
      <w:r w:rsidRPr="00E51051">
        <w:rPr>
          <w:bCs/>
          <w:sz w:val="22"/>
          <w:szCs w:val="22"/>
          <w:lang w:val="sr-Latn-RS" w:eastAsia="hr-HR"/>
        </w:rPr>
        <w:t>4.2)</w:t>
      </w:r>
      <w:r w:rsidRPr="00E51051">
        <w:rPr>
          <w:bCs/>
          <w:i/>
          <w:sz w:val="22"/>
          <w:szCs w:val="22"/>
          <w:lang w:val="sr-Latn-RS" w:eastAsia="hr-HR"/>
        </w:rPr>
        <w:t>.</w:t>
      </w:r>
    </w:p>
    <w:p w14:paraId="2066D648" w14:textId="77777777" w:rsidR="00BB1EA4" w:rsidRPr="00E51051" w:rsidRDefault="00BB1EA4" w:rsidP="00187482">
      <w:pPr>
        <w:jc w:val="both"/>
        <w:rPr>
          <w:sz w:val="22"/>
          <w:szCs w:val="22"/>
          <w:u w:val="single"/>
          <w:lang w:val="sr-Latn-RS" w:eastAsia="hr-HR"/>
        </w:rPr>
      </w:pPr>
    </w:p>
    <w:p w14:paraId="243743E0" w14:textId="77777777" w:rsidR="00BB1EA4" w:rsidRPr="00E51051" w:rsidRDefault="00BB1EA4" w:rsidP="00187482">
      <w:pPr>
        <w:jc w:val="both"/>
        <w:rPr>
          <w:bCs/>
          <w:i/>
          <w:iCs/>
          <w:sz w:val="22"/>
          <w:szCs w:val="22"/>
          <w:lang w:val="sr-Latn-RS" w:eastAsia="hr-HR"/>
        </w:rPr>
      </w:pPr>
      <w:r w:rsidRPr="00E51051">
        <w:rPr>
          <w:bCs/>
          <w:i/>
          <w:iCs/>
          <w:sz w:val="22"/>
          <w:szCs w:val="22"/>
          <w:lang w:val="sr-Latn-RS" w:eastAsia="hr-HR"/>
        </w:rPr>
        <w:t>Pojačan renalni klirens</w:t>
      </w:r>
    </w:p>
    <w:p w14:paraId="7733B94B" w14:textId="46DDFDBD" w:rsidR="00BB1EA4" w:rsidRPr="00E51051" w:rsidRDefault="00BB1EA4" w:rsidP="00187482">
      <w:pPr>
        <w:jc w:val="both"/>
        <w:rPr>
          <w:bCs/>
          <w:sz w:val="22"/>
          <w:szCs w:val="22"/>
          <w:lang w:val="sr-Latn-RS" w:eastAsia="hr-HR"/>
        </w:rPr>
      </w:pPr>
      <w:r w:rsidRPr="00E51051">
        <w:rPr>
          <w:bCs/>
          <w:sz w:val="22"/>
          <w:szCs w:val="22"/>
          <w:lang w:val="sr-Latn-RS" w:eastAsia="hr-HR"/>
        </w:rPr>
        <w:t>Nakon jedne jednosatne intravenske infuzije ceftolozana/tazobaktama u dozi od 2 g/1 g kritično obol</w:t>
      </w:r>
      <w:r w:rsidR="00E73A45" w:rsidRPr="00E51051">
        <w:rPr>
          <w:bCs/>
          <w:sz w:val="22"/>
          <w:szCs w:val="22"/>
          <w:lang w:val="sr-Latn-RS" w:eastAsia="hr-HR"/>
        </w:rPr>
        <w:t>j</w:t>
      </w:r>
      <w:r w:rsidRPr="00E51051">
        <w:rPr>
          <w:bCs/>
          <w:sz w:val="22"/>
          <w:szCs w:val="22"/>
          <w:lang w:val="sr-Latn-RS" w:eastAsia="hr-HR"/>
        </w:rPr>
        <w:t>elim odraslim pacijentima sa CrCl-om od 180</w:t>
      </w:r>
      <w:r w:rsidR="00157168" w:rsidRPr="00E51051">
        <w:rPr>
          <w:bCs/>
          <w:sz w:val="22"/>
          <w:szCs w:val="22"/>
          <w:lang w:val="sr-Latn-RS" w:eastAsia="hr-HR"/>
        </w:rPr>
        <w:t xml:space="preserve"> ml/</w:t>
      </w:r>
      <w:r w:rsidRPr="00E51051">
        <w:rPr>
          <w:bCs/>
          <w:sz w:val="22"/>
          <w:szCs w:val="22"/>
          <w:lang w:val="sr-Latn-RS" w:eastAsia="hr-HR"/>
        </w:rPr>
        <w:t>min (N=10) ili većim, srednja vr</w:t>
      </w:r>
      <w:r w:rsidR="00E73A45" w:rsidRPr="00E51051">
        <w:rPr>
          <w:bCs/>
          <w:sz w:val="22"/>
          <w:szCs w:val="22"/>
          <w:lang w:val="sr-Latn-RS" w:eastAsia="hr-HR"/>
        </w:rPr>
        <w:t>ij</w:t>
      </w:r>
      <w:r w:rsidRPr="00E51051">
        <w:rPr>
          <w:bCs/>
          <w:sz w:val="22"/>
          <w:szCs w:val="22"/>
          <w:lang w:val="sr-Latn-RS" w:eastAsia="hr-HR"/>
        </w:rPr>
        <w:t xml:space="preserve">ednost terminalnog poluvremena </w:t>
      </w:r>
      <w:r w:rsidR="003E5719" w:rsidRPr="00E51051">
        <w:rPr>
          <w:bCs/>
          <w:sz w:val="22"/>
          <w:szCs w:val="22"/>
          <w:lang w:val="sr-Latn-RS" w:eastAsia="hr-HR"/>
        </w:rPr>
        <w:t xml:space="preserve">eliminacije </w:t>
      </w:r>
      <w:r w:rsidRPr="00E51051">
        <w:rPr>
          <w:bCs/>
          <w:sz w:val="22"/>
          <w:szCs w:val="22"/>
          <w:lang w:val="sr-Latn-RS" w:eastAsia="hr-HR"/>
        </w:rPr>
        <w:t>ceftolozana iznosila je 2,6 sati, a tazobaktama 1,5 sat. Koncentracija slobodnog ceftolozana u plazmi bila je veća od 8 mikrograma</w:t>
      </w:r>
      <w:r w:rsidR="00157168" w:rsidRPr="00E51051">
        <w:rPr>
          <w:bCs/>
          <w:sz w:val="22"/>
          <w:szCs w:val="22"/>
          <w:lang w:val="sr-Latn-RS" w:eastAsia="hr-HR"/>
        </w:rPr>
        <w:t>/ml</w:t>
      </w:r>
      <w:r w:rsidRPr="00E51051">
        <w:rPr>
          <w:bCs/>
          <w:sz w:val="22"/>
          <w:szCs w:val="22"/>
          <w:lang w:val="sr-Latn-RS" w:eastAsia="hr-HR"/>
        </w:rPr>
        <w:t xml:space="preserve"> tokom 70% 8-satnog perioda; koncentracija slobodnog tazobaktama bila je veća od 1 mikrogram</w:t>
      </w:r>
      <w:r w:rsidR="00157168" w:rsidRPr="00E51051">
        <w:rPr>
          <w:bCs/>
          <w:sz w:val="22"/>
          <w:szCs w:val="22"/>
          <w:lang w:val="sr-Latn-RS" w:eastAsia="hr-HR"/>
        </w:rPr>
        <w:t>/ml</w:t>
      </w:r>
      <w:r w:rsidRPr="00E51051">
        <w:rPr>
          <w:bCs/>
          <w:sz w:val="22"/>
          <w:szCs w:val="22"/>
          <w:lang w:val="sr-Latn-RS" w:eastAsia="hr-HR"/>
        </w:rPr>
        <w:t xml:space="preserve"> tokom 60% 8-satnog perioda. Ne preporučuje se prilagođavanje doze ceftolozana/tazobaktama kod odraslih sa bolnički stečenom pneumonijom, uključujući pneumoniju povezanu sa mehaničkom ventilacijom i pojačanim renalnim klirensom.</w:t>
      </w:r>
    </w:p>
    <w:p w14:paraId="1658790C" w14:textId="77777777" w:rsidR="00BB1EA4" w:rsidRPr="00E51051" w:rsidRDefault="00BB1EA4" w:rsidP="00187482">
      <w:pPr>
        <w:jc w:val="both"/>
        <w:rPr>
          <w:bCs/>
          <w:sz w:val="22"/>
          <w:szCs w:val="22"/>
          <w:lang w:val="sr-Latn-RS" w:eastAsia="hr-HR"/>
        </w:rPr>
      </w:pPr>
    </w:p>
    <w:p w14:paraId="5B286C24" w14:textId="77777777" w:rsidR="00BB1EA4" w:rsidRPr="00E51051" w:rsidRDefault="00BB1EA4" w:rsidP="00187482">
      <w:pPr>
        <w:keepNext/>
        <w:jc w:val="both"/>
        <w:rPr>
          <w:i/>
          <w:iCs/>
          <w:sz w:val="22"/>
          <w:szCs w:val="22"/>
          <w:lang w:val="sr-Latn-RS" w:eastAsia="hr-HR"/>
        </w:rPr>
      </w:pPr>
      <w:r w:rsidRPr="00E51051">
        <w:rPr>
          <w:i/>
          <w:iCs/>
          <w:sz w:val="22"/>
          <w:szCs w:val="22"/>
          <w:lang w:val="sr-Latn-RS" w:eastAsia="hr-HR"/>
        </w:rPr>
        <w:lastRenderedPageBreak/>
        <w:t>Oštećenje funkcije jetre</w:t>
      </w:r>
    </w:p>
    <w:p w14:paraId="38C9966B" w14:textId="6926C8CA" w:rsidR="00BB1EA4" w:rsidRPr="00E51051" w:rsidRDefault="00BB1EA4" w:rsidP="00187482">
      <w:pPr>
        <w:jc w:val="both"/>
        <w:rPr>
          <w:sz w:val="22"/>
          <w:szCs w:val="22"/>
          <w:lang w:val="sr-Latn-RS" w:eastAsia="hr-HR"/>
        </w:rPr>
      </w:pPr>
      <w:r w:rsidRPr="00E51051">
        <w:rPr>
          <w:bCs/>
          <w:sz w:val="22"/>
          <w:szCs w:val="22"/>
          <w:lang w:val="sr-Latn-RS" w:eastAsia="hr-HR"/>
        </w:rPr>
        <w:t xml:space="preserve">Budući da se </w:t>
      </w:r>
      <w:r w:rsidR="0050553C" w:rsidRPr="00E51051">
        <w:rPr>
          <w:bCs/>
          <w:sz w:val="22"/>
          <w:szCs w:val="22"/>
          <w:lang w:val="sr-Latn-RS" w:eastAsia="hr-HR"/>
        </w:rPr>
        <w:t>ceftolozan, tazobaktam</w:t>
      </w:r>
      <w:r w:rsidRPr="00E51051">
        <w:rPr>
          <w:bCs/>
          <w:sz w:val="22"/>
          <w:szCs w:val="22"/>
          <w:lang w:val="sr-Latn-RS" w:eastAsia="hr-HR"/>
        </w:rPr>
        <w:t xml:space="preserve"> ne metabolišu u jetri, ne očekuje se da će oštećenje funkcije jetre uticati na sistemski klirens ceftolozana/tazobaktama. Ne preporučuje se prilagođavanje doze ceftolozana/tazobaktama kod ispitanika sa oštećenjem funkcije jetre (vid</w:t>
      </w:r>
      <w:r w:rsidR="00E73A45" w:rsidRPr="00E51051">
        <w:rPr>
          <w:bCs/>
          <w:sz w:val="22"/>
          <w:szCs w:val="22"/>
          <w:lang w:val="sr-Latn-RS" w:eastAsia="hr-HR"/>
        </w:rPr>
        <w:t>j</w:t>
      </w:r>
      <w:r w:rsidRPr="00E51051">
        <w:rPr>
          <w:bCs/>
          <w:sz w:val="22"/>
          <w:szCs w:val="22"/>
          <w:lang w:val="sr-Latn-RS" w:eastAsia="hr-HR"/>
        </w:rPr>
        <w:t xml:space="preserve">eti </w:t>
      </w:r>
      <w:r w:rsidR="003E5719" w:rsidRPr="00E51051">
        <w:rPr>
          <w:bCs/>
          <w:sz w:val="22"/>
          <w:szCs w:val="22"/>
          <w:lang w:val="sr-Latn-RS" w:eastAsia="hr-HR"/>
        </w:rPr>
        <w:t>dio </w:t>
      </w:r>
      <w:r w:rsidRPr="00E51051">
        <w:rPr>
          <w:bCs/>
          <w:sz w:val="22"/>
          <w:szCs w:val="22"/>
          <w:lang w:val="sr-Latn-RS" w:eastAsia="hr-HR"/>
        </w:rPr>
        <w:t>4.2).</w:t>
      </w:r>
    </w:p>
    <w:p w14:paraId="289C4B95" w14:textId="77777777" w:rsidR="00BB1EA4" w:rsidRPr="00E51051" w:rsidRDefault="00BB1EA4" w:rsidP="00187482">
      <w:pPr>
        <w:jc w:val="both"/>
        <w:rPr>
          <w:sz w:val="22"/>
          <w:szCs w:val="22"/>
          <w:u w:val="single"/>
          <w:lang w:val="sr-Latn-RS" w:eastAsia="hr-HR"/>
        </w:rPr>
      </w:pPr>
    </w:p>
    <w:p w14:paraId="0F0C5C43" w14:textId="77777777" w:rsidR="00BB1EA4" w:rsidRPr="00E51051" w:rsidRDefault="00BB1EA4" w:rsidP="00187482">
      <w:pPr>
        <w:keepNext/>
        <w:jc w:val="both"/>
        <w:rPr>
          <w:i/>
          <w:iCs/>
          <w:sz w:val="22"/>
          <w:szCs w:val="22"/>
          <w:lang w:val="sr-Latn-RS" w:eastAsia="hr-HR"/>
        </w:rPr>
      </w:pPr>
      <w:r w:rsidRPr="00E51051">
        <w:rPr>
          <w:bCs/>
          <w:i/>
          <w:iCs/>
          <w:sz w:val="22"/>
          <w:szCs w:val="22"/>
          <w:lang w:val="sr-Latn-RS" w:eastAsia="hr-HR"/>
        </w:rPr>
        <w:t>Starije osobe</w:t>
      </w:r>
    </w:p>
    <w:p w14:paraId="683C349A" w14:textId="1D111191" w:rsidR="00BB1EA4" w:rsidRPr="00E51051" w:rsidRDefault="00BB1EA4" w:rsidP="00187482">
      <w:pPr>
        <w:jc w:val="both"/>
        <w:rPr>
          <w:bCs/>
          <w:sz w:val="22"/>
          <w:szCs w:val="22"/>
          <w:lang w:val="sr-Latn-RS" w:eastAsia="hr-HR"/>
        </w:rPr>
      </w:pPr>
      <w:r w:rsidRPr="00E51051">
        <w:rPr>
          <w:bCs/>
          <w:sz w:val="22"/>
          <w:szCs w:val="22"/>
          <w:lang w:val="sr-Latn-RS" w:eastAsia="hr-HR"/>
        </w:rPr>
        <w:t>U analizi populacione farmakokinetike ceftolozana/tazobaktama ni</w:t>
      </w:r>
      <w:r w:rsidR="00E73A45" w:rsidRPr="00E51051">
        <w:rPr>
          <w:bCs/>
          <w:sz w:val="22"/>
          <w:szCs w:val="22"/>
          <w:lang w:val="sr-Latn-RS" w:eastAsia="hr-HR"/>
        </w:rPr>
        <w:t>je</w:t>
      </w:r>
      <w:r w:rsidRPr="00E51051">
        <w:rPr>
          <w:bCs/>
          <w:sz w:val="22"/>
          <w:szCs w:val="22"/>
          <w:lang w:val="sr-Latn-RS" w:eastAsia="hr-HR"/>
        </w:rPr>
        <w:t>su zapažene klinički značajne razlike u izloženosti u odnosu na životno doba. Ne preporučuje se prilagođavanje doze ceftolozana/tazobaktama samo na osnovu žvotnog doba.</w:t>
      </w:r>
    </w:p>
    <w:p w14:paraId="68BAF5F9" w14:textId="77777777" w:rsidR="00BB1EA4" w:rsidRPr="00E51051" w:rsidRDefault="00BB1EA4" w:rsidP="00187482">
      <w:pPr>
        <w:jc w:val="both"/>
        <w:rPr>
          <w:sz w:val="22"/>
          <w:szCs w:val="22"/>
          <w:u w:val="single"/>
          <w:lang w:val="sr-Latn-RS" w:eastAsia="hr-HR"/>
        </w:rPr>
      </w:pPr>
    </w:p>
    <w:p w14:paraId="677B3F3A" w14:textId="77777777" w:rsidR="00BB1EA4" w:rsidRPr="00E51051" w:rsidRDefault="00BB1EA4" w:rsidP="00187482">
      <w:pPr>
        <w:keepNext/>
        <w:jc w:val="both"/>
        <w:rPr>
          <w:i/>
          <w:iCs/>
          <w:sz w:val="22"/>
          <w:szCs w:val="22"/>
          <w:lang w:val="sr-Latn-RS" w:eastAsia="hr-HR"/>
        </w:rPr>
      </w:pPr>
      <w:r w:rsidRPr="00E51051">
        <w:rPr>
          <w:bCs/>
          <w:i/>
          <w:iCs/>
          <w:sz w:val="22"/>
          <w:szCs w:val="22"/>
          <w:lang w:val="sr-Latn-RS" w:eastAsia="hr-HR"/>
        </w:rPr>
        <w:t>Pedijatrijski pacijenti</w:t>
      </w:r>
    </w:p>
    <w:p w14:paraId="7E3571E1" w14:textId="186640B6" w:rsidR="00BB1EA4" w:rsidRPr="00E51051" w:rsidRDefault="00BB1EA4" w:rsidP="00187482">
      <w:pPr>
        <w:jc w:val="both"/>
        <w:rPr>
          <w:sz w:val="22"/>
          <w:szCs w:val="22"/>
          <w:lang w:val="sr-Latn-RS" w:eastAsia="hr-HR"/>
        </w:rPr>
      </w:pPr>
      <w:r w:rsidRPr="00E51051">
        <w:rPr>
          <w:sz w:val="22"/>
          <w:szCs w:val="22"/>
          <w:lang w:val="sr-Latn-RS" w:eastAsia="hr-HR"/>
        </w:rPr>
        <w:t>Za preporuku o dozi za l</w:t>
      </w:r>
      <w:r w:rsidR="003E5719" w:rsidRPr="00E51051">
        <w:rPr>
          <w:sz w:val="22"/>
          <w:szCs w:val="22"/>
          <w:lang w:val="sr-Latn-RS" w:eastAsia="hr-HR"/>
        </w:rPr>
        <w:t>ij</w:t>
      </w:r>
      <w:r w:rsidRPr="00E51051">
        <w:rPr>
          <w:sz w:val="22"/>
          <w:szCs w:val="22"/>
          <w:lang w:val="sr-Latn-RS" w:eastAsia="hr-HR"/>
        </w:rPr>
        <w:t>ek ZERBAXA za pedijatrijske pacijente sa komplikovanim intraabdominalnim infekcijama i komplikovanim infekcijama urinarnog trakta, uključujući pijelonefritis, vid</w:t>
      </w:r>
      <w:r w:rsidR="00E73A45" w:rsidRPr="00E51051">
        <w:rPr>
          <w:sz w:val="22"/>
          <w:szCs w:val="22"/>
          <w:lang w:val="sr-Latn-RS" w:eastAsia="hr-HR"/>
        </w:rPr>
        <w:t>j</w:t>
      </w:r>
      <w:r w:rsidRPr="00E51051">
        <w:rPr>
          <w:sz w:val="22"/>
          <w:szCs w:val="22"/>
          <w:lang w:val="sr-Latn-RS" w:eastAsia="hr-HR"/>
        </w:rPr>
        <w:t xml:space="preserve">eti tabelu 2 u </w:t>
      </w:r>
      <w:r w:rsidR="003E5719" w:rsidRPr="00E51051">
        <w:rPr>
          <w:sz w:val="22"/>
          <w:szCs w:val="22"/>
          <w:lang w:val="sr-Latn-RS" w:eastAsia="hr-HR"/>
        </w:rPr>
        <w:t xml:space="preserve">dijelu </w:t>
      </w:r>
      <w:r w:rsidRPr="00E51051">
        <w:rPr>
          <w:sz w:val="22"/>
          <w:szCs w:val="22"/>
          <w:lang w:val="sr-Latn-RS" w:eastAsia="hr-HR"/>
        </w:rPr>
        <w:t>4.2.</w:t>
      </w:r>
    </w:p>
    <w:p w14:paraId="2B4D4DD4" w14:textId="77777777" w:rsidR="00C979D8" w:rsidRPr="00E51051" w:rsidRDefault="00C979D8" w:rsidP="00187482">
      <w:pPr>
        <w:jc w:val="both"/>
        <w:rPr>
          <w:sz w:val="22"/>
          <w:szCs w:val="22"/>
          <w:lang w:val="sr-Latn-RS" w:eastAsia="hr-HR"/>
        </w:rPr>
      </w:pPr>
    </w:p>
    <w:p w14:paraId="1FF14009" w14:textId="5DEE1CF6" w:rsidR="00101384" w:rsidRPr="00E51051" w:rsidRDefault="00101384" w:rsidP="00187482">
      <w:pPr>
        <w:jc w:val="both"/>
        <w:rPr>
          <w:sz w:val="22"/>
          <w:szCs w:val="22"/>
          <w:lang w:val="sr-Latn-RS" w:eastAsia="hr-HR"/>
        </w:rPr>
      </w:pPr>
      <w:r w:rsidRPr="00E51051">
        <w:rPr>
          <w:sz w:val="22"/>
          <w:szCs w:val="22"/>
          <w:lang w:val="sr-Latn-RS" w:eastAsia="hr-HR"/>
        </w:rPr>
        <w:t xml:space="preserve">Farmakokinetički parametri za ceftolozan i tazobaktam kod pedijatrijskih pacijenata (mlađih od 18 godina starosti) procjenjivani su u jednoj </w:t>
      </w:r>
      <w:bookmarkStart w:id="0" w:name="_Hlk135397109"/>
      <w:r w:rsidRPr="00E51051">
        <w:rPr>
          <w:sz w:val="22"/>
          <w:szCs w:val="22"/>
          <w:lang w:val="sr-Latn-RS" w:eastAsia="hr-HR"/>
        </w:rPr>
        <w:t xml:space="preserve">kliničkoj studiji faze </w:t>
      </w:r>
      <w:bookmarkEnd w:id="0"/>
      <w:r w:rsidRPr="00E51051">
        <w:rPr>
          <w:sz w:val="22"/>
          <w:szCs w:val="22"/>
          <w:lang w:val="sr-Latn-RS" w:eastAsia="hr-HR"/>
        </w:rPr>
        <w:t>1 (kod potvrđene ili kod sumnje na Gram-negativnu infekciju) i dvije kliničke studije faze 2 (kod komplikovanih intraabdominalnih infekcija ili kod komplikovanih infekcija urinarnog trakta, uključujući pijeloneftiris). Podaci iz ove tri studije su objedinjeni i sprovedeno je populaciono farmakokinetičko modelovanje da bi se procijenile individualne vrijednosti PIK i C</w:t>
      </w:r>
      <w:r w:rsidRPr="00E51051">
        <w:rPr>
          <w:sz w:val="22"/>
          <w:szCs w:val="22"/>
          <w:vertAlign w:val="subscript"/>
          <w:lang w:val="sr-Latn-RS" w:eastAsia="hr-HR"/>
        </w:rPr>
        <w:t>max</w:t>
      </w:r>
      <w:r w:rsidRPr="00E51051">
        <w:rPr>
          <w:sz w:val="22"/>
          <w:szCs w:val="22"/>
          <w:lang w:val="sr-Latn-RS" w:eastAsia="hr-HR"/>
        </w:rPr>
        <w:t xml:space="preserve"> u stanju dinamičke ravnoteže kod pedijatrijske populacije, kao i da bi se izvršile simulacije za procjenu vjerovatnoće postizanja farmakokinetičkog/farmakodinamičkog cilja (engl. </w:t>
      </w:r>
      <w:r w:rsidRPr="00E51051">
        <w:rPr>
          <w:i/>
          <w:iCs/>
          <w:sz w:val="22"/>
          <w:szCs w:val="22"/>
          <w:lang w:val="sr-Latn-RS" w:eastAsia="hr-HR"/>
        </w:rPr>
        <w:t xml:space="preserve">probability of target attainment, </w:t>
      </w:r>
      <w:r w:rsidRPr="00E51051">
        <w:rPr>
          <w:sz w:val="22"/>
          <w:szCs w:val="22"/>
          <w:lang w:val="sr-Latn-RS" w:eastAsia="hr-HR"/>
        </w:rPr>
        <w:t>PTA).</w:t>
      </w:r>
    </w:p>
    <w:p w14:paraId="4257CA18" w14:textId="77777777" w:rsidR="00BB1EA4" w:rsidRPr="00E51051" w:rsidRDefault="00BB1EA4" w:rsidP="00187482">
      <w:pPr>
        <w:jc w:val="both"/>
        <w:rPr>
          <w:sz w:val="22"/>
          <w:szCs w:val="22"/>
          <w:lang w:val="sr-Latn-RS" w:eastAsia="hr-HR"/>
        </w:rPr>
      </w:pPr>
    </w:p>
    <w:p w14:paraId="3CF0E3C5" w14:textId="25CD49DB" w:rsidR="00BB1EA4" w:rsidRPr="00E51051" w:rsidRDefault="00BB1EA4" w:rsidP="00187482">
      <w:pPr>
        <w:jc w:val="both"/>
        <w:rPr>
          <w:sz w:val="22"/>
          <w:szCs w:val="22"/>
          <w:lang w:val="sr-Latn-RS" w:eastAsia="hr-HR"/>
        </w:rPr>
      </w:pPr>
      <w:r w:rsidRPr="00E51051">
        <w:rPr>
          <w:sz w:val="22"/>
          <w:szCs w:val="22"/>
          <w:lang w:val="sr-Latn-RS" w:eastAsia="hr-HR"/>
        </w:rPr>
        <w:t xml:space="preserve">Individualno stanje ravnoteže </w:t>
      </w:r>
      <w:r w:rsidR="00C979D8" w:rsidRPr="00E51051">
        <w:rPr>
          <w:sz w:val="22"/>
          <w:szCs w:val="22"/>
          <w:lang w:val="sr-Latn-RS" w:eastAsia="hr-HR"/>
        </w:rPr>
        <w:t>(</w:t>
      </w:r>
      <w:r w:rsidR="00C979D8" w:rsidRPr="00E51051">
        <w:rPr>
          <w:i/>
          <w:iCs/>
          <w:sz w:val="22"/>
          <w:szCs w:val="22"/>
          <w:lang w:val="sr-Latn-RS" w:eastAsia="hr-HR"/>
        </w:rPr>
        <w:t>steady-state</w:t>
      </w:r>
      <w:r w:rsidR="00C979D8" w:rsidRPr="00E51051">
        <w:rPr>
          <w:sz w:val="22"/>
          <w:szCs w:val="22"/>
          <w:lang w:val="sr-Latn-RS" w:eastAsia="hr-HR"/>
        </w:rPr>
        <w:t xml:space="preserve">), </w:t>
      </w:r>
      <w:r w:rsidRPr="00E51051">
        <w:rPr>
          <w:sz w:val="22"/>
          <w:szCs w:val="22"/>
          <w:lang w:val="sr-Latn-RS" w:eastAsia="hr-HR"/>
        </w:rPr>
        <w:t>PIK i C</w:t>
      </w:r>
      <w:r w:rsidRPr="00E51051">
        <w:rPr>
          <w:sz w:val="22"/>
          <w:szCs w:val="22"/>
          <w:vertAlign w:val="subscript"/>
          <w:lang w:val="sr-Latn-RS" w:eastAsia="hr-HR"/>
        </w:rPr>
        <w:t>max</w:t>
      </w:r>
      <w:r w:rsidRPr="00E51051">
        <w:rPr>
          <w:sz w:val="22"/>
          <w:szCs w:val="22"/>
          <w:lang w:val="sr-Latn-RS" w:eastAsia="hr-HR"/>
        </w:rPr>
        <w:t xml:space="preserve"> za ceftolozan i tazobaktam, kod pedijatrijskih pacijenata starosti između 2 i 18 godina sa komplikovanim intraabdominalnim infekcijama ili komplikovanim infekcijama urinarnog trakta bile su slične kao kod odraslih. Postoji ograničeno iskustvo o prim</w:t>
      </w:r>
      <w:r w:rsidR="001B2CBA" w:rsidRPr="00E51051">
        <w:rPr>
          <w:sz w:val="22"/>
          <w:szCs w:val="22"/>
          <w:lang w:val="sr-Latn-RS" w:eastAsia="hr-HR"/>
        </w:rPr>
        <w:t>j</w:t>
      </w:r>
      <w:r w:rsidRPr="00E51051">
        <w:rPr>
          <w:sz w:val="22"/>
          <w:szCs w:val="22"/>
          <w:lang w:val="sr-Latn-RS" w:eastAsia="hr-HR"/>
        </w:rPr>
        <w:t>eni ceftolozana i tazobaktama kod pedijatrijskih pacijenata mlađih od 2 godine. Preporučeni režimi doziranja kod ovih pedijatrijskih pacijenata zasnovani su na simulacijama sprovedenim upotrebom populacionih farmakokinetičkih modela i ne očekuju se klinički relevantne razlike u</w:t>
      </w:r>
      <w:r w:rsidR="00DE17E9" w:rsidRPr="00E51051">
        <w:rPr>
          <w:sz w:val="22"/>
          <w:szCs w:val="22"/>
          <w:lang w:val="sr-Latn-RS" w:eastAsia="hr-HR"/>
        </w:rPr>
        <w:t xml:space="preserve"> vrijednostima</w:t>
      </w:r>
      <w:r w:rsidRPr="00E51051">
        <w:rPr>
          <w:sz w:val="22"/>
          <w:szCs w:val="22"/>
          <w:lang w:val="sr-Latn-RS" w:eastAsia="hr-HR"/>
        </w:rPr>
        <w:t xml:space="preserve"> PIK i C</w:t>
      </w:r>
      <w:r w:rsidRPr="00E51051">
        <w:rPr>
          <w:sz w:val="22"/>
          <w:szCs w:val="22"/>
          <w:vertAlign w:val="subscript"/>
          <w:lang w:val="sr-Latn-RS" w:eastAsia="hr-HR"/>
        </w:rPr>
        <w:t>max</w:t>
      </w:r>
      <w:r w:rsidRPr="00E51051">
        <w:rPr>
          <w:sz w:val="22"/>
          <w:szCs w:val="22"/>
          <w:lang w:val="sr-Latn-RS" w:eastAsia="hr-HR"/>
        </w:rPr>
        <w:t xml:space="preserve"> u stanju dinamičke ravnoteže između pedijatrijskih pacijenata mlađih od 2 godine i starije d</w:t>
      </w:r>
      <w:r w:rsidR="001B2CBA" w:rsidRPr="00E51051">
        <w:rPr>
          <w:sz w:val="22"/>
          <w:szCs w:val="22"/>
          <w:lang w:val="sr-Latn-RS" w:eastAsia="hr-HR"/>
        </w:rPr>
        <w:t>j</w:t>
      </w:r>
      <w:r w:rsidRPr="00E51051">
        <w:rPr>
          <w:sz w:val="22"/>
          <w:szCs w:val="22"/>
          <w:lang w:val="sr-Latn-RS" w:eastAsia="hr-HR"/>
        </w:rPr>
        <w:t>ece i odraslih.</w:t>
      </w:r>
    </w:p>
    <w:p w14:paraId="1064E293" w14:textId="77777777" w:rsidR="003E5719" w:rsidRPr="00E51051" w:rsidRDefault="003E5719" w:rsidP="00187482">
      <w:pPr>
        <w:jc w:val="both"/>
        <w:rPr>
          <w:sz w:val="22"/>
          <w:szCs w:val="22"/>
          <w:lang w:val="sr-Latn-RS" w:eastAsia="hr-HR"/>
        </w:rPr>
      </w:pPr>
    </w:p>
    <w:p w14:paraId="005EC95F" w14:textId="26F84B60" w:rsidR="00BB1EA4" w:rsidRPr="00E51051" w:rsidRDefault="00BB1EA4" w:rsidP="00187482">
      <w:pPr>
        <w:jc w:val="both"/>
        <w:rPr>
          <w:sz w:val="22"/>
          <w:szCs w:val="22"/>
          <w:lang w:val="sr-Latn-RS" w:eastAsia="hr-HR"/>
        </w:rPr>
      </w:pPr>
      <w:r w:rsidRPr="00E51051">
        <w:rPr>
          <w:sz w:val="22"/>
          <w:szCs w:val="22"/>
          <w:lang w:val="sr-Latn-RS" w:eastAsia="hr-HR"/>
        </w:rPr>
        <w:t xml:space="preserve">Nije bilo dovoljno kliničkih farmakokinetičkih podataka kod pedijatrijskih pacijenata sa </w:t>
      </w:r>
      <w:r w:rsidR="00355800" w:rsidRPr="00E51051">
        <w:rPr>
          <w:sz w:val="22"/>
          <w:szCs w:val="22"/>
          <w:lang w:val="sr-Latn-RS" w:eastAsia="hr-HR"/>
        </w:rPr>
        <w:t>e</w:t>
      </w:r>
      <w:r w:rsidRPr="00E51051">
        <w:rPr>
          <w:sz w:val="22"/>
          <w:szCs w:val="22"/>
          <w:lang w:val="sr-Latn-RS" w:eastAsia="hr-HR"/>
        </w:rPr>
        <w:t>GFR ≤ 50</w:t>
      </w:r>
      <w:r w:rsidR="007362E1" w:rsidRPr="00E51051">
        <w:rPr>
          <w:sz w:val="22"/>
          <w:szCs w:val="22"/>
          <w:lang w:val="sr-Latn-RS" w:eastAsia="hr-HR"/>
        </w:rPr>
        <w:t xml:space="preserve"> </w:t>
      </w:r>
      <w:r w:rsidR="00157168" w:rsidRPr="00E51051">
        <w:rPr>
          <w:sz w:val="22"/>
          <w:szCs w:val="22"/>
          <w:lang w:val="sr-Latn-RS" w:eastAsia="hr-HR"/>
        </w:rPr>
        <w:t>ml/</w:t>
      </w:r>
      <w:r w:rsidRPr="00E51051">
        <w:rPr>
          <w:sz w:val="22"/>
          <w:szCs w:val="22"/>
          <w:lang w:val="sr-Latn-RS" w:eastAsia="hr-HR"/>
        </w:rPr>
        <w:t>min/1,73 m</w:t>
      </w:r>
      <w:r w:rsidRPr="00E51051">
        <w:rPr>
          <w:sz w:val="22"/>
          <w:szCs w:val="22"/>
          <w:vertAlign w:val="superscript"/>
          <w:lang w:val="sr-Latn-RS" w:eastAsia="hr-HR"/>
        </w:rPr>
        <w:t>2</w:t>
      </w:r>
      <w:r w:rsidRPr="00E51051">
        <w:rPr>
          <w:sz w:val="22"/>
          <w:szCs w:val="22"/>
          <w:lang w:val="sr-Latn-RS" w:eastAsia="hr-HR"/>
        </w:rPr>
        <w:t xml:space="preserve"> sa komplikovanim intraabdominalnim infekcijama ili komplikovanim infekcijama urinarnog trakta da bi se preporučio režim doziranja za pedijatrijske pacijente sa </w:t>
      </w:r>
      <w:r w:rsidR="00355800" w:rsidRPr="00E51051">
        <w:rPr>
          <w:sz w:val="22"/>
          <w:szCs w:val="22"/>
          <w:lang w:val="sr-Latn-RS" w:eastAsia="hr-HR"/>
        </w:rPr>
        <w:t>e</w:t>
      </w:r>
      <w:r w:rsidRPr="00E51051">
        <w:rPr>
          <w:sz w:val="22"/>
          <w:szCs w:val="22"/>
          <w:lang w:val="sr-Latn-RS" w:eastAsia="hr-HR"/>
        </w:rPr>
        <w:t xml:space="preserve">GFR ≤ </w:t>
      </w:r>
      <w:r w:rsidR="007362E1" w:rsidRPr="00E51051">
        <w:rPr>
          <w:sz w:val="22"/>
          <w:szCs w:val="22"/>
          <w:lang w:val="sr-Latn-RS" w:eastAsia="hr-HR"/>
        </w:rPr>
        <w:t xml:space="preserve">50 </w:t>
      </w:r>
      <w:r w:rsidR="00157168" w:rsidRPr="00E51051">
        <w:rPr>
          <w:sz w:val="22"/>
          <w:szCs w:val="22"/>
          <w:lang w:val="sr-Latn-RS" w:eastAsia="hr-HR"/>
        </w:rPr>
        <w:t>ml/</w:t>
      </w:r>
      <w:r w:rsidRPr="00E51051">
        <w:rPr>
          <w:sz w:val="22"/>
          <w:szCs w:val="22"/>
          <w:lang w:val="sr-Latn-RS" w:eastAsia="hr-HR"/>
        </w:rPr>
        <w:t>min/1.73 m</w:t>
      </w:r>
      <w:r w:rsidRPr="00E51051">
        <w:rPr>
          <w:sz w:val="22"/>
          <w:szCs w:val="22"/>
          <w:vertAlign w:val="superscript"/>
          <w:lang w:val="sr-Latn-RS" w:eastAsia="hr-HR"/>
        </w:rPr>
        <w:t>2</w:t>
      </w:r>
      <w:r w:rsidRPr="00E51051">
        <w:rPr>
          <w:sz w:val="22"/>
          <w:szCs w:val="22"/>
          <w:lang w:val="sr-Latn-RS" w:eastAsia="hr-HR"/>
        </w:rPr>
        <w:t>.</w:t>
      </w:r>
    </w:p>
    <w:p w14:paraId="4F5FFBF5" w14:textId="77777777" w:rsidR="00BB1EA4" w:rsidRPr="00E51051" w:rsidRDefault="00BB1EA4" w:rsidP="00187482">
      <w:pPr>
        <w:jc w:val="both"/>
        <w:rPr>
          <w:sz w:val="22"/>
          <w:szCs w:val="22"/>
          <w:u w:val="single"/>
          <w:lang w:val="sr-Latn-RS" w:eastAsia="hr-HR"/>
        </w:rPr>
      </w:pPr>
    </w:p>
    <w:p w14:paraId="3051B38F" w14:textId="77777777" w:rsidR="00BB1EA4" w:rsidRPr="00E51051" w:rsidRDefault="00BB1EA4" w:rsidP="00187482">
      <w:pPr>
        <w:keepNext/>
        <w:jc w:val="both"/>
        <w:rPr>
          <w:i/>
          <w:iCs/>
          <w:sz w:val="22"/>
          <w:szCs w:val="22"/>
          <w:lang w:val="sr-Latn-RS" w:eastAsia="hr-HR"/>
        </w:rPr>
      </w:pPr>
      <w:r w:rsidRPr="00E51051">
        <w:rPr>
          <w:i/>
          <w:iCs/>
          <w:sz w:val="22"/>
          <w:szCs w:val="22"/>
          <w:lang w:val="sr-Latn-RS" w:eastAsia="hr-HR"/>
        </w:rPr>
        <w:t xml:space="preserve">Pol </w:t>
      </w:r>
    </w:p>
    <w:p w14:paraId="496236BC" w14:textId="09003258" w:rsidR="00BB1EA4" w:rsidRPr="00E51051" w:rsidRDefault="00BB1EA4" w:rsidP="00187482">
      <w:pPr>
        <w:jc w:val="both"/>
        <w:rPr>
          <w:sz w:val="22"/>
          <w:szCs w:val="22"/>
          <w:lang w:val="sr-Latn-RS" w:eastAsia="hr-HR"/>
        </w:rPr>
      </w:pPr>
      <w:r w:rsidRPr="00E51051">
        <w:rPr>
          <w:bCs/>
          <w:sz w:val="22"/>
          <w:szCs w:val="22"/>
          <w:lang w:val="sr-Latn-RS" w:eastAsia="hr-HR"/>
        </w:rPr>
        <w:t>U analizi populacione farmakokinetike ceftolozana/tazobaktama ni</w:t>
      </w:r>
      <w:r w:rsidR="001B2CBA" w:rsidRPr="00E51051">
        <w:rPr>
          <w:bCs/>
          <w:sz w:val="22"/>
          <w:szCs w:val="22"/>
          <w:lang w:val="sr-Latn-RS" w:eastAsia="hr-HR"/>
        </w:rPr>
        <w:t>je</w:t>
      </w:r>
      <w:r w:rsidRPr="00E51051">
        <w:rPr>
          <w:bCs/>
          <w:sz w:val="22"/>
          <w:szCs w:val="22"/>
          <w:lang w:val="sr-Latn-RS" w:eastAsia="hr-HR"/>
        </w:rPr>
        <w:t>su zapažene klinički značajne razlike u vr</w:t>
      </w:r>
      <w:r w:rsidR="001B2CBA" w:rsidRPr="00E51051">
        <w:rPr>
          <w:bCs/>
          <w:sz w:val="22"/>
          <w:szCs w:val="22"/>
          <w:lang w:val="sr-Latn-RS" w:eastAsia="hr-HR"/>
        </w:rPr>
        <w:t>ij</w:t>
      </w:r>
      <w:r w:rsidRPr="00E51051">
        <w:rPr>
          <w:bCs/>
          <w:sz w:val="22"/>
          <w:szCs w:val="22"/>
          <w:lang w:val="sr-Latn-RS" w:eastAsia="hr-HR"/>
        </w:rPr>
        <w:t>ednostima PIK ceftolozana i tazobaktama. Ne preporučuje se prilagođavanje doze na osnovu pola.</w:t>
      </w:r>
    </w:p>
    <w:p w14:paraId="57DAB691" w14:textId="77777777" w:rsidR="00BB1EA4" w:rsidRPr="00E51051" w:rsidRDefault="00BB1EA4" w:rsidP="00187482">
      <w:pPr>
        <w:jc w:val="both"/>
        <w:rPr>
          <w:sz w:val="22"/>
          <w:szCs w:val="22"/>
          <w:u w:val="single"/>
          <w:lang w:val="sr-Latn-RS" w:eastAsia="hr-HR"/>
        </w:rPr>
      </w:pPr>
    </w:p>
    <w:p w14:paraId="7C9AC492" w14:textId="77777777" w:rsidR="00BB1EA4" w:rsidRPr="00E51051" w:rsidRDefault="00BB1EA4" w:rsidP="00187482">
      <w:pPr>
        <w:keepNext/>
        <w:jc w:val="both"/>
        <w:rPr>
          <w:i/>
          <w:iCs/>
          <w:sz w:val="22"/>
          <w:szCs w:val="22"/>
          <w:lang w:val="sr-Latn-RS" w:eastAsia="hr-HR"/>
        </w:rPr>
      </w:pPr>
      <w:r w:rsidRPr="00E51051">
        <w:rPr>
          <w:i/>
          <w:iCs/>
          <w:sz w:val="22"/>
          <w:szCs w:val="22"/>
          <w:lang w:val="sr-Latn-RS" w:eastAsia="hr-HR"/>
        </w:rPr>
        <w:t>Etnička pripadnost</w:t>
      </w:r>
    </w:p>
    <w:p w14:paraId="58740475" w14:textId="7FCB5A14" w:rsidR="00BB1EA4" w:rsidRPr="00E51051" w:rsidRDefault="00BB1EA4" w:rsidP="00187482">
      <w:pPr>
        <w:jc w:val="both"/>
        <w:rPr>
          <w:bCs/>
          <w:sz w:val="22"/>
          <w:szCs w:val="22"/>
          <w:lang w:val="sr-Latn-RS" w:eastAsia="hr-HR"/>
        </w:rPr>
      </w:pPr>
      <w:r w:rsidRPr="00E51051">
        <w:rPr>
          <w:bCs/>
          <w:sz w:val="22"/>
          <w:szCs w:val="22"/>
          <w:lang w:val="sr-Latn-RS" w:eastAsia="hr-HR"/>
        </w:rPr>
        <w:t>U analizi populacione farmakokinetike ceftolozana/tazobaktama ni</w:t>
      </w:r>
      <w:r w:rsidR="001B2CBA" w:rsidRPr="00E51051">
        <w:rPr>
          <w:bCs/>
          <w:sz w:val="22"/>
          <w:szCs w:val="22"/>
          <w:lang w:val="sr-Latn-RS" w:eastAsia="hr-HR"/>
        </w:rPr>
        <w:t>je</w:t>
      </w:r>
      <w:r w:rsidRPr="00E51051">
        <w:rPr>
          <w:bCs/>
          <w:sz w:val="22"/>
          <w:szCs w:val="22"/>
          <w:lang w:val="sr-Latn-RS" w:eastAsia="hr-HR"/>
        </w:rPr>
        <w:t>su zapažene klinički značajne razlike u vr</w:t>
      </w:r>
      <w:r w:rsidR="001B2CBA" w:rsidRPr="00E51051">
        <w:rPr>
          <w:bCs/>
          <w:sz w:val="22"/>
          <w:szCs w:val="22"/>
          <w:lang w:val="sr-Latn-RS" w:eastAsia="hr-HR"/>
        </w:rPr>
        <w:t>ij</w:t>
      </w:r>
      <w:r w:rsidRPr="00E51051">
        <w:rPr>
          <w:bCs/>
          <w:sz w:val="22"/>
          <w:szCs w:val="22"/>
          <w:lang w:val="sr-Latn-RS" w:eastAsia="hr-HR"/>
        </w:rPr>
        <w:t>ednostima PIK ceftolozana/tazobaktama između pripadnika b</w:t>
      </w:r>
      <w:r w:rsidR="001B2CBA" w:rsidRPr="00E51051">
        <w:rPr>
          <w:bCs/>
          <w:sz w:val="22"/>
          <w:szCs w:val="22"/>
          <w:lang w:val="sr-Latn-RS" w:eastAsia="hr-HR"/>
        </w:rPr>
        <w:t>ij</w:t>
      </w:r>
      <w:r w:rsidRPr="00E51051">
        <w:rPr>
          <w:bCs/>
          <w:sz w:val="22"/>
          <w:szCs w:val="22"/>
          <w:lang w:val="sr-Latn-RS" w:eastAsia="hr-HR"/>
        </w:rPr>
        <w:t>ele rase i svih drugih etničkih zajednica. Ne preporučuje se prilagođavanje doze na osnovu rase.</w:t>
      </w:r>
    </w:p>
    <w:p w14:paraId="066694E9" w14:textId="77777777" w:rsidR="0072020E" w:rsidRPr="00E51051" w:rsidRDefault="0072020E" w:rsidP="00187482">
      <w:pPr>
        <w:tabs>
          <w:tab w:val="left" w:pos="540"/>
          <w:tab w:val="left" w:pos="569"/>
        </w:tabs>
        <w:jc w:val="both"/>
        <w:rPr>
          <w:bCs/>
          <w:sz w:val="22"/>
          <w:szCs w:val="22"/>
          <w:lang w:val="sr-Latn-RS"/>
        </w:rPr>
      </w:pPr>
    </w:p>
    <w:p w14:paraId="286B6B6A" w14:textId="77777777" w:rsidR="0072020E" w:rsidRPr="00E51051" w:rsidRDefault="0072020E" w:rsidP="00187482">
      <w:pPr>
        <w:tabs>
          <w:tab w:val="left" w:pos="540"/>
          <w:tab w:val="left" w:pos="569"/>
        </w:tabs>
        <w:jc w:val="both"/>
        <w:rPr>
          <w:b/>
          <w:bCs/>
          <w:sz w:val="22"/>
          <w:szCs w:val="22"/>
          <w:lang w:val="sr-Latn-RS"/>
        </w:rPr>
      </w:pPr>
      <w:r w:rsidRPr="00E51051">
        <w:rPr>
          <w:b/>
          <w:bCs/>
          <w:sz w:val="22"/>
          <w:szCs w:val="22"/>
          <w:lang w:val="sr-Latn-RS"/>
        </w:rPr>
        <w:t xml:space="preserve">5.3. </w:t>
      </w:r>
      <w:r w:rsidR="00480FB1" w:rsidRPr="00E51051">
        <w:rPr>
          <w:b/>
          <w:bCs/>
          <w:sz w:val="22"/>
          <w:szCs w:val="22"/>
          <w:lang w:val="sr-Latn-RS"/>
        </w:rPr>
        <w:tab/>
      </w:r>
      <w:r w:rsidRPr="00E51051">
        <w:rPr>
          <w:b/>
          <w:bCs/>
          <w:sz w:val="22"/>
          <w:szCs w:val="22"/>
          <w:lang w:val="sr-Latn-RS"/>
        </w:rPr>
        <w:t xml:space="preserve">Pretklinički podaci o bezbjednosti </w:t>
      </w:r>
    </w:p>
    <w:p w14:paraId="73C47FB2" w14:textId="77777777" w:rsidR="00BB1EA4" w:rsidRPr="00E51051" w:rsidRDefault="00BB1EA4" w:rsidP="00187482">
      <w:pPr>
        <w:jc w:val="both"/>
        <w:rPr>
          <w:b/>
          <w:bCs/>
          <w:sz w:val="22"/>
          <w:szCs w:val="22"/>
          <w:lang w:val="sr-Latn-RS"/>
        </w:rPr>
      </w:pPr>
    </w:p>
    <w:p w14:paraId="5463D52F" w14:textId="4F9711D4" w:rsidR="00BB1EA4" w:rsidRPr="00E51051" w:rsidRDefault="00BB1EA4" w:rsidP="00187482">
      <w:pPr>
        <w:tabs>
          <w:tab w:val="left" w:pos="567"/>
        </w:tabs>
        <w:jc w:val="both"/>
        <w:rPr>
          <w:sz w:val="22"/>
          <w:szCs w:val="22"/>
          <w:lang w:val="sr-Latn-RS"/>
        </w:rPr>
      </w:pPr>
      <w:r w:rsidRPr="00E51051">
        <w:rPr>
          <w:sz w:val="22"/>
          <w:szCs w:val="22"/>
          <w:lang w:val="sr-Latn-RS"/>
        </w:rPr>
        <w:t>Pretklinički podaci ne ukazuju na poseban rizik za ljude na osnovu konvencionalnih ispitivanja bezb</w:t>
      </w:r>
      <w:r w:rsidR="001B2CBA" w:rsidRPr="00E51051">
        <w:rPr>
          <w:sz w:val="22"/>
          <w:szCs w:val="22"/>
          <w:lang w:val="sr-Latn-RS"/>
        </w:rPr>
        <w:t>j</w:t>
      </w:r>
      <w:r w:rsidRPr="00E51051">
        <w:rPr>
          <w:sz w:val="22"/>
          <w:szCs w:val="22"/>
          <w:lang w:val="sr-Latn-RS"/>
        </w:rPr>
        <w:t xml:space="preserve">ednosne farmakologije, toksičnosti ponovljenih doza kod odraslih i </w:t>
      </w:r>
      <w:r w:rsidR="00F55464" w:rsidRPr="00E51051">
        <w:rPr>
          <w:sz w:val="22"/>
          <w:szCs w:val="22"/>
          <w:lang w:val="sr-Latn-RS"/>
        </w:rPr>
        <w:t xml:space="preserve">juvenilnih </w:t>
      </w:r>
      <w:r w:rsidRPr="00E51051">
        <w:rPr>
          <w:sz w:val="22"/>
          <w:szCs w:val="22"/>
          <w:lang w:val="sr-Latn-RS"/>
        </w:rPr>
        <w:t>životinja, ili genotoksičnosti. Ni</w:t>
      </w:r>
      <w:r w:rsidR="001B2CBA" w:rsidRPr="00E51051">
        <w:rPr>
          <w:sz w:val="22"/>
          <w:szCs w:val="22"/>
          <w:lang w:val="sr-Latn-RS"/>
        </w:rPr>
        <w:t>je</w:t>
      </w:r>
      <w:r w:rsidRPr="00E51051">
        <w:rPr>
          <w:sz w:val="22"/>
          <w:szCs w:val="22"/>
          <w:lang w:val="sr-Latn-RS"/>
        </w:rPr>
        <w:t xml:space="preserve">su sprovedena ispitivanja karcinogenosti </w:t>
      </w:r>
      <w:r w:rsidRPr="00E51051">
        <w:rPr>
          <w:bCs/>
          <w:sz w:val="22"/>
          <w:szCs w:val="22"/>
          <w:lang w:val="sr-Latn-RS"/>
        </w:rPr>
        <w:t>ceftolozana/tazobaktama.</w:t>
      </w:r>
    </w:p>
    <w:p w14:paraId="14F6604A" w14:textId="77777777" w:rsidR="00BB1EA4" w:rsidRPr="00E51051" w:rsidRDefault="00BB1EA4" w:rsidP="00187482">
      <w:pPr>
        <w:tabs>
          <w:tab w:val="left" w:pos="567"/>
        </w:tabs>
        <w:jc w:val="both"/>
        <w:rPr>
          <w:b/>
          <w:bCs/>
          <w:color w:val="000000"/>
          <w:sz w:val="22"/>
          <w:szCs w:val="22"/>
          <w:lang w:val="sr-Latn-RS"/>
        </w:rPr>
      </w:pPr>
    </w:p>
    <w:p w14:paraId="4AD8C628" w14:textId="3C9302C5" w:rsidR="00BB1EA4" w:rsidRPr="00E51051" w:rsidRDefault="00BB1EA4" w:rsidP="00187482">
      <w:pPr>
        <w:jc w:val="both"/>
        <w:rPr>
          <w:sz w:val="22"/>
          <w:szCs w:val="22"/>
          <w:lang w:val="sr-Latn-RS"/>
        </w:rPr>
      </w:pPr>
      <w:r w:rsidRPr="00E51051">
        <w:rPr>
          <w:sz w:val="22"/>
          <w:szCs w:val="22"/>
          <w:lang w:val="sr-Latn-RS"/>
        </w:rPr>
        <w:t>U pretkliničkim ispitivanjima su zapažena dejstva samo pri izloženostima koje su bile znatno veće od maksimalnih izloženosti kod ljudi, što ukazuje na njihov mali značaj za kliničku prim</w:t>
      </w:r>
      <w:r w:rsidR="001B2CBA" w:rsidRPr="00E51051">
        <w:rPr>
          <w:sz w:val="22"/>
          <w:szCs w:val="22"/>
          <w:lang w:val="sr-Latn-RS"/>
        </w:rPr>
        <w:t>j</w:t>
      </w:r>
      <w:r w:rsidRPr="00E51051">
        <w:rPr>
          <w:sz w:val="22"/>
          <w:szCs w:val="22"/>
          <w:lang w:val="sr-Latn-RS"/>
        </w:rPr>
        <w:t>enu.</w:t>
      </w:r>
    </w:p>
    <w:p w14:paraId="7936CD1C" w14:textId="77777777" w:rsidR="00BB1EA4" w:rsidRPr="00E51051" w:rsidRDefault="00BB1EA4" w:rsidP="00187482">
      <w:pPr>
        <w:tabs>
          <w:tab w:val="left" w:pos="567"/>
        </w:tabs>
        <w:jc w:val="both"/>
        <w:rPr>
          <w:bCs/>
          <w:sz w:val="22"/>
          <w:szCs w:val="22"/>
          <w:lang w:val="sr-Latn-RS"/>
        </w:rPr>
      </w:pPr>
    </w:p>
    <w:p w14:paraId="4667B08B" w14:textId="26B92E12" w:rsidR="00BB1EA4" w:rsidRPr="00E51051" w:rsidRDefault="00BB1EA4" w:rsidP="00187482">
      <w:pPr>
        <w:tabs>
          <w:tab w:val="left" w:pos="567"/>
        </w:tabs>
        <w:jc w:val="both"/>
        <w:rPr>
          <w:bCs/>
          <w:sz w:val="22"/>
          <w:szCs w:val="22"/>
          <w:lang w:val="sr-Latn-RS"/>
        </w:rPr>
      </w:pPr>
      <w:r w:rsidRPr="00E51051">
        <w:rPr>
          <w:sz w:val="22"/>
          <w:szCs w:val="22"/>
          <w:lang w:val="sr-Latn-RS"/>
        </w:rPr>
        <w:lastRenderedPageBreak/>
        <w:t>Neželjene reakcije koje ni</w:t>
      </w:r>
      <w:r w:rsidR="001B2CBA" w:rsidRPr="00E51051">
        <w:rPr>
          <w:sz w:val="22"/>
          <w:szCs w:val="22"/>
          <w:lang w:val="sr-Latn-RS"/>
        </w:rPr>
        <w:t>je</w:t>
      </w:r>
      <w:r w:rsidRPr="00E51051">
        <w:rPr>
          <w:sz w:val="22"/>
          <w:szCs w:val="22"/>
          <w:lang w:val="sr-Latn-RS"/>
        </w:rPr>
        <w:t>su zab</w:t>
      </w:r>
      <w:r w:rsidR="001B2CBA" w:rsidRPr="00E51051">
        <w:rPr>
          <w:sz w:val="22"/>
          <w:szCs w:val="22"/>
          <w:lang w:val="sr-Latn-RS"/>
        </w:rPr>
        <w:t>i</w:t>
      </w:r>
      <w:r w:rsidRPr="00E51051">
        <w:rPr>
          <w:sz w:val="22"/>
          <w:szCs w:val="22"/>
          <w:lang w:val="sr-Latn-RS"/>
        </w:rPr>
        <w:t>l</w:t>
      </w:r>
      <w:r w:rsidR="001B2CBA" w:rsidRPr="00E51051">
        <w:rPr>
          <w:sz w:val="22"/>
          <w:szCs w:val="22"/>
          <w:lang w:val="sr-Latn-RS"/>
        </w:rPr>
        <w:t>j</w:t>
      </w:r>
      <w:r w:rsidRPr="00E51051">
        <w:rPr>
          <w:sz w:val="22"/>
          <w:szCs w:val="22"/>
          <w:lang w:val="sr-Latn-RS"/>
        </w:rPr>
        <w:t>ežene u kliničkim ispitivanjima, ali su zapažene kod životinja pri stepenu izloženosti sličnom stepenu izloženosti kod ljudi i sa mogućom važnošću za kliničku prim</w:t>
      </w:r>
      <w:r w:rsidR="001B2CBA" w:rsidRPr="00E51051">
        <w:rPr>
          <w:sz w:val="22"/>
          <w:szCs w:val="22"/>
          <w:lang w:val="sr-Latn-RS"/>
        </w:rPr>
        <w:t>j</w:t>
      </w:r>
      <w:r w:rsidRPr="00E51051">
        <w:rPr>
          <w:sz w:val="22"/>
          <w:szCs w:val="22"/>
          <w:lang w:val="sr-Latn-RS"/>
        </w:rPr>
        <w:t>enu, bile su sl</w:t>
      </w:r>
      <w:r w:rsidR="001B2CBA" w:rsidRPr="00E51051">
        <w:rPr>
          <w:sz w:val="22"/>
          <w:szCs w:val="22"/>
          <w:lang w:val="sr-Latn-RS"/>
        </w:rPr>
        <w:t>j</w:t>
      </w:r>
      <w:r w:rsidRPr="00E51051">
        <w:rPr>
          <w:sz w:val="22"/>
          <w:szCs w:val="22"/>
          <w:lang w:val="sr-Latn-RS"/>
        </w:rPr>
        <w:t xml:space="preserve">edeće: </w:t>
      </w:r>
      <w:r w:rsidRPr="00E51051">
        <w:rPr>
          <w:bCs/>
          <w:sz w:val="22"/>
          <w:szCs w:val="22"/>
          <w:lang w:val="sr-Latn-RS"/>
        </w:rPr>
        <w:t>ceftolozan prim</w:t>
      </w:r>
      <w:r w:rsidR="001B2CBA" w:rsidRPr="00E51051">
        <w:rPr>
          <w:bCs/>
          <w:sz w:val="22"/>
          <w:szCs w:val="22"/>
          <w:lang w:val="sr-Latn-RS"/>
        </w:rPr>
        <w:t>ij</w:t>
      </w:r>
      <w:r w:rsidRPr="00E51051">
        <w:rPr>
          <w:bCs/>
          <w:sz w:val="22"/>
          <w:szCs w:val="22"/>
          <w:lang w:val="sr-Latn-RS"/>
        </w:rPr>
        <w:t>enjen kod ženki pacova tokom graviditeta i dojenja je bio povezan sa smanjenom reakcijom na zvučne nadražaje 60. postnatalnog dana kod muške mladunčadi kada su njihove majke primale doze od 300 i 1,000 mg/kg/dan. Kod pacova je doza od 300 mg/kg/dan bila povezana sa vr</w:t>
      </w:r>
      <w:r w:rsidR="001B2CBA" w:rsidRPr="00E51051">
        <w:rPr>
          <w:bCs/>
          <w:sz w:val="22"/>
          <w:szCs w:val="22"/>
          <w:lang w:val="sr-Latn-RS"/>
        </w:rPr>
        <w:t>ij</w:t>
      </w:r>
      <w:r w:rsidRPr="00E51051">
        <w:rPr>
          <w:bCs/>
          <w:sz w:val="22"/>
          <w:szCs w:val="22"/>
          <w:lang w:val="sr-Latn-RS"/>
        </w:rPr>
        <w:t>ednošću izloženosti ceftolozanu u plazmi (PIK) koja je bila manja od vr</w:t>
      </w:r>
      <w:r w:rsidR="001B2CBA" w:rsidRPr="00E51051">
        <w:rPr>
          <w:bCs/>
          <w:sz w:val="22"/>
          <w:szCs w:val="22"/>
          <w:lang w:val="sr-Latn-RS"/>
        </w:rPr>
        <w:t>ij</w:t>
      </w:r>
      <w:r w:rsidRPr="00E51051">
        <w:rPr>
          <w:bCs/>
          <w:sz w:val="22"/>
          <w:szCs w:val="22"/>
          <w:lang w:val="sr-Latn-RS"/>
        </w:rPr>
        <w:t>ednosti PIK ceftolozana u plazmi kod najviših preporučenih terapijskih doza od 2 grama svakih 8 sati.</w:t>
      </w:r>
    </w:p>
    <w:p w14:paraId="12ECAAA0" w14:textId="77777777" w:rsidR="00BB1EA4" w:rsidRPr="00E51051" w:rsidRDefault="00BB1EA4" w:rsidP="00187482">
      <w:pPr>
        <w:tabs>
          <w:tab w:val="left" w:pos="567"/>
        </w:tabs>
        <w:jc w:val="both"/>
        <w:rPr>
          <w:bCs/>
          <w:sz w:val="22"/>
          <w:szCs w:val="22"/>
          <w:lang w:val="sr-Latn-RS"/>
        </w:rPr>
      </w:pPr>
    </w:p>
    <w:p w14:paraId="1C5A85B5" w14:textId="6E31AE75" w:rsidR="00BB1EA4" w:rsidRPr="00E51051" w:rsidRDefault="00BB1EA4" w:rsidP="00187482">
      <w:pPr>
        <w:jc w:val="both"/>
        <w:rPr>
          <w:sz w:val="22"/>
          <w:szCs w:val="22"/>
          <w:lang w:val="sr-Latn-RS"/>
        </w:rPr>
      </w:pPr>
      <w:r w:rsidRPr="00E51051">
        <w:rPr>
          <w:bCs/>
          <w:sz w:val="22"/>
          <w:szCs w:val="22"/>
          <w:lang w:val="sr-Latn-RS"/>
        </w:rPr>
        <w:t>Kod pacova je perinatalni/postnatalni razvoj bio narušen (smanjena t</w:t>
      </w:r>
      <w:r w:rsidR="001B2CBA" w:rsidRPr="00E51051">
        <w:rPr>
          <w:bCs/>
          <w:sz w:val="22"/>
          <w:szCs w:val="22"/>
          <w:lang w:val="sr-Latn-RS"/>
        </w:rPr>
        <w:t>j</w:t>
      </w:r>
      <w:r w:rsidRPr="00E51051">
        <w:rPr>
          <w:bCs/>
          <w:sz w:val="22"/>
          <w:szCs w:val="22"/>
          <w:lang w:val="sr-Latn-RS"/>
        </w:rPr>
        <w:t>elesna masa mladunčadi, povećanje mrtvorođenosti, povećanje mortaliteta mladunčadi) u poređenju sa toksičnošću za majku nakon intraperitonealne prim</w:t>
      </w:r>
      <w:r w:rsidR="001B2CBA" w:rsidRPr="00E51051">
        <w:rPr>
          <w:bCs/>
          <w:sz w:val="22"/>
          <w:szCs w:val="22"/>
          <w:lang w:val="sr-Latn-RS"/>
        </w:rPr>
        <w:t>j</w:t>
      </w:r>
      <w:r w:rsidRPr="00E51051">
        <w:rPr>
          <w:bCs/>
          <w:sz w:val="22"/>
          <w:szCs w:val="22"/>
          <w:lang w:val="sr-Latn-RS"/>
        </w:rPr>
        <w:t>ene tazobaktama.</w:t>
      </w:r>
    </w:p>
    <w:p w14:paraId="57C83277" w14:textId="77777777" w:rsidR="00BB1EA4" w:rsidRPr="00E51051" w:rsidRDefault="00BB1EA4" w:rsidP="00187482">
      <w:pPr>
        <w:jc w:val="both"/>
        <w:rPr>
          <w:sz w:val="22"/>
          <w:szCs w:val="22"/>
          <w:u w:val="single"/>
          <w:lang w:val="sr-Latn-RS"/>
        </w:rPr>
      </w:pPr>
    </w:p>
    <w:p w14:paraId="3644E489" w14:textId="6D78DDC9" w:rsidR="00BB1EA4" w:rsidRPr="00E51051" w:rsidRDefault="00BB1EA4" w:rsidP="00187482">
      <w:pPr>
        <w:jc w:val="both"/>
        <w:rPr>
          <w:sz w:val="22"/>
          <w:szCs w:val="22"/>
          <w:u w:val="single"/>
          <w:lang w:val="sr-Latn-RS"/>
        </w:rPr>
      </w:pPr>
      <w:r w:rsidRPr="00E51051">
        <w:rPr>
          <w:sz w:val="22"/>
          <w:szCs w:val="22"/>
          <w:u w:val="single"/>
          <w:lang w:val="sr-Latn-RS"/>
        </w:rPr>
        <w:t>Proc</w:t>
      </w:r>
      <w:r w:rsidR="001B2CBA" w:rsidRPr="00E51051">
        <w:rPr>
          <w:sz w:val="22"/>
          <w:szCs w:val="22"/>
          <w:u w:val="single"/>
          <w:lang w:val="sr-Latn-RS"/>
        </w:rPr>
        <w:t>j</w:t>
      </w:r>
      <w:r w:rsidRPr="00E51051">
        <w:rPr>
          <w:sz w:val="22"/>
          <w:szCs w:val="22"/>
          <w:u w:val="single"/>
          <w:lang w:val="sr-Latn-RS"/>
        </w:rPr>
        <w:t xml:space="preserve">ena rizika za okolinu (engl. </w:t>
      </w:r>
      <w:r w:rsidRPr="00E51051">
        <w:rPr>
          <w:i/>
          <w:sz w:val="22"/>
          <w:szCs w:val="22"/>
          <w:u w:val="single"/>
          <w:lang w:val="sr-Latn-RS"/>
        </w:rPr>
        <w:t>Environmental risk assessme</w:t>
      </w:r>
      <w:r w:rsidRPr="00E51051">
        <w:rPr>
          <w:i/>
          <w:iCs/>
          <w:sz w:val="22"/>
          <w:szCs w:val="22"/>
          <w:u w:val="single"/>
          <w:lang w:val="sr-Latn-RS"/>
        </w:rPr>
        <w:t>nt</w:t>
      </w:r>
      <w:r w:rsidRPr="00E51051">
        <w:rPr>
          <w:sz w:val="22"/>
          <w:szCs w:val="22"/>
          <w:u w:val="single"/>
          <w:lang w:val="sr-Latn-RS"/>
        </w:rPr>
        <w:t xml:space="preserve">, </w:t>
      </w:r>
      <w:r w:rsidRPr="00E51051">
        <w:rPr>
          <w:i/>
          <w:iCs/>
          <w:sz w:val="22"/>
          <w:szCs w:val="22"/>
          <w:u w:val="single"/>
          <w:lang w:val="sr-Latn-RS"/>
        </w:rPr>
        <w:t>ERA</w:t>
      </w:r>
      <w:r w:rsidRPr="00E51051">
        <w:rPr>
          <w:sz w:val="22"/>
          <w:szCs w:val="22"/>
          <w:u w:val="single"/>
          <w:lang w:val="sr-Latn-RS"/>
        </w:rPr>
        <w:t>)</w:t>
      </w:r>
    </w:p>
    <w:p w14:paraId="0C00256D" w14:textId="77777777" w:rsidR="00BB1EA4" w:rsidRPr="00E51051" w:rsidRDefault="00BB1EA4" w:rsidP="00187482">
      <w:pPr>
        <w:jc w:val="both"/>
        <w:rPr>
          <w:sz w:val="22"/>
          <w:szCs w:val="22"/>
          <w:u w:val="single"/>
          <w:lang w:val="sr-Latn-RS"/>
        </w:rPr>
      </w:pPr>
    </w:p>
    <w:p w14:paraId="7CA88F46" w14:textId="6C630AF0" w:rsidR="00BB1EA4" w:rsidRPr="00E51051" w:rsidRDefault="00BB1EA4" w:rsidP="00187482">
      <w:pPr>
        <w:jc w:val="both"/>
        <w:rPr>
          <w:sz w:val="22"/>
          <w:szCs w:val="22"/>
          <w:lang w:val="sr-Latn-RS"/>
        </w:rPr>
      </w:pPr>
      <w:r w:rsidRPr="00E51051">
        <w:rPr>
          <w:sz w:val="22"/>
          <w:szCs w:val="22"/>
          <w:lang w:val="sr-Latn-RS"/>
        </w:rPr>
        <w:t>Ispitivanja proc</w:t>
      </w:r>
      <w:r w:rsidR="001B2CBA" w:rsidRPr="00E51051">
        <w:rPr>
          <w:sz w:val="22"/>
          <w:szCs w:val="22"/>
          <w:lang w:val="sr-Latn-RS"/>
        </w:rPr>
        <w:t>j</w:t>
      </w:r>
      <w:r w:rsidRPr="00E51051">
        <w:rPr>
          <w:sz w:val="22"/>
          <w:szCs w:val="22"/>
          <w:lang w:val="sr-Latn-RS"/>
        </w:rPr>
        <w:t>ene rizika za okolinu pokazala su da jedna od aktivnih supstanci, ceftolozan, može predstavljati rizik za organizme površinskih voda (vid</w:t>
      </w:r>
      <w:r w:rsidR="001B2CBA" w:rsidRPr="00E51051">
        <w:rPr>
          <w:sz w:val="22"/>
          <w:szCs w:val="22"/>
          <w:lang w:val="sr-Latn-RS"/>
        </w:rPr>
        <w:t>j</w:t>
      </w:r>
      <w:r w:rsidRPr="00E51051">
        <w:rPr>
          <w:sz w:val="22"/>
          <w:szCs w:val="22"/>
          <w:lang w:val="sr-Latn-RS"/>
        </w:rPr>
        <w:t xml:space="preserve">eti </w:t>
      </w:r>
      <w:r w:rsidR="00F55464" w:rsidRPr="00E51051">
        <w:rPr>
          <w:sz w:val="22"/>
          <w:szCs w:val="22"/>
          <w:lang w:val="sr-Latn-RS"/>
        </w:rPr>
        <w:t xml:space="preserve">dio </w:t>
      </w:r>
      <w:r w:rsidRPr="00E51051">
        <w:rPr>
          <w:sz w:val="22"/>
          <w:szCs w:val="22"/>
          <w:lang w:val="sr-Latn-RS"/>
        </w:rPr>
        <w:t>6.6).</w:t>
      </w:r>
    </w:p>
    <w:p w14:paraId="13D1C4A9" w14:textId="26CBD7DB" w:rsidR="00396DFD" w:rsidRDefault="00396DFD" w:rsidP="00480FB1">
      <w:pPr>
        <w:tabs>
          <w:tab w:val="left" w:pos="540"/>
          <w:tab w:val="left" w:pos="569"/>
        </w:tabs>
        <w:rPr>
          <w:b/>
          <w:bCs/>
          <w:sz w:val="22"/>
          <w:szCs w:val="22"/>
          <w:lang w:val="sr-Latn-RS"/>
        </w:rPr>
      </w:pPr>
    </w:p>
    <w:p w14:paraId="7524B59C" w14:textId="77777777" w:rsidR="00E51051" w:rsidRPr="00E51051" w:rsidRDefault="00E51051" w:rsidP="00480FB1">
      <w:pPr>
        <w:tabs>
          <w:tab w:val="left" w:pos="540"/>
          <w:tab w:val="left" w:pos="569"/>
        </w:tabs>
        <w:rPr>
          <w:b/>
          <w:bCs/>
          <w:sz w:val="22"/>
          <w:szCs w:val="22"/>
          <w:lang w:val="sr-Latn-RS"/>
        </w:rPr>
      </w:pPr>
    </w:p>
    <w:p w14:paraId="71723759" w14:textId="77777777" w:rsidR="0072020E" w:rsidRPr="00E51051" w:rsidRDefault="0072020E" w:rsidP="00480FB1">
      <w:pPr>
        <w:tabs>
          <w:tab w:val="left" w:pos="540"/>
          <w:tab w:val="left" w:pos="569"/>
        </w:tabs>
        <w:rPr>
          <w:b/>
          <w:bCs/>
          <w:sz w:val="22"/>
          <w:szCs w:val="22"/>
          <w:lang w:val="sr-Latn-RS"/>
        </w:rPr>
      </w:pPr>
      <w:r w:rsidRPr="00E51051">
        <w:rPr>
          <w:b/>
          <w:bCs/>
          <w:sz w:val="22"/>
          <w:szCs w:val="22"/>
          <w:lang w:val="sr-Latn-RS"/>
        </w:rPr>
        <w:t xml:space="preserve">6. </w:t>
      </w:r>
      <w:r w:rsidR="00480FB1" w:rsidRPr="00E51051">
        <w:rPr>
          <w:b/>
          <w:bCs/>
          <w:sz w:val="22"/>
          <w:szCs w:val="22"/>
          <w:lang w:val="sr-Latn-RS"/>
        </w:rPr>
        <w:tab/>
      </w:r>
      <w:r w:rsidRPr="00E51051">
        <w:rPr>
          <w:b/>
          <w:bCs/>
          <w:sz w:val="22"/>
          <w:szCs w:val="22"/>
          <w:lang w:val="sr-Latn-RS"/>
        </w:rPr>
        <w:t>FARMACEUTSKI PODACI</w:t>
      </w:r>
    </w:p>
    <w:p w14:paraId="45C234C3" w14:textId="77777777" w:rsidR="00836B35" w:rsidRPr="00E51051" w:rsidRDefault="00836B35" w:rsidP="00480FB1">
      <w:pPr>
        <w:tabs>
          <w:tab w:val="left" w:pos="540"/>
          <w:tab w:val="left" w:pos="569"/>
        </w:tabs>
        <w:rPr>
          <w:bCs/>
          <w:sz w:val="22"/>
          <w:szCs w:val="22"/>
          <w:lang w:val="sr-Latn-RS"/>
        </w:rPr>
      </w:pPr>
    </w:p>
    <w:p w14:paraId="466EF82D" w14:textId="4E164431" w:rsidR="0072020E" w:rsidRPr="00E51051" w:rsidRDefault="0072020E" w:rsidP="00480FB1">
      <w:pPr>
        <w:tabs>
          <w:tab w:val="left" w:pos="540"/>
          <w:tab w:val="left" w:pos="569"/>
        </w:tabs>
        <w:rPr>
          <w:b/>
          <w:bCs/>
          <w:sz w:val="22"/>
          <w:szCs w:val="22"/>
          <w:lang w:val="sr-Latn-RS"/>
        </w:rPr>
      </w:pPr>
      <w:r w:rsidRPr="00E51051">
        <w:rPr>
          <w:b/>
          <w:bCs/>
          <w:sz w:val="22"/>
          <w:szCs w:val="22"/>
          <w:lang w:val="sr-Latn-RS"/>
        </w:rPr>
        <w:t xml:space="preserve">6.1. </w:t>
      </w:r>
      <w:r w:rsidR="00480FB1" w:rsidRPr="00E51051">
        <w:rPr>
          <w:b/>
          <w:bCs/>
          <w:sz w:val="22"/>
          <w:szCs w:val="22"/>
          <w:lang w:val="sr-Latn-RS"/>
        </w:rPr>
        <w:tab/>
      </w:r>
      <w:r w:rsidRPr="00E51051">
        <w:rPr>
          <w:b/>
          <w:bCs/>
          <w:sz w:val="22"/>
          <w:szCs w:val="22"/>
          <w:lang w:val="sr-Latn-RS"/>
        </w:rPr>
        <w:t>Lista pomoćnih supstanci</w:t>
      </w:r>
      <w:r w:rsidR="002E0135" w:rsidRPr="00E51051">
        <w:rPr>
          <w:b/>
          <w:bCs/>
          <w:sz w:val="22"/>
          <w:szCs w:val="22"/>
          <w:lang w:val="sr-Latn-RS"/>
        </w:rPr>
        <w:t xml:space="preserve"> (ekscipijenasa)</w:t>
      </w:r>
    </w:p>
    <w:p w14:paraId="4742E0FE" w14:textId="77777777" w:rsidR="00BB1EA4" w:rsidRPr="00E51051" w:rsidRDefault="00BB1EA4" w:rsidP="00480FB1">
      <w:pPr>
        <w:tabs>
          <w:tab w:val="left" w:pos="540"/>
          <w:tab w:val="left" w:pos="569"/>
        </w:tabs>
        <w:rPr>
          <w:b/>
          <w:bCs/>
          <w:sz w:val="22"/>
          <w:szCs w:val="22"/>
          <w:lang w:val="sr-Latn-RS"/>
        </w:rPr>
      </w:pPr>
    </w:p>
    <w:p w14:paraId="63A0DD95" w14:textId="29293CE9" w:rsidR="00BB1EA4" w:rsidRPr="00E51051" w:rsidRDefault="00BB1EA4" w:rsidP="00BB1EA4">
      <w:pPr>
        <w:tabs>
          <w:tab w:val="left" w:pos="567"/>
        </w:tabs>
        <w:rPr>
          <w:sz w:val="22"/>
          <w:szCs w:val="22"/>
          <w:lang w:val="sr-Latn-RS"/>
        </w:rPr>
      </w:pPr>
      <w:r w:rsidRPr="00E51051">
        <w:rPr>
          <w:sz w:val="22"/>
          <w:szCs w:val="22"/>
          <w:lang w:val="sr-Latn-RS"/>
        </w:rPr>
        <w:t>Natrijum</w:t>
      </w:r>
      <w:r w:rsidR="00817472" w:rsidRPr="00E51051">
        <w:rPr>
          <w:sz w:val="22"/>
          <w:szCs w:val="22"/>
          <w:lang w:val="sr-Latn-RS"/>
        </w:rPr>
        <w:t xml:space="preserve"> </w:t>
      </w:r>
      <w:r w:rsidRPr="00E51051">
        <w:rPr>
          <w:sz w:val="22"/>
          <w:szCs w:val="22"/>
          <w:lang w:val="sr-Latn-RS"/>
        </w:rPr>
        <w:t>hlorid;</w:t>
      </w:r>
    </w:p>
    <w:p w14:paraId="2D618940" w14:textId="77777777" w:rsidR="00BB1EA4" w:rsidRPr="00E51051" w:rsidRDefault="00BB1EA4" w:rsidP="00BB1EA4">
      <w:pPr>
        <w:tabs>
          <w:tab w:val="left" w:pos="567"/>
        </w:tabs>
        <w:rPr>
          <w:sz w:val="22"/>
          <w:szCs w:val="22"/>
          <w:lang w:val="sr-Latn-RS"/>
        </w:rPr>
      </w:pPr>
      <w:r w:rsidRPr="00E51051">
        <w:rPr>
          <w:sz w:val="22"/>
          <w:szCs w:val="22"/>
          <w:lang w:val="sr-Latn-RS"/>
        </w:rPr>
        <w:t>Arginin;</w:t>
      </w:r>
    </w:p>
    <w:p w14:paraId="11DB3A37" w14:textId="77777777" w:rsidR="00BB1EA4" w:rsidRPr="00E51051" w:rsidRDefault="00BB1EA4" w:rsidP="00BB1EA4">
      <w:pPr>
        <w:tabs>
          <w:tab w:val="left" w:pos="567"/>
        </w:tabs>
        <w:rPr>
          <w:sz w:val="22"/>
          <w:szCs w:val="22"/>
          <w:lang w:val="sr-Latn-RS"/>
        </w:rPr>
      </w:pPr>
      <w:r w:rsidRPr="00E51051">
        <w:rPr>
          <w:sz w:val="22"/>
          <w:szCs w:val="22"/>
          <w:lang w:val="sr-Latn-RS"/>
        </w:rPr>
        <w:t>Limunska kiselina, bezvodna.</w:t>
      </w:r>
    </w:p>
    <w:p w14:paraId="2A33C04C" w14:textId="77777777" w:rsidR="0072020E" w:rsidRPr="00E51051" w:rsidRDefault="0072020E" w:rsidP="00480FB1">
      <w:pPr>
        <w:tabs>
          <w:tab w:val="left" w:pos="540"/>
          <w:tab w:val="left" w:pos="569"/>
        </w:tabs>
        <w:rPr>
          <w:bCs/>
          <w:sz w:val="22"/>
          <w:szCs w:val="22"/>
          <w:lang w:val="sr-Latn-RS"/>
        </w:rPr>
      </w:pPr>
    </w:p>
    <w:p w14:paraId="1E64F74F" w14:textId="77777777" w:rsidR="0072020E" w:rsidRPr="00E51051" w:rsidRDefault="0072020E" w:rsidP="00480FB1">
      <w:pPr>
        <w:tabs>
          <w:tab w:val="left" w:pos="540"/>
          <w:tab w:val="left" w:pos="569"/>
        </w:tabs>
        <w:rPr>
          <w:b/>
          <w:bCs/>
          <w:sz w:val="22"/>
          <w:szCs w:val="22"/>
          <w:lang w:val="sr-Latn-RS"/>
        </w:rPr>
      </w:pPr>
      <w:r w:rsidRPr="00E51051">
        <w:rPr>
          <w:b/>
          <w:bCs/>
          <w:sz w:val="22"/>
          <w:szCs w:val="22"/>
          <w:lang w:val="sr-Latn-RS"/>
        </w:rPr>
        <w:t xml:space="preserve">6.2. </w:t>
      </w:r>
      <w:r w:rsidR="00480FB1" w:rsidRPr="00E51051">
        <w:rPr>
          <w:b/>
          <w:bCs/>
          <w:sz w:val="22"/>
          <w:szCs w:val="22"/>
          <w:lang w:val="sr-Latn-RS"/>
        </w:rPr>
        <w:tab/>
      </w:r>
      <w:r w:rsidRPr="00E51051">
        <w:rPr>
          <w:b/>
          <w:bCs/>
          <w:sz w:val="22"/>
          <w:szCs w:val="22"/>
          <w:lang w:val="sr-Latn-RS"/>
        </w:rPr>
        <w:t>Inkompatibilnost</w:t>
      </w:r>
      <w:r w:rsidR="002846DB" w:rsidRPr="00E51051">
        <w:rPr>
          <w:b/>
          <w:bCs/>
          <w:sz w:val="22"/>
          <w:szCs w:val="22"/>
          <w:lang w:val="sr-Latn-RS"/>
        </w:rPr>
        <w:t>i</w:t>
      </w:r>
    </w:p>
    <w:p w14:paraId="27946B4F" w14:textId="77777777" w:rsidR="00BB1EA4" w:rsidRPr="00E51051" w:rsidRDefault="00BB1EA4" w:rsidP="00BB1EA4">
      <w:pPr>
        <w:rPr>
          <w:b/>
          <w:bCs/>
          <w:sz w:val="22"/>
          <w:szCs w:val="22"/>
          <w:lang w:val="sr-Latn-RS"/>
        </w:rPr>
      </w:pPr>
    </w:p>
    <w:p w14:paraId="03E57C96" w14:textId="57E402BD" w:rsidR="00BB1EA4" w:rsidRPr="00E51051" w:rsidRDefault="00BB1EA4" w:rsidP="00BB1EA4">
      <w:pPr>
        <w:pStyle w:val="Header"/>
        <w:tabs>
          <w:tab w:val="left" w:pos="284"/>
        </w:tabs>
        <w:rPr>
          <w:sz w:val="22"/>
          <w:szCs w:val="22"/>
          <w:lang w:val="sr-Latn-RS"/>
        </w:rPr>
      </w:pPr>
      <w:r w:rsidRPr="00E51051">
        <w:rPr>
          <w:sz w:val="22"/>
          <w:szCs w:val="22"/>
          <w:lang w:val="sr-Latn-RS"/>
        </w:rPr>
        <w:t>Ovaj l</w:t>
      </w:r>
      <w:r w:rsidR="001B2CBA" w:rsidRPr="00E51051">
        <w:rPr>
          <w:sz w:val="22"/>
          <w:szCs w:val="22"/>
          <w:lang w:val="sr-Latn-RS"/>
        </w:rPr>
        <w:t>ij</w:t>
      </w:r>
      <w:r w:rsidRPr="00E51051">
        <w:rPr>
          <w:sz w:val="22"/>
          <w:szCs w:val="22"/>
          <w:lang w:val="sr-Latn-RS"/>
        </w:rPr>
        <w:t>ek se ne sm</w:t>
      </w:r>
      <w:r w:rsidR="001B2CBA" w:rsidRPr="00E51051">
        <w:rPr>
          <w:sz w:val="22"/>
          <w:szCs w:val="22"/>
          <w:lang w:val="sr-Latn-RS"/>
        </w:rPr>
        <w:t>ij</w:t>
      </w:r>
      <w:r w:rsidRPr="00E51051">
        <w:rPr>
          <w:sz w:val="22"/>
          <w:szCs w:val="22"/>
          <w:lang w:val="sr-Latn-RS"/>
        </w:rPr>
        <w:t>e m</w:t>
      </w:r>
      <w:r w:rsidR="001B2CBA" w:rsidRPr="00E51051">
        <w:rPr>
          <w:sz w:val="22"/>
          <w:szCs w:val="22"/>
          <w:lang w:val="sr-Latn-RS"/>
        </w:rPr>
        <w:t>ij</w:t>
      </w:r>
      <w:r w:rsidRPr="00E51051">
        <w:rPr>
          <w:sz w:val="22"/>
          <w:szCs w:val="22"/>
          <w:lang w:val="sr-Latn-RS"/>
        </w:rPr>
        <w:t>ešati sa drugim l</w:t>
      </w:r>
      <w:r w:rsidR="001B2CBA" w:rsidRPr="00E51051">
        <w:rPr>
          <w:sz w:val="22"/>
          <w:szCs w:val="22"/>
          <w:lang w:val="sr-Latn-RS"/>
        </w:rPr>
        <w:t>j</w:t>
      </w:r>
      <w:r w:rsidRPr="00E51051">
        <w:rPr>
          <w:sz w:val="22"/>
          <w:szCs w:val="22"/>
          <w:lang w:val="sr-Latn-RS"/>
        </w:rPr>
        <w:t>ekovima, osim sa onima koji su navedeni u od</w:t>
      </w:r>
      <w:r w:rsidR="001B2CBA" w:rsidRPr="00E51051">
        <w:rPr>
          <w:sz w:val="22"/>
          <w:szCs w:val="22"/>
          <w:lang w:val="sr-Latn-RS"/>
        </w:rPr>
        <w:t>j</w:t>
      </w:r>
      <w:r w:rsidRPr="00E51051">
        <w:rPr>
          <w:sz w:val="22"/>
          <w:szCs w:val="22"/>
          <w:lang w:val="sr-Latn-RS"/>
        </w:rPr>
        <w:t>eljku 6.6.</w:t>
      </w:r>
    </w:p>
    <w:p w14:paraId="2270410E" w14:textId="77777777" w:rsidR="0072020E" w:rsidRPr="00E51051" w:rsidRDefault="0072020E" w:rsidP="00480FB1">
      <w:pPr>
        <w:tabs>
          <w:tab w:val="left" w:pos="540"/>
          <w:tab w:val="left" w:pos="569"/>
        </w:tabs>
        <w:rPr>
          <w:bCs/>
          <w:sz w:val="22"/>
          <w:szCs w:val="22"/>
          <w:lang w:val="sr-Latn-RS"/>
        </w:rPr>
      </w:pPr>
    </w:p>
    <w:p w14:paraId="477C8822" w14:textId="4BAB4EF1" w:rsidR="0072020E" w:rsidRPr="00E51051" w:rsidRDefault="0072020E" w:rsidP="00480FB1">
      <w:pPr>
        <w:tabs>
          <w:tab w:val="left" w:pos="540"/>
          <w:tab w:val="left" w:pos="569"/>
        </w:tabs>
        <w:rPr>
          <w:b/>
          <w:bCs/>
          <w:sz w:val="22"/>
          <w:szCs w:val="22"/>
          <w:lang w:val="sr-Latn-RS"/>
        </w:rPr>
      </w:pPr>
      <w:r w:rsidRPr="00E51051">
        <w:rPr>
          <w:b/>
          <w:bCs/>
          <w:sz w:val="22"/>
          <w:szCs w:val="22"/>
          <w:lang w:val="sr-Latn-RS"/>
        </w:rPr>
        <w:t>6.3.</w:t>
      </w:r>
      <w:r w:rsidR="00C05DF8" w:rsidRPr="00E51051">
        <w:rPr>
          <w:b/>
          <w:bCs/>
          <w:sz w:val="22"/>
          <w:szCs w:val="22"/>
          <w:lang w:val="sr-Latn-RS"/>
        </w:rPr>
        <w:t xml:space="preserve"> </w:t>
      </w:r>
      <w:r w:rsidR="00480FB1" w:rsidRPr="00E51051">
        <w:rPr>
          <w:b/>
          <w:bCs/>
          <w:sz w:val="22"/>
          <w:szCs w:val="22"/>
          <w:lang w:val="sr-Latn-RS"/>
        </w:rPr>
        <w:tab/>
      </w:r>
      <w:r w:rsidRPr="00E51051">
        <w:rPr>
          <w:b/>
          <w:bCs/>
          <w:sz w:val="22"/>
          <w:szCs w:val="22"/>
          <w:lang w:val="sr-Latn-RS"/>
        </w:rPr>
        <w:t>Rok upotrebe</w:t>
      </w:r>
    </w:p>
    <w:p w14:paraId="060046E0" w14:textId="77777777" w:rsidR="00BB1EA4" w:rsidRPr="00E51051" w:rsidRDefault="00BB1EA4" w:rsidP="00480FB1">
      <w:pPr>
        <w:tabs>
          <w:tab w:val="left" w:pos="540"/>
          <w:tab w:val="left" w:pos="569"/>
        </w:tabs>
        <w:rPr>
          <w:b/>
          <w:bCs/>
          <w:sz w:val="22"/>
          <w:szCs w:val="22"/>
          <w:lang w:val="sr-Latn-RS"/>
        </w:rPr>
      </w:pPr>
    </w:p>
    <w:p w14:paraId="05169BBB" w14:textId="2162A26D" w:rsidR="00BB1EA4" w:rsidRPr="00E51051" w:rsidRDefault="00BB1EA4" w:rsidP="00BB1EA4">
      <w:pPr>
        <w:pStyle w:val="Header"/>
        <w:tabs>
          <w:tab w:val="left" w:pos="284"/>
        </w:tabs>
        <w:rPr>
          <w:sz w:val="22"/>
          <w:szCs w:val="22"/>
          <w:lang w:val="sr-Latn-RS"/>
        </w:rPr>
      </w:pPr>
      <w:r w:rsidRPr="00E51051">
        <w:rPr>
          <w:sz w:val="22"/>
          <w:szCs w:val="22"/>
          <w:lang w:val="sr-Latn-RS"/>
        </w:rPr>
        <w:t>Rok upotrebe pr</w:t>
      </w:r>
      <w:r w:rsidR="001B2CBA" w:rsidRPr="00E51051">
        <w:rPr>
          <w:sz w:val="22"/>
          <w:szCs w:val="22"/>
          <w:lang w:val="sr-Latn-RS"/>
        </w:rPr>
        <w:t>ij</w:t>
      </w:r>
      <w:r w:rsidRPr="00E51051">
        <w:rPr>
          <w:sz w:val="22"/>
          <w:szCs w:val="22"/>
          <w:lang w:val="sr-Latn-RS"/>
        </w:rPr>
        <w:t>e prvog otvaranja: 3 godine.</w:t>
      </w:r>
    </w:p>
    <w:p w14:paraId="4F60FD18" w14:textId="77777777" w:rsidR="00BB1EA4" w:rsidRPr="00E51051" w:rsidRDefault="00BB1EA4" w:rsidP="00BB1EA4">
      <w:pPr>
        <w:pStyle w:val="Header"/>
        <w:tabs>
          <w:tab w:val="left" w:pos="284"/>
        </w:tabs>
        <w:rPr>
          <w:sz w:val="22"/>
          <w:szCs w:val="22"/>
          <w:lang w:val="sr-Latn-RS"/>
        </w:rPr>
      </w:pPr>
    </w:p>
    <w:p w14:paraId="56DA6958" w14:textId="77777777" w:rsidR="00BB1EA4" w:rsidRPr="00E51051" w:rsidRDefault="00BB1EA4" w:rsidP="00BB1EA4">
      <w:pPr>
        <w:tabs>
          <w:tab w:val="left" w:pos="567"/>
        </w:tabs>
        <w:rPr>
          <w:sz w:val="22"/>
          <w:szCs w:val="22"/>
          <w:lang w:val="sr-Latn-RS"/>
        </w:rPr>
      </w:pPr>
      <w:r w:rsidRPr="00E51051">
        <w:rPr>
          <w:sz w:val="22"/>
          <w:szCs w:val="22"/>
          <w:lang w:val="sr-Latn-RS"/>
        </w:rPr>
        <w:t xml:space="preserve">Rok upotrebe nakon rekonstitucije i razblaživanja: </w:t>
      </w:r>
    </w:p>
    <w:p w14:paraId="140836D4" w14:textId="449D0401" w:rsidR="00BB1EA4" w:rsidRPr="00E51051" w:rsidRDefault="00BB1EA4" w:rsidP="00BB1EA4">
      <w:pPr>
        <w:tabs>
          <w:tab w:val="left" w:pos="567"/>
        </w:tabs>
        <w:rPr>
          <w:sz w:val="22"/>
          <w:szCs w:val="22"/>
          <w:lang w:val="sr-Latn-RS"/>
        </w:rPr>
      </w:pPr>
      <w:r w:rsidRPr="00E51051">
        <w:rPr>
          <w:sz w:val="22"/>
          <w:szCs w:val="22"/>
          <w:lang w:val="sr-Latn-RS"/>
        </w:rPr>
        <w:t>Nakon rekonstitucije i razblaživanja, dokazana je hemijska i fizička stabilnost l</w:t>
      </w:r>
      <w:r w:rsidR="001B2CBA" w:rsidRPr="00E51051">
        <w:rPr>
          <w:sz w:val="22"/>
          <w:szCs w:val="22"/>
          <w:lang w:val="sr-Latn-RS"/>
        </w:rPr>
        <w:t>ij</w:t>
      </w:r>
      <w:r w:rsidRPr="00E51051">
        <w:rPr>
          <w:sz w:val="22"/>
          <w:szCs w:val="22"/>
          <w:lang w:val="sr-Latn-RS"/>
        </w:rPr>
        <w:t>eka za prim</w:t>
      </w:r>
      <w:r w:rsidR="001B2CBA" w:rsidRPr="00E51051">
        <w:rPr>
          <w:sz w:val="22"/>
          <w:szCs w:val="22"/>
          <w:lang w:val="sr-Latn-RS"/>
        </w:rPr>
        <w:t>j</w:t>
      </w:r>
      <w:r w:rsidRPr="00E51051">
        <w:rPr>
          <w:sz w:val="22"/>
          <w:szCs w:val="22"/>
          <w:lang w:val="sr-Latn-RS"/>
        </w:rPr>
        <w:t>enu tokom 24 sata na sobnoj temepraturi ili 4 dana na temperaturi od 2 °C do 8 °C. L</w:t>
      </w:r>
      <w:r w:rsidR="001B2CBA" w:rsidRPr="00E51051">
        <w:rPr>
          <w:sz w:val="22"/>
          <w:szCs w:val="22"/>
          <w:lang w:val="sr-Latn-RS"/>
        </w:rPr>
        <w:t>ij</w:t>
      </w:r>
      <w:r w:rsidRPr="00E51051">
        <w:rPr>
          <w:sz w:val="22"/>
          <w:szCs w:val="22"/>
          <w:lang w:val="sr-Latn-RS"/>
        </w:rPr>
        <w:t>ek je fotosenzitivan i potrebno ga je zaštititi od sv</w:t>
      </w:r>
      <w:r w:rsidR="001B2CBA" w:rsidRPr="00E51051">
        <w:rPr>
          <w:sz w:val="22"/>
          <w:szCs w:val="22"/>
          <w:lang w:val="sr-Latn-RS"/>
        </w:rPr>
        <w:t>j</w:t>
      </w:r>
      <w:r w:rsidRPr="00E51051">
        <w:rPr>
          <w:sz w:val="22"/>
          <w:szCs w:val="22"/>
          <w:lang w:val="sr-Latn-RS"/>
        </w:rPr>
        <w:t>etlosti kada se ne čuva u originalnom pakovanju.</w:t>
      </w:r>
    </w:p>
    <w:p w14:paraId="1A2C1F09" w14:textId="77777777" w:rsidR="00BB1EA4" w:rsidRPr="00E51051" w:rsidRDefault="00BB1EA4" w:rsidP="00BB1EA4">
      <w:pPr>
        <w:tabs>
          <w:tab w:val="left" w:pos="567"/>
        </w:tabs>
        <w:rPr>
          <w:sz w:val="22"/>
          <w:szCs w:val="22"/>
          <w:lang w:val="sr-Latn-RS"/>
        </w:rPr>
      </w:pPr>
    </w:p>
    <w:p w14:paraId="29AF62B4" w14:textId="622DF6FE" w:rsidR="00BB1EA4" w:rsidRPr="00E51051" w:rsidRDefault="00BB1EA4" w:rsidP="00BB1EA4">
      <w:pPr>
        <w:rPr>
          <w:sz w:val="22"/>
          <w:szCs w:val="22"/>
          <w:lang w:val="sr-Latn-RS"/>
        </w:rPr>
      </w:pPr>
      <w:r w:rsidRPr="00E51051">
        <w:rPr>
          <w:sz w:val="22"/>
          <w:szCs w:val="22"/>
          <w:lang w:val="sr-Latn-RS"/>
        </w:rPr>
        <w:t>Sa mikrobiološke tačke gledišta, l</w:t>
      </w:r>
      <w:r w:rsidR="001B2CBA" w:rsidRPr="00E51051">
        <w:rPr>
          <w:sz w:val="22"/>
          <w:szCs w:val="22"/>
          <w:lang w:val="sr-Latn-RS"/>
        </w:rPr>
        <w:t>ij</w:t>
      </w:r>
      <w:r w:rsidRPr="00E51051">
        <w:rPr>
          <w:sz w:val="22"/>
          <w:szCs w:val="22"/>
          <w:lang w:val="sr-Latn-RS"/>
        </w:rPr>
        <w:t>ek se mora prim</w:t>
      </w:r>
      <w:r w:rsidR="001B2CBA" w:rsidRPr="00E51051">
        <w:rPr>
          <w:sz w:val="22"/>
          <w:szCs w:val="22"/>
          <w:lang w:val="sr-Latn-RS"/>
        </w:rPr>
        <w:t>ij</w:t>
      </w:r>
      <w:r w:rsidRPr="00E51051">
        <w:rPr>
          <w:sz w:val="22"/>
          <w:szCs w:val="22"/>
          <w:lang w:val="sr-Latn-RS"/>
        </w:rPr>
        <w:t>eniti odmah nakon rekonstitucije. Ako se ne prim</w:t>
      </w:r>
      <w:r w:rsidR="001B2CBA" w:rsidRPr="00E51051">
        <w:rPr>
          <w:sz w:val="22"/>
          <w:szCs w:val="22"/>
          <w:lang w:val="sr-Latn-RS"/>
        </w:rPr>
        <w:t>ij</w:t>
      </w:r>
      <w:r w:rsidRPr="00E51051">
        <w:rPr>
          <w:sz w:val="22"/>
          <w:szCs w:val="22"/>
          <w:lang w:val="sr-Latn-RS"/>
        </w:rPr>
        <w:t>eni odmah, vr</w:t>
      </w:r>
      <w:r w:rsidR="001B2CBA" w:rsidRPr="00E51051">
        <w:rPr>
          <w:sz w:val="22"/>
          <w:szCs w:val="22"/>
          <w:lang w:val="sr-Latn-RS"/>
        </w:rPr>
        <w:t>ij</w:t>
      </w:r>
      <w:r w:rsidRPr="00E51051">
        <w:rPr>
          <w:sz w:val="22"/>
          <w:szCs w:val="22"/>
          <w:lang w:val="sr-Latn-RS"/>
        </w:rPr>
        <w:t>eme čuvanja i uslovi čuvanja pr</w:t>
      </w:r>
      <w:r w:rsidR="001B2CBA" w:rsidRPr="00E51051">
        <w:rPr>
          <w:sz w:val="22"/>
          <w:szCs w:val="22"/>
          <w:lang w:val="sr-Latn-RS"/>
        </w:rPr>
        <w:t>ij</w:t>
      </w:r>
      <w:r w:rsidRPr="00E51051">
        <w:rPr>
          <w:sz w:val="22"/>
          <w:szCs w:val="22"/>
          <w:lang w:val="sr-Latn-RS"/>
        </w:rPr>
        <w:t>e prim</w:t>
      </w:r>
      <w:r w:rsidR="001B2CBA" w:rsidRPr="00E51051">
        <w:rPr>
          <w:sz w:val="22"/>
          <w:szCs w:val="22"/>
          <w:lang w:val="sr-Latn-RS"/>
        </w:rPr>
        <w:t>j</w:t>
      </w:r>
      <w:r w:rsidRPr="00E51051">
        <w:rPr>
          <w:sz w:val="22"/>
          <w:szCs w:val="22"/>
          <w:lang w:val="sr-Latn-RS"/>
        </w:rPr>
        <w:t>ene su odgovornost korisnika i normalno l</w:t>
      </w:r>
      <w:r w:rsidR="001B2CBA" w:rsidRPr="00E51051">
        <w:rPr>
          <w:sz w:val="22"/>
          <w:szCs w:val="22"/>
          <w:lang w:val="sr-Latn-RS"/>
        </w:rPr>
        <w:t>ij</w:t>
      </w:r>
      <w:r w:rsidRPr="00E51051">
        <w:rPr>
          <w:sz w:val="22"/>
          <w:szCs w:val="22"/>
          <w:lang w:val="sr-Latn-RS"/>
        </w:rPr>
        <w:t xml:space="preserve">ek ne bi trebao da se čuva duže od 24 sata na temperaturi od </w:t>
      </w:r>
      <w:r w:rsidRPr="00E51051">
        <w:rPr>
          <w:bCs/>
          <w:sz w:val="22"/>
          <w:szCs w:val="22"/>
          <w:lang w:val="sr-Latn-RS"/>
        </w:rPr>
        <w:t>2 °C do 8 °C,</w:t>
      </w:r>
      <w:r w:rsidRPr="00E51051">
        <w:rPr>
          <w:sz w:val="22"/>
          <w:szCs w:val="22"/>
          <w:lang w:val="sr-Latn-RS"/>
        </w:rPr>
        <w:t xml:space="preserve"> osim ako su rekonstitucija i razblaživanje sprovedeni u kontrolisanim i validiranim aseptičkim uslovima. </w:t>
      </w:r>
    </w:p>
    <w:p w14:paraId="0F7F5639" w14:textId="77777777" w:rsidR="0072020E" w:rsidRPr="00E51051" w:rsidRDefault="0072020E" w:rsidP="00480FB1">
      <w:pPr>
        <w:tabs>
          <w:tab w:val="left" w:pos="540"/>
          <w:tab w:val="left" w:pos="569"/>
        </w:tabs>
        <w:rPr>
          <w:bCs/>
          <w:sz w:val="22"/>
          <w:szCs w:val="22"/>
          <w:lang w:val="sr-Latn-RS"/>
        </w:rPr>
      </w:pPr>
    </w:p>
    <w:p w14:paraId="231B8254" w14:textId="4E48B4DD" w:rsidR="0072020E" w:rsidRPr="00E51051" w:rsidRDefault="0072020E" w:rsidP="00480FB1">
      <w:pPr>
        <w:tabs>
          <w:tab w:val="left" w:pos="540"/>
          <w:tab w:val="left" w:pos="569"/>
        </w:tabs>
        <w:rPr>
          <w:b/>
          <w:bCs/>
          <w:sz w:val="22"/>
          <w:szCs w:val="22"/>
          <w:lang w:val="sr-Latn-RS"/>
        </w:rPr>
      </w:pPr>
      <w:r w:rsidRPr="00E51051">
        <w:rPr>
          <w:b/>
          <w:bCs/>
          <w:sz w:val="22"/>
          <w:szCs w:val="22"/>
          <w:lang w:val="sr-Latn-RS"/>
        </w:rPr>
        <w:t xml:space="preserve">6.4. </w:t>
      </w:r>
      <w:r w:rsidR="00480FB1" w:rsidRPr="00E51051">
        <w:rPr>
          <w:b/>
          <w:bCs/>
          <w:sz w:val="22"/>
          <w:szCs w:val="22"/>
          <w:lang w:val="sr-Latn-RS"/>
        </w:rPr>
        <w:tab/>
      </w:r>
      <w:r w:rsidRPr="00E51051">
        <w:rPr>
          <w:b/>
          <w:bCs/>
          <w:sz w:val="22"/>
          <w:szCs w:val="22"/>
          <w:lang w:val="sr-Latn-RS"/>
        </w:rPr>
        <w:t>Posebne mjere upozorenja pri čuvanju</w:t>
      </w:r>
      <w:r w:rsidR="00F8570A" w:rsidRPr="00E51051">
        <w:rPr>
          <w:b/>
          <w:bCs/>
          <w:sz w:val="22"/>
          <w:szCs w:val="22"/>
          <w:lang w:val="sr-Latn-RS"/>
        </w:rPr>
        <w:t xml:space="preserve"> lijeka</w:t>
      </w:r>
    </w:p>
    <w:p w14:paraId="564F6304" w14:textId="77777777" w:rsidR="00BB1EA4" w:rsidRPr="00E51051" w:rsidRDefault="00BB1EA4" w:rsidP="00480FB1">
      <w:pPr>
        <w:tabs>
          <w:tab w:val="left" w:pos="540"/>
          <w:tab w:val="left" w:pos="569"/>
        </w:tabs>
        <w:rPr>
          <w:b/>
          <w:bCs/>
          <w:sz w:val="22"/>
          <w:szCs w:val="22"/>
          <w:lang w:val="sr-Latn-RS"/>
        </w:rPr>
      </w:pPr>
    </w:p>
    <w:p w14:paraId="7FE8F376" w14:textId="77777777" w:rsidR="00BB1EA4" w:rsidRPr="00E51051" w:rsidRDefault="00BB1EA4" w:rsidP="00BB1EA4">
      <w:pPr>
        <w:pStyle w:val="Header"/>
        <w:tabs>
          <w:tab w:val="left" w:pos="284"/>
        </w:tabs>
        <w:rPr>
          <w:bCs/>
          <w:sz w:val="22"/>
          <w:szCs w:val="22"/>
          <w:lang w:val="sr-Latn-RS"/>
        </w:rPr>
      </w:pPr>
      <w:r w:rsidRPr="00E51051">
        <w:rPr>
          <w:bCs/>
          <w:sz w:val="22"/>
          <w:szCs w:val="22"/>
          <w:lang w:val="sr-Latn-RS"/>
        </w:rPr>
        <w:t xml:space="preserve">Čuvati u frižideru (na temperaturi od 2 °C </w:t>
      </w:r>
      <w:r w:rsidRPr="00E51051">
        <w:rPr>
          <w:sz w:val="22"/>
          <w:szCs w:val="22"/>
          <w:lang w:val="sr-Latn-RS"/>
        </w:rPr>
        <w:t xml:space="preserve">do </w:t>
      </w:r>
      <w:r w:rsidRPr="00E51051">
        <w:rPr>
          <w:bCs/>
          <w:sz w:val="22"/>
          <w:szCs w:val="22"/>
          <w:lang w:val="sr-Latn-RS"/>
        </w:rPr>
        <w:t>8 °C).</w:t>
      </w:r>
    </w:p>
    <w:p w14:paraId="26D0EE81" w14:textId="77777777" w:rsidR="00BB1EA4" w:rsidRPr="00E51051" w:rsidRDefault="00BB1EA4" w:rsidP="00BB1EA4">
      <w:pPr>
        <w:pStyle w:val="Header"/>
        <w:tabs>
          <w:tab w:val="left" w:pos="284"/>
        </w:tabs>
        <w:rPr>
          <w:sz w:val="22"/>
          <w:szCs w:val="22"/>
          <w:lang w:val="sr-Latn-RS"/>
        </w:rPr>
      </w:pPr>
    </w:p>
    <w:p w14:paraId="385A8F6C" w14:textId="23375394" w:rsidR="00BB1EA4" w:rsidRPr="00E51051" w:rsidRDefault="00BB1EA4" w:rsidP="00BB1EA4">
      <w:pPr>
        <w:pStyle w:val="Header"/>
        <w:tabs>
          <w:tab w:val="left" w:pos="284"/>
        </w:tabs>
        <w:rPr>
          <w:sz w:val="22"/>
          <w:szCs w:val="22"/>
          <w:lang w:val="sr-Latn-RS"/>
        </w:rPr>
      </w:pPr>
      <w:r w:rsidRPr="00E51051">
        <w:rPr>
          <w:sz w:val="22"/>
          <w:szCs w:val="22"/>
          <w:lang w:val="sr-Latn-RS"/>
        </w:rPr>
        <w:t>Čuvati u originalnom pakovanju radi zaštite od sv</w:t>
      </w:r>
      <w:r w:rsidR="001B2CBA" w:rsidRPr="00E51051">
        <w:rPr>
          <w:sz w:val="22"/>
          <w:szCs w:val="22"/>
          <w:lang w:val="sr-Latn-RS"/>
        </w:rPr>
        <w:t>j</w:t>
      </w:r>
      <w:r w:rsidRPr="00E51051">
        <w:rPr>
          <w:sz w:val="22"/>
          <w:szCs w:val="22"/>
          <w:lang w:val="sr-Latn-RS"/>
        </w:rPr>
        <w:t>etlosti.</w:t>
      </w:r>
    </w:p>
    <w:p w14:paraId="053D03CC" w14:textId="77777777" w:rsidR="00BB1EA4" w:rsidRPr="00E51051" w:rsidRDefault="00BB1EA4" w:rsidP="00BB1EA4">
      <w:pPr>
        <w:pStyle w:val="Header"/>
        <w:tabs>
          <w:tab w:val="left" w:pos="284"/>
        </w:tabs>
        <w:rPr>
          <w:sz w:val="22"/>
          <w:szCs w:val="22"/>
          <w:lang w:val="sr-Latn-RS"/>
        </w:rPr>
      </w:pPr>
    </w:p>
    <w:p w14:paraId="10C74942" w14:textId="78FB34F9" w:rsidR="00BB1EA4" w:rsidRPr="00E51051" w:rsidRDefault="00BB1EA4" w:rsidP="00BB1EA4">
      <w:pPr>
        <w:rPr>
          <w:sz w:val="22"/>
          <w:szCs w:val="22"/>
          <w:lang w:val="sr-Latn-RS"/>
        </w:rPr>
      </w:pPr>
      <w:r w:rsidRPr="00E51051">
        <w:rPr>
          <w:sz w:val="22"/>
          <w:szCs w:val="22"/>
          <w:lang w:val="sr-Latn-RS"/>
        </w:rPr>
        <w:t>Za uslove čuvanja nakon rekonstitucije i razblaživanja l</w:t>
      </w:r>
      <w:r w:rsidR="001B2CBA" w:rsidRPr="00E51051">
        <w:rPr>
          <w:sz w:val="22"/>
          <w:szCs w:val="22"/>
          <w:lang w:val="sr-Latn-RS"/>
        </w:rPr>
        <w:t>ij</w:t>
      </w:r>
      <w:r w:rsidRPr="00E51051">
        <w:rPr>
          <w:sz w:val="22"/>
          <w:szCs w:val="22"/>
          <w:lang w:val="sr-Latn-RS"/>
        </w:rPr>
        <w:t>eka, vid</w:t>
      </w:r>
      <w:r w:rsidR="001B2CBA" w:rsidRPr="00E51051">
        <w:rPr>
          <w:sz w:val="22"/>
          <w:szCs w:val="22"/>
          <w:lang w:val="sr-Latn-RS"/>
        </w:rPr>
        <w:t>j</w:t>
      </w:r>
      <w:r w:rsidRPr="00E51051">
        <w:rPr>
          <w:sz w:val="22"/>
          <w:szCs w:val="22"/>
          <w:lang w:val="sr-Latn-RS"/>
        </w:rPr>
        <w:t>eti od</w:t>
      </w:r>
      <w:r w:rsidR="001B2CBA" w:rsidRPr="00E51051">
        <w:rPr>
          <w:sz w:val="22"/>
          <w:szCs w:val="22"/>
          <w:lang w:val="sr-Latn-RS"/>
        </w:rPr>
        <w:t>j</w:t>
      </w:r>
      <w:r w:rsidRPr="00E51051">
        <w:rPr>
          <w:sz w:val="22"/>
          <w:szCs w:val="22"/>
          <w:lang w:val="sr-Latn-RS"/>
        </w:rPr>
        <w:t>eljak 6.3.</w:t>
      </w:r>
    </w:p>
    <w:p w14:paraId="71639E23" w14:textId="77777777" w:rsidR="00EC2532" w:rsidRPr="00E51051" w:rsidRDefault="00EC2532" w:rsidP="00480FB1">
      <w:pPr>
        <w:tabs>
          <w:tab w:val="left" w:pos="540"/>
          <w:tab w:val="left" w:pos="569"/>
        </w:tabs>
        <w:rPr>
          <w:bCs/>
          <w:sz w:val="22"/>
          <w:szCs w:val="22"/>
          <w:lang w:val="sr-Latn-RS"/>
        </w:rPr>
      </w:pPr>
    </w:p>
    <w:p w14:paraId="15B6ABD0" w14:textId="5A1B7433" w:rsidR="0072020E" w:rsidRPr="00E51051" w:rsidRDefault="0072020E" w:rsidP="00480FB1">
      <w:pPr>
        <w:tabs>
          <w:tab w:val="left" w:pos="540"/>
          <w:tab w:val="left" w:pos="569"/>
        </w:tabs>
        <w:rPr>
          <w:b/>
          <w:bCs/>
          <w:sz w:val="22"/>
          <w:szCs w:val="22"/>
          <w:lang w:val="sr-Latn-RS"/>
        </w:rPr>
      </w:pPr>
      <w:r w:rsidRPr="00E51051">
        <w:rPr>
          <w:b/>
          <w:bCs/>
          <w:sz w:val="22"/>
          <w:szCs w:val="22"/>
          <w:lang w:val="sr-Latn-RS"/>
        </w:rPr>
        <w:t xml:space="preserve">6.5. </w:t>
      </w:r>
      <w:r w:rsidR="00480FB1" w:rsidRPr="00E51051">
        <w:rPr>
          <w:b/>
          <w:bCs/>
          <w:sz w:val="22"/>
          <w:szCs w:val="22"/>
          <w:lang w:val="sr-Latn-RS"/>
        </w:rPr>
        <w:tab/>
      </w:r>
      <w:r w:rsidR="002846DB" w:rsidRPr="00E51051">
        <w:rPr>
          <w:b/>
          <w:bCs/>
          <w:sz w:val="22"/>
          <w:szCs w:val="22"/>
          <w:lang w:val="sr-Latn-RS"/>
        </w:rPr>
        <w:t xml:space="preserve">Vrsta i sadržaj </w:t>
      </w:r>
      <w:r w:rsidR="00F8570A" w:rsidRPr="00E51051">
        <w:rPr>
          <w:b/>
          <w:bCs/>
          <w:sz w:val="22"/>
          <w:szCs w:val="22"/>
          <w:lang w:val="sr-Latn-RS"/>
        </w:rPr>
        <w:t>pakovanja</w:t>
      </w:r>
      <w:r w:rsidR="00C06864" w:rsidRPr="00E51051">
        <w:rPr>
          <w:b/>
          <w:bCs/>
          <w:sz w:val="22"/>
          <w:szCs w:val="22"/>
          <w:lang w:val="sr-Latn-RS"/>
        </w:rPr>
        <w:t xml:space="preserve"> </w:t>
      </w:r>
    </w:p>
    <w:p w14:paraId="6A45A49D" w14:textId="77777777" w:rsidR="00BB1EA4" w:rsidRPr="00E51051" w:rsidRDefault="00BB1EA4" w:rsidP="00480FB1">
      <w:pPr>
        <w:tabs>
          <w:tab w:val="left" w:pos="540"/>
          <w:tab w:val="left" w:pos="569"/>
        </w:tabs>
        <w:rPr>
          <w:b/>
          <w:bCs/>
          <w:sz w:val="22"/>
          <w:szCs w:val="22"/>
          <w:lang w:val="sr-Latn-RS"/>
        </w:rPr>
      </w:pPr>
    </w:p>
    <w:p w14:paraId="7AFCCAC4" w14:textId="1C216904" w:rsidR="00BB1EA4" w:rsidRPr="00E51051" w:rsidRDefault="00BB1EA4" w:rsidP="00BB1EA4">
      <w:pPr>
        <w:rPr>
          <w:sz w:val="22"/>
          <w:szCs w:val="22"/>
          <w:lang w:val="sr-Latn-RS"/>
        </w:rPr>
      </w:pPr>
      <w:r w:rsidRPr="00E51051">
        <w:rPr>
          <w:sz w:val="22"/>
          <w:szCs w:val="22"/>
          <w:lang w:val="sr-Latn-RS"/>
        </w:rPr>
        <w:t>Unutrašnje pakovanje je bočica od 20</w:t>
      </w:r>
      <w:r w:rsidR="00157168" w:rsidRPr="00E51051">
        <w:rPr>
          <w:sz w:val="22"/>
          <w:szCs w:val="22"/>
          <w:lang w:val="sr-Latn-RS"/>
        </w:rPr>
        <w:t xml:space="preserve"> ml </w:t>
      </w:r>
      <w:r w:rsidRPr="00E51051">
        <w:rPr>
          <w:sz w:val="22"/>
          <w:szCs w:val="22"/>
          <w:lang w:val="sr-Latn-RS"/>
        </w:rPr>
        <w:t xml:space="preserve">(providno staklo tipa I) sa čepom (bromobutilna guma) i zaštitnim zatvaračem. </w:t>
      </w:r>
    </w:p>
    <w:p w14:paraId="4EFBCA06" w14:textId="77777777" w:rsidR="00BB1EA4" w:rsidRPr="00E51051" w:rsidRDefault="00BB1EA4" w:rsidP="00BB1EA4">
      <w:pPr>
        <w:rPr>
          <w:sz w:val="22"/>
          <w:szCs w:val="22"/>
          <w:lang w:val="sr-Latn-RS"/>
        </w:rPr>
      </w:pPr>
      <w:r w:rsidRPr="00E51051">
        <w:rPr>
          <w:sz w:val="22"/>
          <w:szCs w:val="22"/>
          <w:lang w:val="sr-Latn-RS"/>
        </w:rPr>
        <w:t xml:space="preserve"> </w:t>
      </w:r>
    </w:p>
    <w:p w14:paraId="2C8215BB" w14:textId="63263A4E" w:rsidR="00BB1EA4" w:rsidRPr="00E51051" w:rsidRDefault="00BB1EA4" w:rsidP="00BB1EA4">
      <w:pPr>
        <w:rPr>
          <w:sz w:val="22"/>
          <w:szCs w:val="22"/>
          <w:lang w:val="sr-Latn-RS"/>
        </w:rPr>
      </w:pPr>
      <w:r w:rsidRPr="00E51051">
        <w:rPr>
          <w:sz w:val="22"/>
          <w:szCs w:val="22"/>
          <w:lang w:val="sr-Latn-RS"/>
        </w:rPr>
        <w:lastRenderedPageBreak/>
        <w:t>Spoljašnje pakovanje l</w:t>
      </w:r>
      <w:r w:rsidR="001B2CBA" w:rsidRPr="00E51051">
        <w:rPr>
          <w:sz w:val="22"/>
          <w:szCs w:val="22"/>
          <w:lang w:val="sr-Latn-RS"/>
        </w:rPr>
        <w:t>ij</w:t>
      </w:r>
      <w:r w:rsidRPr="00E51051">
        <w:rPr>
          <w:sz w:val="22"/>
          <w:szCs w:val="22"/>
          <w:lang w:val="sr-Latn-RS"/>
        </w:rPr>
        <w:t>eka je složiva kartonska kutija u kojoj se nalazi 10 bočica i Uputstvo za l</w:t>
      </w:r>
      <w:r w:rsidR="001B2CBA" w:rsidRPr="00E51051">
        <w:rPr>
          <w:sz w:val="22"/>
          <w:szCs w:val="22"/>
          <w:lang w:val="sr-Latn-RS"/>
        </w:rPr>
        <w:t>ij</w:t>
      </w:r>
      <w:r w:rsidRPr="00E51051">
        <w:rPr>
          <w:sz w:val="22"/>
          <w:szCs w:val="22"/>
          <w:lang w:val="sr-Latn-RS"/>
        </w:rPr>
        <w:t>ek.</w:t>
      </w:r>
    </w:p>
    <w:p w14:paraId="1BEA1139" w14:textId="77777777" w:rsidR="0072020E" w:rsidRPr="00E51051" w:rsidRDefault="0072020E" w:rsidP="00480FB1">
      <w:pPr>
        <w:tabs>
          <w:tab w:val="left" w:pos="540"/>
          <w:tab w:val="left" w:pos="569"/>
        </w:tabs>
        <w:rPr>
          <w:bCs/>
          <w:sz w:val="22"/>
          <w:szCs w:val="22"/>
          <w:lang w:val="sr-Latn-RS"/>
        </w:rPr>
      </w:pPr>
    </w:p>
    <w:p w14:paraId="7DA37632" w14:textId="0058535E" w:rsidR="002846DB" w:rsidRPr="00E51051" w:rsidRDefault="0072020E" w:rsidP="00187482">
      <w:pPr>
        <w:tabs>
          <w:tab w:val="left" w:pos="540"/>
          <w:tab w:val="left" w:pos="569"/>
        </w:tabs>
        <w:jc w:val="both"/>
        <w:rPr>
          <w:b/>
          <w:bCs/>
          <w:sz w:val="22"/>
          <w:szCs w:val="22"/>
          <w:lang w:val="sr-Latn-RS"/>
        </w:rPr>
      </w:pPr>
      <w:r w:rsidRPr="00E51051">
        <w:rPr>
          <w:b/>
          <w:bCs/>
          <w:sz w:val="22"/>
          <w:szCs w:val="22"/>
          <w:lang w:val="sr-Latn-RS"/>
        </w:rPr>
        <w:t xml:space="preserve">6.6. </w:t>
      </w:r>
      <w:r w:rsidR="00480FB1" w:rsidRPr="00E51051">
        <w:rPr>
          <w:b/>
          <w:bCs/>
          <w:sz w:val="22"/>
          <w:szCs w:val="22"/>
          <w:lang w:val="sr-Latn-RS"/>
        </w:rPr>
        <w:tab/>
      </w:r>
      <w:r w:rsidRPr="00E51051">
        <w:rPr>
          <w:b/>
          <w:bCs/>
          <w:color w:val="000000"/>
          <w:sz w:val="22"/>
          <w:szCs w:val="22"/>
          <w:lang w:val="sr-Latn-RS"/>
        </w:rPr>
        <w:t>Posebne mjere opreza pri odlaganju materijala koji treba odbaciti nakon primjene lijeka</w:t>
      </w:r>
      <w:r w:rsidRPr="00E51051">
        <w:rPr>
          <w:b/>
          <w:bCs/>
          <w:sz w:val="22"/>
          <w:szCs w:val="22"/>
          <w:lang w:val="sr-Latn-RS"/>
        </w:rPr>
        <w:t xml:space="preserve"> </w:t>
      </w:r>
      <w:r w:rsidR="00310F03" w:rsidRPr="00E51051">
        <w:rPr>
          <w:b/>
          <w:bCs/>
          <w:sz w:val="22"/>
          <w:szCs w:val="22"/>
          <w:lang w:val="sr-Latn-RS"/>
        </w:rPr>
        <w:t>(i druga uputs</w:t>
      </w:r>
      <w:r w:rsidR="004109FA" w:rsidRPr="00E51051">
        <w:rPr>
          <w:b/>
          <w:bCs/>
          <w:sz w:val="22"/>
          <w:szCs w:val="22"/>
          <w:lang w:val="sr-Latn-RS"/>
        </w:rPr>
        <w:t>t</w:t>
      </w:r>
      <w:r w:rsidR="00310F03" w:rsidRPr="00E51051">
        <w:rPr>
          <w:b/>
          <w:bCs/>
          <w:sz w:val="22"/>
          <w:szCs w:val="22"/>
          <w:lang w:val="sr-Latn-RS"/>
        </w:rPr>
        <w:t xml:space="preserve">va za rukovanje lijekom) </w:t>
      </w:r>
    </w:p>
    <w:p w14:paraId="5782F38C" w14:textId="77777777" w:rsidR="00BB1EA4" w:rsidRPr="00E51051" w:rsidRDefault="00BB1EA4" w:rsidP="00187482">
      <w:pPr>
        <w:tabs>
          <w:tab w:val="left" w:pos="540"/>
          <w:tab w:val="left" w:pos="569"/>
        </w:tabs>
        <w:jc w:val="both"/>
        <w:rPr>
          <w:b/>
          <w:bCs/>
          <w:sz w:val="22"/>
          <w:szCs w:val="22"/>
          <w:lang w:val="sr-Latn-RS"/>
        </w:rPr>
      </w:pPr>
    </w:p>
    <w:p w14:paraId="1D3BF36E" w14:textId="77777777" w:rsidR="00BB1EA4" w:rsidRPr="00E51051" w:rsidRDefault="00BB1EA4" w:rsidP="00187482">
      <w:pPr>
        <w:pStyle w:val="Header"/>
        <w:tabs>
          <w:tab w:val="left" w:pos="284"/>
        </w:tabs>
        <w:jc w:val="both"/>
        <w:rPr>
          <w:sz w:val="22"/>
          <w:szCs w:val="22"/>
          <w:lang w:val="sr-Latn-RS"/>
        </w:rPr>
      </w:pPr>
      <w:r w:rsidRPr="00E51051">
        <w:rPr>
          <w:sz w:val="22"/>
          <w:szCs w:val="22"/>
          <w:lang w:val="sr-Latn-RS"/>
        </w:rPr>
        <w:t>Jedna bočica je samo za jednokratnu upotrebu.</w:t>
      </w:r>
    </w:p>
    <w:p w14:paraId="1FF68533" w14:textId="77777777" w:rsidR="00BB1EA4" w:rsidRPr="00E51051" w:rsidRDefault="00BB1EA4" w:rsidP="00187482">
      <w:pPr>
        <w:pStyle w:val="Header"/>
        <w:tabs>
          <w:tab w:val="left" w:pos="284"/>
        </w:tabs>
        <w:jc w:val="both"/>
        <w:rPr>
          <w:sz w:val="22"/>
          <w:szCs w:val="22"/>
          <w:lang w:val="sr-Latn-RS"/>
        </w:rPr>
      </w:pPr>
    </w:p>
    <w:p w14:paraId="4F60BEE2" w14:textId="77777777" w:rsidR="00BB1EA4" w:rsidRPr="00E51051" w:rsidRDefault="00BB1EA4" w:rsidP="00187482">
      <w:pPr>
        <w:pStyle w:val="Header"/>
        <w:tabs>
          <w:tab w:val="left" w:pos="284"/>
        </w:tabs>
        <w:jc w:val="both"/>
        <w:rPr>
          <w:sz w:val="22"/>
          <w:szCs w:val="22"/>
          <w:lang w:val="sr-Latn-RS"/>
        </w:rPr>
      </w:pPr>
      <w:r w:rsidRPr="00E51051">
        <w:rPr>
          <w:sz w:val="22"/>
          <w:szCs w:val="22"/>
          <w:lang w:val="sr-Latn-RS"/>
        </w:rPr>
        <w:t>Kod pripreme rastvora za infuziju obavezno se pridržavati aseptičnog postupka pripreme.</w:t>
      </w:r>
    </w:p>
    <w:p w14:paraId="4D87B745" w14:textId="77777777" w:rsidR="00BB1EA4" w:rsidRPr="00E51051" w:rsidRDefault="00BB1EA4" w:rsidP="00187482">
      <w:pPr>
        <w:pStyle w:val="Header"/>
        <w:tabs>
          <w:tab w:val="left" w:pos="284"/>
        </w:tabs>
        <w:jc w:val="both"/>
        <w:rPr>
          <w:sz w:val="22"/>
          <w:szCs w:val="22"/>
          <w:lang w:val="sr-Latn-RS"/>
        </w:rPr>
      </w:pPr>
    </w:p>
    <w:p w14:paraId="6A8EC3BB" w14:textId="77777777" w:rsidR="00BB1EA4" w:rsidRPr="00E51051" w:rsidRDefault="00BB1EA4" w:rsidP="00187482">
      <w:pPr>
        <w:pStyle w:val="Header"/>
        <w:tabs>
          <w:tab w:val="left" w:pos="284"/>
        </w:tabs>
        <w:jc w:val="both"/>
        <w:rPr>
          <w:sz w:val="22"/>
          <w:szCs w:val="22"/>
          <w:u w:val="single"/>
          <w:lang w:val="sr-Latn-RS"/>
        </w:rPr>
      </w:pPr>
      <w:r w:rsidRPr="00E51051">
        <w:rPr>
          <w:sz w:val="22"/>
          <w:szCs w:val="22"/>
          <w:u w:val="single"/>
          <w:lang w:val="sr-Latn-RS"/>
        </w:rPr>
        <w:t>Priprema doza</w:t>
      </w:r>
    </w:p>
    <w:p w14:paraId="01F7CBD5" w14:textId="77777777" w:rsidR="00BB1EA4" w:rsidRPr="00E51051" w:rsidRDefault="00BB1EA4" w:rsidP="00187482">
      <w:pPr>
        <w:pStyle w:val="Header"/>
        <w:tabs>
          <w:tab w:val="left" w:pos="284"/>
        </w:tabs>
        <w:jc w:val="both"/>
        <w:rPr>
          <w:sz w:val="22"/>
          <w:szCs w:val="22"/>
          <w:lang w:val="sr-Latn-RS"/>
        </w:rPr>
      </w:pPr>
    </w:p>
    <w:p w14:paraId="1A535743" w14:textId="1021B365" w:rsidR="00BB1EA4" w:rsidRPr="00E51051" w:rsidRDefault="00BB1EA4" w:rsidP="00187482">
      <w:pPr>
        <w:pStyle w:val="Header"/>
        <w:tabs>
          <w:tab w:val="left" w:pos="284"/>
        </w:tabs>
        <w:jc w:val="both"/>
        <w:rPr>
          <w:sz w:val="22"/>
          <w:szCs w:val="22"/>
          <w:lang w:val="sr-Latn-RS"/>
        </w:rPr>
      </w:pPr>
      <w:r w:rsidRPr="00E51051">
        <w:rPr>
          <w:sz w:val="22"/>
          <w:szCs w:val="22"/>
          <w:lang w:val="sr-Latn-RS"/>
        </w:rPr>
        <w:t>Prašak za koncentrat za rastvor za infuziju za jednu bočicu se rekonstituiše sa 10</w:t>
      </w:r>
      <w:r w:rsidR="00157168" w:rsidRPr="00E51051">
        <w:rPr>
          <w:sz w:val="22"/>
          <w:szCs w:val="22"/>
          <w:lang w:val="sr-Latn-RS"/>
        </w:rPr>
        <w:t xml:space="preserve"> ml </w:t>
      </w:r>
      <w:r w:rsidRPr="00E51051">
        <w:rPr>
          <w:sz w:val="22"/>
          <w:szCs w:val="22"/>
          <w:lang w:val="sr-Latn-RS"/>
        </w:rPr>
        <w:t>vode za injekcije ili rastvora za injekciju natrijum</w:t>
      </w:r>
      <w:r w:rsidR="004D1830" w:rsidRPr="00E51051">
        <w:rPr>
          <w:sz w:val="22"/>
          <w:szCs w:val="22"/>
          <w:lang w:val="sr-Latn-RS"/>
        </w:rPr>
        <w:t xml:space="preserve"> </w:t>
      </w:r>
      <w:r w:rsidRPr="00E51051">
        <w:rPr>
          <w:sz w:val="22"/>
          <w:szCs w:val="22"/>
          <w:lang w:val="sr-Latn-RS"/>
        </w:rPr>
        <w:t>hlorida od 9 mg</w:t>
      </w:r>
      <w:r w:rsidR="00157168" w:rsidRPr="00E51051">
        <w:rPr>
          <w:sz w:val="22"/>
          <w:szCs w:val="22"/>
          <w:lang w:val="sr-Latn-RS"/>
        </w:rPr>
        <w:t xml:space="preserve"> /ml</w:t>
      </w:r>
      <w:r w:rsidRPr="00E51051">
        <w:rPr>
          <w:sz w:val="22"/>
          <w:szCs w:val="22"/>
          <w:lang w:val="sr-Latn-RS"/>
        </w:rPr>
        <w:t xml:space="preserve"> (0,9%) po bočici; nakon rekonstitucije bočicu treba n</w:t>
      </w:r>
      <w:r w:rsidR="001B2CBA" w:rsidRPr="00E51051">
        <w:rPr>
          <w:sz w:val="22"/>
          <w:szCs w:val="22"/>
          <w:lang w:val="sr-Latn-RS"/>
        </w:rPr>
        <w:t>j</w:t>
      </w:r>
      <w:r w:rsidRPr="00E51051">
        <w:rPr>
          <w:sz w:val="22"/>
          <w:szCs w:val="22"/>
          <w:lang w:val="sr-Latn-RS"/>
        </w:rPr>
        <w:t>ežno protresti kako bi se prašak rastvorio. Finalna zapremina iznosi približno 11,4</w:t>
      </w:r>
      <w:r w:rsidR="00157168" w:rsidRPr="00E51051">
        <w:rPr>
          <w:sz w:val="22"/>
          <w:szCs w:val="22"/>
          <w:lang w:val="sr-Latn-RS"/>
        </w:rPr>
        <w:t xml:space="preserve"> ml </w:t>
      </w:r>
      <w:r w:rsidRPr="00E51051">
        <w:rPr>
          <w:sz w:val="22"/>
          <w:szCs w:val="22"/>
          <w:lang w:val="sr-Latn-RS"/>
        </w:rPr>
        <w:t>po bočici. Dobijena koncentracija je približno 132 mg</w:t>
      </w:r>
      <w:r w:rsidR="00157168" w:rsidRPr="00E51051">
        <w:rPr>
          <w:sz w:val="22"/>
          <w:szCs w:val="22"/>
          <w:lang w:val="sr-Latn-RS"/>
        </w:rPr>
        <w:t xml:space="preserve"> /ml</w:t>
      </w:r>
      <w:r w:rsidRPr="00E51051">
        <w:rPr>
          <w:sz w:val="22"/>
          <w:szCs w:val="22"/>
          <w:lang w:val="sr-Latn-RS"/>
        </w:rPr>
        <w:t xml:space="preserve"> (88 mg</w:t>
      </w:r>
      <w:r w:rsidR="00157168" w:rsidRPr="00E51051">
        <w:rPr>
          <w:sz w:val="22"/>
          <w:szCs w:val="22"/>
          <w:lang w:val="sr-Latn-RS"/>
        </w:rPr>
        <w:t>/ml</w:t>
      </w:r>
      <w:r w:rsidRPr="00E51051">
        <w:rPr>
          <w:sz w:val="22"/>
          <w:szCs w:val="22"/>
          <w:lang w:val="sr-Latn-RS"/>
        </w:rPr>
        <w:t xml:space="preserve"> ceftolozana i 44 mg</w:t>
      </w:r>
      <w:r w:rsidR="00157168" w:rsidRPr="00E51051">
        <w:rPr>
          <w:sz w:val="22"/>
          <w:szCs w:val="22"/>
          <w:lang w:val="sr-Latn-RS"/>
        </w:rPr>
        <w:t>/ml</w:t>
      </w:r>
      <w:r w:rsidRPr="00E51051">
        <w:rPr>
          <w:sz w:val="22"/>
          <w:szCs w:val="22"/>
          <w:lang w:val="sr-Latn-RS"/>
        </w:rPr>
        <w:t xml:space="preserve"> tazobaktama) po bočici.</w:t>
      </w:r>
    </w:p>
    <w:p w14:paraId="0A47779E" w14:textId="77777777" w:rsidR="00BB1EA4" w:rsidRPr="00E51051" w:rsidRDefault="00BB1EA4" w:rsidP="00187482">
      <w:pPr>
        <w:pStyle w:val="Header"/>
        <w:tabs>
          <w:tab w:val="left" w:pos="284"/>
        </w:tabs>
        <w:jc w:val="both"/>
        <w:rPr>
          <w:sz w:val="22"/>
          <w:szCs w:val="22"/>
          <w:lang w:val="sr-Latn-RS"/>
        </w:rPr>
      </w:pPr>
    </w:p>
    <w:p w14:paraId="72C49D72" w14:textId="6FD9BA4D" w:rsidR="00BB1EA4" w:rsidRPr="00E51051" w:rsidRDefault="00BB1EA4" w:rsidP="00187482">
      <w:pPr>
        <w:tabs>
          <w:tab w:val="left" w:pos="567"/>
        </w:tabs>
        <w:jc w:val="both"/>
        <w:rPr>
          <w:sz w:val="22"/>
          <w:szCs w:val="22"/>
          <w:lang w:val="sr-Latn-RS"/>
        </w:rPr>
      </w:pPr>
      <w:r w:rsidRPr="00E51051">
        <w:rPr>
          <w:sz w:val="22"/>
          <w:szCs w:val="22"/>
          <w:lang w:val="sr-Latn-RS"/>
        </w:rPr>
        <w:t>PAŽNJA: REKONSTITUISANI RASTVOR NIJE NAM</w:t>
      </w:r>
      <w:r w:rsidR="001B2CBA" w:rsidRPr="00E51051">
        <w:rPr>
          <w:sz w:val="22"/>
          <w:szCs w:val="22"/>
          <w:lang w:val="sr-Latn-RS"/>
        </w:rPr>
        <w:t>IJ</w:t>
      </w:r>
      <w:r w:rsidRPr="00E51051">
        <w:rPr>
          <w:sz w:val="22"/>
          <w:szCs w:val="22"/>
          <w:lang w:val="sr-Latn-RS"/>
        </w:rPr>
        <w:t>ENJEN ZA DIREKTNO INJEKTOVANJE.</w:t>
      </w:r>
    </w:p>
    <w:p w14:paraId="7BD90F54" w14:textId="77777777" w:rsidR="00BB1EA4" w:rsidRPr="00E51051" w:rsidRDefault="00BB1EA4" w:rsidP="00187482">
      <w:pPr>
        <w:tabs>
          <w:tab w:val="left" w:pos="567"/>
        </w:tabs>
        <w:jc w:val="both"/>
        <w:rPr>
          <w:sz w:val="22"/>
          <w:szCs w:val="22"/>
          <w:lang w:val="sr-Latn-RS"/>
        </w:rPr>
      </w:pPr>
    </w:p>
    <w:p w14:paraId="512DFF87" w14:textId="3E7D470D" w:rsidR="00BB1EA4" w:rsidRPr="00E51051" w:rsidRDefault="00BB1EA4" w:rsidP="00187482">
      <w:pPr>
        <w:pStyle w:val="Header"/>
        <w:tabs>
          <w:tab w:val="left" w:pos="284"/>
        </w:tabs>
        <w:jc w:val="both"/>
        <w:rPr>
          <w:sz w:val="22"/>
          <w:szCs w:val="22"/>
          <w:lang w:val="sr-Latn-RS"/>
        </w:rPr>
      </w:pPr>
      <w:r w:rsidRPr="00E51051">
        <w:rPr>
          <w:sz w:val="22"/>
          <w:szCs w:val="22"/>
          <w:lang w:val="sr-Latn-RS"/>
        </w:rPr>
        <w:t>Rastvor za infuziju l</w:t>
      </w:r>
      <w:r w:rsidR="001B2CBA" w:rsidRPr="00E51051">
        <w:rPr>
          <w:sz w:val="22"/>
          <w:szCs w:val="22"/>
          <w:lang w:val="sr-Latn-RS"/>
        </w:rPr>
        <w:t>ij</w:t>
      </w:r>
      <w:r w:rsidRPr="00E51051">
        <w:rPr>
          <w:sz w:val="22"/>
          <w:szCs w:val="22"/>
          <w:lang w:val="sr-Latn-RS"/>
        </w:rPr>
        <w:t>eka ZERBAXA je bistar i bezbojan do sv</w:t>
      </w:r>
      <w:r w:rsidR="001B2CBA" w:rsidRPr="00E51051">
        <w:rPr>
          <w:sz w:val="22"/>
          <w:szCs w:val="22"/>
          <w:lang w:val="sr-Latn-RS"/>
        </w:rPr>
        <w:t>ij</w:t>
      </w:r>
      <w:r w:rsidRPr="00E51051">
        <w:rPr>
          <w:sz w:val="22"/>
          <w:szCs w:val="22"/>
          <w:lang w:val="sr-Latn-RS"/>
        </w:rPr>
        <w:t>etložute boje.</w:t>
      </w:r>
    </w:p>
    <w:p w14:paraId="5309A515" w14:textId="77777777" w:rsidR="00BB1EA4" w:rsidRPr="00E51051" w:rsidRDefault="00BB1EA4" w:rsidP="00187482">
      <w:pPr>
        <w:pStyle w:val="Header"/>
        <w:tabs>
          <w:tab w:val="left" w:pos="284"/>
        </w:tabs>
        <w:jc w:val="both"/>
        <w:rPr>
          <w:sz w:val="22"/>
          <w:szCs w:val="22"/>
          <w:lang w:val="sr-Latn-RS"/>
        </w:rPr>
      </w:pPr>
    </w:p>
    <w:p w14:paraId="340EFAA9" w14:textId="21A51F4B" w:rsidR="00BB1EA4" w:rsidRPr="00E51051" w:rsidRDefault="00BB1EA4" w:rsidP="00187482">
      <w:pPr>
        <w:pStyle w:val="Header"/>
        <w:tabs>
          <w:tab w:val="left" w:pos="284"/>
        </w:tabs>
        <w:jc w:val="both"/>
        <w:rPr>
          <w:sz w:val="22"/>
          <w:szCs w:val="22"/>
          <w:lang w:val="sr-Latn-RS"/>
        </w:rPr>
      </w:pPr>
      <w:r w:rsidRPr="00E51051">
        <w:rPr>
          <w:sz w:val="22"/>
          <w:szCs w:val="22"/>
          <w:lang w:val="sr-Latn-RS"/>
        </w:rPr>
        <w:t>Varijacije u boji unutar tog raspona ne utiču na jačinu l</w:t>
      </w:r>
      <w:r w:rsidR="001B2CBA" w:rsidRPr="00E51051">
        <w:rPr>
          <w:sz w:val="22"/>
          <w:szCs w:val="22"/>
          <w:lang w:val="sr-Latn-RS"/>
        </w:rPr>
        <w:t>ij</w:t>
      </w:r>
      <w:r w:rsidRPr="00E51051">
        <w:rPr>
          <w:sz w:val="22"/>
          <w:szCs w:val="22"/>
          <w:lang w:val="sr-Latn-RS"/>
        </w:rPr>
        <w:t>eka.</w:t>
      </w:r>
    </w:p>
    <w:p w14:paraId="3DB2EBAE" w14:textId="77777777" w:rsidR="00BB1EA4" w:rsidRPr="00E51051" w:rsidRDefault="00BB1EA4" w:rsidP="00187482">
      <w:pPr>
        <w:pStyle w:val="Header"/>
        <w:tabs>
          <w:tab w:val="left" w:pos="284"/>
        </w:tabs>
        <w:jc w:val="both"/>
        <w:rPr>
          <w:sz w:val="22"/>
          <w:szCs w:val="22"/>
          <w:lang w:val="sr-Latn-RS"/>
        </w:rPr>
      </w:pPr>
    </w:p>
    <w:p w14:paraId="1408343A" w14:textId="7C60C916" w:rsidR="00BB1EA4" w:rsidRPr="00E51051" w:rsidRDefault="00BB1EA4" w:rsidP="00187482">
      <w:pPr>
        <w:pStyle w:val="Header"/>
        <w:jc w:val="both"/>
        <w:rPr>
          <w:sz w:val="22"/>
          <w:szCs w:val="22"/>
          <w:lang w:val="sr-Latn-RS"/>
        </w:rPr>
      </w:pPr>
      <w:r w:rsidRPr="00E51051">
        <w:rPr>
          <w:sz w:val="22"/>
          <w:szCs w:val="22"/>
          <w:lang w:val="sr-Latn-RS"/>
        </w:rPr>
        <w:t>Vid</w:t>
      </w:r>
      <w:r w:rsidR="001B2CBA" w:rsidRPr="00E51051">
        <w:rPr>
          <w:sz w:val="22"/>
          <w:szCs w:val="22"/>
          <w:lang w:val="sr-Latn-RS"/>
        </w:rPr>
        <w:t>j</w:t>
      </w:r>
      <w:r w:rsidRPr="00E51051">
        <w:rPr>
          <w:sz w:val="22"/>
          <w:szCs w:val="22"/>
          <w:lang w:val="sr-Latn-RS"/>
        </w:rPr>
        <w:t xml:space="preserve">eti </w:t>
      </w:r>
      <w:r w:rsidR="004D1830" w:rsidRPr="00E51051">
        <w:rPr>
          <w:sz w:val="22"/>
          <w:szCs w:val="22"/>
          <w:lang w:val="sr-Latn-RS"/>
        </w:rPr>
        <w:t xml:space="preserve">dio </w:t>
      </w:r>
      <w:r w:rsidRPr="00E51051">
        <w:rPr>
          <w:sz w:val="22"/>
          <w:szCs w:val="22"/>
          <w:lang w:val="sr-Latn-RS"/>
        </w:rPr>
        <w:t>4.2 za preporučene režime doziranja l</w:t>
      </w:r>
      <w:r w:rsidR="001B2CBA" w:rsidRPr="00E51051">
        <w:rPr>
          <w:sz w:val="22"/>
          <w:szCs w:val="22"/>
          <w:lang w:val="sr-Latn-RS"/>
        </w:rPr>
        <w:t>ij</w:t>
      </w:r>
      <w:r w:rsidRPr="00E51051">
        <w:rPr>
          <w:sz w:val="22"/>
          <w:szCs w:val="22"/>
          <w:lang w:val="sr-Latn-RS"/>
        </w:rPr>
        <w:t>eka ZERBAXA na osnovu indikacije i funkcije bubrega. Priprema svake doze prikazana je u nastavku teksta.</w:t>
      </w:r>
    </w:p>
    <w:p w14:paraId="19C84986" w14:textId="77777777" w:rsidR="00BB1EA4" w:rsidRPr="00E51051" w:rsidRDefault="00BB1EA4" w:rsidP="00187482">
      <w:pPr>
        <w:pStyle w:val="Header"/>
        <w:jc w:val="both"/>
        <w:rPr>
          <w:sz w:val="22"/>
          <w:szCs w:val="22"/>
          <w:lang w:val="sr-Latn-RS"/>
        </w:rPr>
      </w:pPr>
    </w:p>
    <w:p w14:paraId="33B952DA" w14:textId="77777777" w:rsidR="00BB1EA4" w:rsidRPr="00E51051" w:rsidRDefault="00BB1EA4" w:rsidP="00187482">
      <w:pPr>
        <w:pStyle w:val="Header"/>
        <w:jc w:val="both"/>
        <w:rPr>
          <w:sz w:val="22"/>
          <w:szCs w:val="22"/>
          <w:lang w:val="sr-Latn-RS"/>
        </w:rPr>
      </w:pPr>
      <w:r w:rsidRPr="00E51051">
        <w:rPr>
          <w:sz w:val="22"/>
          <w:szCs w:val="22"/>
          <w:lang w:val="sr-Latn-RS"/>
        </w:rPr>
        <w:t>Uputstvo za pripremu doza za odrasle u INFUZIONOJ KESI:</w:t>
      </w:r>
    </w:p>
    <w:p w14:paraId="67AC3F5F" w14:textId="77777777" w:rsidR="00BB1EA4" w:rsidRPr="00E51051" w:rsidRDefault="00BB1EA4" w:rsidP="00187482">
      <w:pPr>
        <w:pStyle w:val="Header"/>
        <w:jc w:val="both"/>
        <w:rPr>
          <w:sz w:val="22"/>
          <w:szCs w:val="22"/>
          <w:lang w:val="sr-Latn-RS"/>
        </w:rPr>
      </w:pPr>
    </w:p>
    <w:p w14:paraId="560818F8" w14:textId="280F5072" w:rsidR="00BB1EA4" w:rsidRPr="00E51051" w:rsidRDefault="00BB1EA4" w:rsidP="00187482">
      <w:pPr>
        <w:pStyle w:val="Header"/>
        <w:jc w:val="both"/>
        <w:rPr>
          <w:sz w:val="22"/>
          <w:szCs w:val="22"/>
          <w:lang w:val="sr-Latn-RS"/>
        </w:rPr>
      </w:pPr>
      <w:r w:rsidRPr="00E51051">
        <w:rPr>
          <w:sz w:val="22"/>
          <w:szCs w:val="22"/>
          <w:lang w:val="sr-Latn-RS"/>
        </w:rPr>
        <w:t>Za pripremu doze od 2 g ceftolozana/1 g tazobaktama: pomoću šprica izvucite sav rekonstituisani sadržaj iz dv</w:t>
      </w:r>
      <w:r w:rsidR="004D1830" w:rsidRPr="00E51051">
        <w:rPr>
          <w:sz w:val="22"/>
          <w:szCs w:val="22"/>
          <w:lang w:val="sr-Latn-RS"/>
        </w:rPr>
        <w:t>ij</w:t>
      </w:r>
      <w:r w:rsidRPr="00E51051">
        <w:rPr>
          <w:sz w:val="22"/>
          <w:szCs w:val="22"/>
          <w:lang w:val="sr-Latn-RS"/>
        </w:rPr>
        <w:t>e bočice (približno 11,4</w:t>
      </w:r>
      <w:r w:rsidR="00157168" w:rsidRPr="00E51051">
        <w:rPr>
          <w:sz w:val="22"/>
          <w:szCs w:val="22"/>
          <w:lang w:val="sr-Latn-RS"/>
        </w:rPr>
        <w:t xml:space="preserve"> ml </w:t>
      </w:r>
      <w:r w:rsidRPr="00E51051">
        <w:rPr>
          <w:sz w:val="22"/>
          <w:szCs w:val="22"/>
          <w:lang w:val="sr-Latn-RS"/>
        </w:rPr>
        <w:t>po bočici) i dodajte ga u infuzionu kesu koja sadrži 100</w:t>
      </w:r>
      <w:r w:rsidR="00157168" w:rsidRPr="00E51051">
        <w:rPr>
          <w:sz w:val="22"/>
          <w:szCs w:val="22"/>
          <w:lang w:val="sr-Latn-RS"/>
        </w:rPr>
        <w:t xml:space="preserve"> ml </w:t>
      </w:r>
      <w:r w:rsidRPr="00E51051">
        <w:rPr>
          <w:sz w:val="22"/>
          <w:szCs w:val="22"/>
          <w:lang w:val="sr-Latn-RS"/>
        </w:rPr>
        <w:t>0,9%-tnog rastvora za injekciju natrijum</w:t>
      </w:r>
      <w:r w:rsidR="004D1830" w:rsidRPr="00E51051">
        <w:rPr>
          <w:sz w:val="22"/>
          <w:szCs w:val="22"/>
          <w:lang w:val="sr-Latn-RS"/>
        </w:rPr>
        <w:t xml:space="preserve"> </w:t>
      </w:r>
      <w:r w:rsidRPr="00E51051">
        <w:rPr>
          <w:sz w:val="22"/>
          <w:szCs w:val="22"/>
          <w:lang w:val="sr-Latn-RS"/>
        </w:rPr>
        <w:t>hlorida (fiziološki rastvor) ili 5%-tnog rastvora za injekciju glukoze.</w:t>
      </w:r>
    </w:p>
    <w:p w14:paraId="0FB2CCCB" w14:textId="77777777" w:rsidR="00BB1EA4" w:rsidRPr="00E51051" w:rsidRDefault="00BB1EA4" w:rsidP="00187482">
      <w:pPr>
        <w:pStyle w:val="Header"/>
        <w:tabs>
          <w:tab w:val="left" w:pos="284"/>
        </w:tabs>
        <w:jc w:val="both"/>
        <w:rPr>
          <w:sz w:val="22"/>
          <w:szCs w:val="22"/>
          <w:lang w:val="sr-Latn-RS"/>
        </w:rPr>
      </w:pPr>
    </w:p>
    <w:p w14:paraId="59675466" w14:textId="6E8DFE34" w:rsidR="00BB1EA4" w:rsidRPr="00E51051" w:rsidRDefault="00BB1EA4" w:rsidP="00187482">
      <w:pPr>
        <w:pStyle w:val="Header"/>
        <w:jc w:val="both"/>
        <w:rPr>
          <w:sz w:val="22"/>
          <w:szCs w:val="22"/>
          <w:lang w:val="sr-Latn-RS"/>
        </w:rPr>
      </w:pPr>
      <w:r w:rsidRPr="00E51051">
        <w:rPr>
          <w:sz w:val="22"/>
          <w:szCs w:val="22"/>
          <w:lang w:val="sr-Latn-RS"/>
        </w:rPr>
        <w:t>Za pripremu doze od 1,5 g ceftolozana/0,75 g tazobaktama: pomoću šprica izvucite sav rekonstituisani sadržaj iz jedne bočice (približno 11,4</w:t>
      </w:r>
      <w:r w:rsidR="00157168" w:rsidRPr="00E51051">
        <w:rPr>
          <w:sz w:val="22"/>
          <w:szCs w:val="22"/>
          <w:lang w:val="sr-Latn-RS"/>
        </w:rPr>
        <w:t xml:space="preserve"> ml </w:t>
      </w:r>
      <w:r w:rsidRPr="00E51051">
        <w:rPr>
          <w:sz w:val="22"/>
          <w:szCs w:val="22"/>
          <w:lang w:val="sr-Latn-RS"/>
        </w:rPr>
        <w:t>po bočici) i 5,7</w:t>
      </w:r>
      <w:r w:rsidR="00157168" w:rsidRPr="00E51051">
        <w:rPr>
          <w:sz w:val="22"/>
          <w:szCs w:val="22"/>
          <w:lang w:val="sr-Latn-RS"/>
        </w:rPr>
        <w:t xml:space="preserve"> ml </w:t>
      </w:r>
      <w:r w:rsidRPr="00E51051">
        <w:rPr>
          <w:sz w:val="22"/>
          <w:szCs w:val="22"/>
          <w:lang w:val="sr-Latn-RS"/>
        </w:rPr>
        <w:t>rekonstituisanog sadržaja iz druge bočice i dodajte ga u infuzionu kesu koja sadrži 100</w:t>
      </w:r>
      <w:r w:rsidR="00157168" w:rsidRPr="00E51051">
        <w:rPr>
          <w:sz w:val="22"/>
          <w:szCs w:val="22"/>
          <w:lang w:val="sr-Latn-RS"/>
        </w:rPr>
        <w:t xml:space="preserve"> ml </w:t>
      </w:r>
      <w:r w:rsidRPr="00E51051">
        <w:rPr>
          <w:sz w:val="22"/>
          <w:szCs w:val="22"/>
          <w:lang w:val="sr-Latn-RS"/>
        </w:rPr>
        <w:t>0,9%-tnog rastvora za injekciju natrijum</w:t>
      </w:r>
      <w:r w:rsidR="004D1830" w:rsidRPr="00E51051">
        <w:rPr>
          <w:sz w:val="22"/>
          <w:szCs w:val="22"/>
          <w:lang w:val="sr-Latn-RS"/>
        </w:rPr>
        <w:t xml:space="preserve"> </w:t>
      </w:r>
      <w:r w:rsidRPr="00E51051">
        <w:rPr>
          <w:sz w:val="22"/>
          <w:szCs w:val="22"/>
          <w:lang w:val="sr-Latn-RS"/>
        </w:rPr>
        <w:t>hlorida (fiziološki rastvor) ili 5%-tnog rastvora za injekciju glukoze.</w:t>
      </w:r>
    </w:p>
    <w:p w14:paraId="6C1D9FEC" w14:textId="77777777" w:rsidR="00BB1EA4" w:rsidRPr="00E51051" w:rsidRDefault="00BB1EA4" w:rsidP="00187482">
      <w:pPr>
        <w:pStyle w:val="Header"/>
        <w:tabs>
          <w:tab w:val="left" w:pos="284"/>
        </w:tabs>
        <w:jc w:val="both"/>
        <w:rPr>
          <w:sz w:val="22"/>
          <w:szCs w:val="22"/>
          <w:lang w:val="sr-Latn-RS"/>
        </w:rPr>
      </w:pPr>
    </w:p>
    <w:p w14:paraId="478D1CE4" w14:textId="585DF418" w:rsidR="00BB1EA4" w:rsidRPr="00E51051" w:rsidRDefault="00BB1EA4" w:rsidP="00187482">
      <w:pPr>
        <w:pStyle w:val="Header"/>
        <w:tabs>
          <w:tab w:val="left" w:pos="284"/>
        </w:tabs>
        <w:jc w:val="both"/>
        <w:rPr>
          <w:sz w:val="22"/>
          <w:szCs w:val="22"/>
          <w:lang w:val="sr-Latn-RS"/>
        </w:rPr>
      </w:pPr>
      <w:r w:rsidRPr="00E51051">
        <w:rPr>
          <w:sz w:val="22"/>
          <w:szCs w:val="22"/>
          <w:lang w:val="sr-Latn-RS"/>
        </w:rPr>
        <w:t>Za pripremu doze od 1 g ceftolozana/0,5 g tazobaktama: pomoću šprica izvucite sav rekonstituisani sadržaj (približno 11,4 m</w:t>
      </w:r>
      <w:r w:rsidR="00157168" w:rsidRPr="00E51051">
        <w:rPr>
          <w:sz w:val="22"/>
          <w:szCs w:val="22"/>
          <w:lang w:val="sr-Latn-RS"/>
        </w:rPr>
        <w:t>l</w:t>
      </w:r>
      <w:r w:rsidRPr="00E51051">
        <w:rPr>
          <w:sz w:val="22"/>
          <w:szCs w:val="22"/>
          <w:lang w:val="sr-Latn-RS"/>
        </w:rPr>
        <w:t>) iz bočice i dodajte ga u infuzionu kesu koja sadrži 100</w:t>
      </w:r>
      <w:r w:rsidR="00157168" w:rsidRPr="00E51051">
        <w:rPr>
          <w:sz w:val="22"/>
          <w:szCs w:val="22"/>
          <w:lang w:val="sr-Latn-RS"/>
        </w:rPr>
        <w:t xml:space="preserve"> ml </w:t>
      </w:r>
      <w:r w:rsidRPr="00E51051">
        <w:rPr>
          <w:sz w:val="22"/>
          <w:szCs w:val="22"/>
          <w:lang w:val="sr-Latn-RS"/>
        </w:rPr>
        <w:t>0,9%-tnog rastvora za injekciju natrijum</w:t>
      </w:r>
      <w:r w:rsidR="004D1830" w:rsidRPr="00E51051">
        <w:rPr>
          <w:sz w:val="22"/>
          <w:szCs w:val="22"/>
          <w:lang w:val="sr-Latn-RS"/>
        </w:rPr>
        <w:t xml:space="preserve"> </w:t>
      </w:r>
      <w:r w:rsidRPr="00E51051">
        <w:rPr>
          <w:sz w:val="22"/>
          <w:szCs w:val="22"/>
          <w:lang w:val="sr-Latn-RS"/>
        </w:rPr>
        <w:t>hlorida (fiziološki rastvor) ili 5%-tnog rastvora za injekciju glukoze.</w:t>
      </w:r>
    </w:p>
    <w:p w14:paraId="0B9A2FEC" w14:textId="77777777" w:rsidR="00BB1EA4" w:rsidRPr="00E51051" w:rsidRDefault="00BB1EA4" w:rsidP="00187482">
      <w:pPr>
        <w:pStyle w:val="Header"/>
        <w:tabs>
          <w:tab w:val="left" w:pos="284"/>
        </w:tabs>
        <w:jc w:val="both"/>
        <w:rPr>
          <w:sz w:val="22"/>
          <w:szCs w:val="22"/>
          <w:lang w:val="sr-Latn-RS"/>
        </w:rPr>
      </w:pPr>
    </w:p>
    <w:p w14:paraId="352D2316" w14:textId="276A2971" w:rsidR="00BB1EA4" w:rsidRPr="00E51051" w:rsidRDefault="00BB1EA4" w:rsidP="00187482">
      <w:pPr>
        <w:pStyle w:val="Header"/>
        <w:tabs>
          <w:tab w:val="left" w:pos="284"/>
        </w:tabs>
        <w:jc w:val="both"/>
        <w:rPr>
          <w:sz w:val="22"/>
          <w:szCs w:val="22"/>
          <w:lang w:val="sr-Latn-RS"/>
        </w:rPr>
      </w:pPr>
      <w:r w:rsidRPr="00E51051">
        <w:rPr>
          <w:sz w:val="22"/>
          <w:szCs w:val="22"/>
          <w:lang w:val="sr-Latn-RS"/>
        </w:rPr>
        <w:t>Za pripremu doze od 500 mg ceftolozana/250 mg tazobaktama: izvucite 5,7</w:t>
      </w:r>
      <w:r w:rsidR="00157168" w:rsidRPr="00E51051">
        <w:rPr>
          <w:sz w:val="22"/>
          <w:szCs w:val="22"/>
          <w:lang w:val="sr-Latn-RS"/>
        </w:rPr>
        <w:t xml:space="preserve"> ml </w:t>
      </w:r>
      <w:r w:rsidRPr="00E51051">
        <w:rPr>
          <w:sz w:val="22"/>
          <w:szCs w:val="22"/>
          <w:lang w:val="sr-Latn-RS"/>
        </w:rPr>
        <w:t>rekonstituisanog sadržaja iz bočice i dodajte ga u infuzionu kesu koja sadrži 100</w:t>
      </w:r>
      <w:r w:rsidR="00157168" w:rsidRPr="00E51051">
        <w:rPr>
          <w:sz w:val="22"/>
          <w:szCs w:val="22"/>
          <w:lang w:val="sr-Latn-RS"/>
        </w:rPr>
        <w:t xml:space="preserve"> ml </w:t>
      </w:r>
      <w:r w:rsidRPr="00E51051">
        <w:rPr>
          <w:sz w:val="22"/>
          <w:szCs w:val="22"/>
          <w:lang w:val="sr-Latn-RS"/>
        </w:rPr>
        <w:t>0,9%</w:t>
      </w:r>
      <w:r w:rsidRPr="00E51051">
        <w:rPr>
          <w:sz w:val="22"/>
          <w:szCs w:val="22"/>
          <w:lang w:val="sr-Latn-RS"/>
        </w:rPr>
        <w:noBreakHyphen/>
        <w:t>tnog rastvora za injekciju natrijum</w:t>
      </w:r>
      <w:r w:rsidR="004D1830" w:rsidRPr="00E51051">
        <w:rPr>
          <w:sz w:val="22"/>
          <w:szCs w:val="22"/>
          <w:lang w:val="sr-Latn-RS"/>
        </w:rPr>
        <w:t xml:space="preserve"> </w:t>
      </w:r>
      <w:r w:rsidRPr="00E51051">
        <w:rPr>
          <w:sz w:val="22"/>
          <w:szCs w:val="22"/>
          <w:lang w:val="sr-Latn-RS"/>
        </w:rPr>
        <w:t>hlorida (fiziološki rastvor) ili 5%</w:t>
      </w:r>
      <w:r w:rsidRPr="00E51051">
        <w:rPr>
          <w:sz w:val="22"/>
          <w:szCs w:val="22"/>
          <w:lang w:val="sr-Latn-RS"/>
        </w:rPr>
        <w:noBreakHyphen/>
        <w:t>tnog rastvora za injekciju glukoze.</w:t>
      </w:r>
    </w:p>
    <w:p w14:paraId="1FA7DF3B" w14:textId="77777777" w:rsidR="00BB1EA4" w:rsidRPr="00E51051" w:rsidRDefault="00BB1EA4" w:rsidP="00187482">
      <w:pPr>
        <w:pStyle w:val="Header"/>
        <w:tabs>
          <w:tab w:val="left" w:pos="284"/>
        </w:tabs>
        <w:jc w:val="both"/>
        <w:rPr>
          <w:sz w:val="22"/>
          <w:szCs w:val="22"/>
          <w:lang w:val="sr-Latn-RS"/>
        </w:rPr>
      </w:pPr>
    </w:p>
    <w:p w14:paraId="062BA4EB" w14:textId="2EC49D08" w:rsidR="00BB1EA4" w:rsidRPr="00E51051" w:rsidRDefault="00BB1EA4" w:rsidP="00187482">
      <w:pPr>
        <w:pStyle w:val="Header"/>
        <w:tabs>
          <w:tab w:val="left" w:pos="284"/>
        </w:tabs>
        <w:jc w:val="both"/>
        <w:rPr>
          <w:sz w:val="22"/>
          <w:szCs w:val="22"/>
          <w:lang w:val="sr-Latn-RS"/>
        </w:rPr>
      </w:pPr>
      <w:r w:rsidRPr="00E51051">
        <w:rPr>
          <w:sz w:val="22"/>
          <w:szCs w:val="22"/>
          <w:lang w:val="sr-Latn-RS"/>
        </w:rPr>
        <w:t>Za pripremu doze od 300 mg ceftolozana/150 mg tazobaktama: izvucite 3,5</w:t>
      </w:r>
      <w:r w:rsidR="00157168" w:rsidRPr="00E51051">
        <w:rPr>
          <w:sz w:val="22"/>
          <w:szCs w:val="22"/>
          <w:lang w:val="sr-Latn-RS"/>
        </w:rPr>
        <w:t xml:space="preserve"> ml </w:t>
      </w:r>
      <w:r w:rsidRPr="00E51051">
        <w:rPr>
          <w:sz w:val="22"/>
          <w:szCs w:val="22"/>
          <w:lang w:val="sr-Latn-RS"/>
        </w:rPr>
        <w:t>rekonstituisanog sadržaja iz bočice i dodajte ga u infuzionu kesu koja sadrži 100</w:t>
      </w:r>
      <w:r w:rsidR="00157168" w:rsidRPr="00E51051">
        <w:rPr>
          <w:sz w:val="22"/>
          <w:szCs w:val="22"/>
          <w:lang w:val="sr-Latn-RS"/>
        </w:rPr>
        <w:t xml:space="preserve"> ml </w:t>
      </w:r>
      <w:r w:rsidRPr="00E51051">
        <w:rPr>
          <w:sz w:val="22"/>
          <w:szCs w:val="22"/>
          <w:lang w:val="sr-Latn-RS"/>
        </w:rPr>
        <w:t>0,9%</w:t>
      </w:r>
      <w:r w:rsidRPr="00E51051">
        <w:rPr>
          <w:sz w:val="22"/>
          <w:szCs w:val="22"/>
          <w:lang w:val="sr-Latn-RS"/>
        </w:rPr>
        <w:noBreakHyphen/>
        <w:t>tnog rastvora za injekciju natrijum</w:t>
      </w:r>
      <w:r w:rsidR="004D1830" w:rsidRPr="00E51051">
        <w:rPr>
          <w:sz w:val="22"/>
          <w:szCs w:val="22"/>
          <w:lang w:val="sr-Latn-RS"/>
        </w:rPr>
        <w:t xml:space="preserve"> </w:t>
      </w:r>
      <w:r w:rsidRPr="00E51051">
        <w:rPr>
          <w:sz w:val="22"/>
          <w:szCs w:val="22"/>
          <w:lang w:val="sr-Latn-RS"/>
        </w:rPr>
        <w:t>hlorida (fiziološki rastvor) ili 5%</w:t>
      </w:r>
      <w:r w:rsidRPr="00E51051">
        <w:rPr>
          <w:sz w:val="22"/>
          <w:szCs w:val="22"/>
          <w:lang w:val="sr-Latn-RS"/>
        </w:rPr>
        <w:noBreakHyphen/>
        <w:t>tnog rastvora za injekciju glukoze.</w:t>
      </w:r>
    </w:p>
    <w:p w14:paraId="53626D9D" w14:textId="77777777" w:rsidR="00BB1EA4" w:rsidRPr="00E51051" w:rsidRDefault="00BB1EA4" w:rsidP="00187482">
      <w:pPr>
        <w:pStyle w:val="Header"/>
        <w:tabs>
          <w:tab w:val="left" w:pos="284"/>
        </w:tabs>
        <w:jc w:val="both"/>
        <w:rPr>
          <w:sz w:val="22"/>
          <w:szCs w:val="22"/>
          <w:lang w:val="sr-Latn-RS"/>
        </w:rPr>
      </w:pPr>
    </w:p>
    <w:p w14:paraId="0213FA41" w14:textId="47C91299" w:rsidR="00BB1EA4" w:rsidRPr="00E51051" w:rsidRDefault="00BB1EA4" w:rsidP="00187482">
      <w:pPr>
        <w:pStyle w:val="Header"/>
        <w:tabs>
          <w:tab w:val="left" w:pos="284"/>
        </w:tabs>
        <w:jc w:val="both"/>
        <w:rPr>
          <w:sz w:val="22"/>
          <w:szCs w:val="22"/>
          <w:lang w:val="sr-Latn-RS"/>
        </w:rPr>
      </w:pPr>
      <w:r w:rsidRPr="00E51051">
        <w:rPr>
          <w:sz w:val="22"/>
          <w:szCs w:val="22"/>
          <w:lang w:val="sr-Latn-RS"/>
        </w:rPr>
        <w:t>Za pripremu doze od 250 mg ceftolozana/125 mg tazobaktama: izvucite 2,9</w:t>
      </w:r>
      <w:r w:rsidR="00157168" w:rsidRPr="00E51051">
        <w:rPr>
          <w:sz w:val="22"/>
          <w:szCs w:val="22"/>
          <w:lang w:val="sr-Latn-RS"/>
        </w:rPr>
        <w:t xml:space="preserve"> ml </w:t>
      </w:r>
      <w:r w:rsidRPr="00E51051">
        <w:rPr>
          <w:sz w:val="22"/>
          <w:szCs w:val="22"/>
          <w:lang w:val="sr-Latn-RS"/>
        </w:rPr>
        <w:t>rekonstituisanog sadržaja iz bočice i dodajte ga u infuzionu kesu koja sadrži 100</w:t>
      </w:r>
      <w:r w:rsidR="00157168" w:rsidRPr="00E51051">
        <w:rPr>
          <w:sz w:val="22"/>
          <w:szCs w:val="22"/>
          <w:lang w:val="sr-Latn-RS"/>
        </w:rPr>
        <w:t xml:space="preserve"> ml </w:t>
      </w:r>
      <w:r w:rsidRPr="00E51051">
        <w:rPr>
          <w:sz w:val="22"/>
          <w:szCs w:val="22"/>
          <w:lang w:val="sr-Latn-RS"/>
        </w:rPr>
        <w:t>0,9%</w:t>
      </w:r>
      <w:r w:rsidRPr="00E51051">
        <w:rPr>
          <w:sz w:val="22"/>
          <w:szCs w:val="22"/>
          <w:lang w:val="sr-Latn-RS"/>
        </w:rPr>
        <w:noBreakHyphen/>
        <w:t>tnog rastvora za injekciju natrijum</w:t>
      </w:r>
      <w:r w:rsidR="004D1830" w:rsidRPr="00E51051">
        <w:rPr>
          <w:sz w:val="22"/>
          <w:szCs w:val="22"/>
          <w:lang w:val="sr-Latn-RS"/>
        </w:rPr>
        <w:t xml:space="preserve"> </w:t>
      </w:r>
      <w:r w:rsidRPr="00E51051">
        <w:rPr>
          <w:sz w:val="22"/>
          <w:szCs w:val="22"/>
          <w:lang w:val="sr-Latn-RS"/>
        </w:rPr>
        <w:t>hlorida (fiziološki rastvor) ili 5%-tnog rastvora za injekciju glukoze.</w:t>
      </w:r>
    </w:p>
    <w:p w14:paraId="53743766" w14:textId="77777777" w:rsidR="00BB1EA4" w:rsidRPr="00E51051" w:rsidRDefault="00BB1EA4" w:rsidP="00187482">
      <w:pPr>
        <w:pStyle w:val="Header"/>
        <w:tabs>
          <w:tab w:val="left" w:pos="284"/>
        </w:tabs>
        <w:jc w:val="both"/>
        <w:rPr>
          <w:sz w:val="22"/>
          <w:szCs w:val="22"/>
          <w:lang w:val="sr-Latn-RS"/>
        </w:rPr>
      </w:pPr>
    </w:p>
    <w:p w14:paraId="2C7E2F35" w14:textId="07DB577E" w:rsidR="00BB1EA4" w:rsidRPr="00E51051" w:rsidRDefault="00BB1EA4" w:rsidP="00187482">
      <w:pPr>
        <w:pStyle w:val="Header"/>
        <w:tabs>
          <w:tab w:val="left" w:pos="284"/>
        </w:tabs>
        <w:jc w:val="both"/>
        <w:rPr>
          <w:sz w:val="22"/>
          <w:szCs w:val="22"/>
          <w:lang w:val="sr-Latn-RS"/>
        </w:rPr>
      </w:pPr>
      <w:r w:rsidRPr="00E51051">
        <w:rPr>
          <w:sz w:val="22"/>
          <w:szCs w:val="22"/>
          <w:lang w:val="sr-Latn-RS"/>
        </w:rPr>
        <w:t>Za pripremu doze od 100 mg ceftolozana/50 mg tazobaktama: izvucite 1,2</w:t>
      </w:r>
      <w:r w:rsidR="00157168" w:rsidRPr="00E51051">
        <w:rPr>
          <w:sz w:val="22"/>
          <w:szCs w:val="22"/>
          <w:lang w:val="sr-Latn-RS"/>
        </w:rPr>
        <w:t xml:space="preserve"> ml </w:t>
      </w:r>
      <w:r w:rsidRPr="00E51051">
        <w:rPr>
          <w:sz w:val="22"/>
          <w:szCs w:val="22"/>
          <w:lang w:val="sr-Latn-RS"/>
        </w:rPr>
        <w:t>rekonstituisanog sadržaja iz bočice i dodajte ga u infuzionu kesu koja sadrži 100</w:t>
      </w:r>
      <w:r w:rsidR="00157168" w:rsidRPr="00E51051">
        <w:rPr>
          <w:sz w:val="22"/>
          <w:szCs w:val="22"/>
          <w:lang w:val="sr-Latn-RS"/>
        </w:rPr>
        <w:t xml:space="preserve"> ml </w:t>
      </w:r>
      <w:r w:rsidRPr="00E51051">
        <w:rPr>
          <w:sz w:val="22"/>
          <w:szCs w:val="22"/>
          <w:lang w:val="sr-Latn-RS"/>
        </w:rPr>
        <w:t>0,9%</w:t>
      </w:r>
      <w:r w:rsidRPr="00E51051">
        <w:rPr>
          <w:sz w:val="22"/>
          <w:szCs w:val="22"/>
          <w:lang w:val="sr-Latn-RS"/>
        </w:rPr>
        <w:noBreakHyphen/>
        <w:t>tnog rastvora za injekciju natrijum</w:t>
      </w:r>
      <w:r w:rsidR="004D1830" w:rsidRPr="00E51051">
        <w:rPr>
          <w:sz w:val="22"/>
          <w:szCs w:val="22"/>
          <w:lang w:val="sr-Latn-RS"/>
        </w:rPr>
        <w:t xml:space="preserve"> </w:t>
      </w:r>
      <w:r w:rsidRPr="00E51051">
        <w:rPr>
          <w:sz w:val="22"/>
          <w:szCs w:val="22"/>
          <w:lang w:val="sr-Latn-RS"/>
        </w:rPr>
        <w:t>hlorida (fiziološki rastvor) ili 5%-tnog rastvora za injekciju glukoze.</w:t>
      </w:r>
    </w:p>
    <w:p w14:paraId="7FE5C4FD" w14:textId="77777777" w:rsidR="00BB1EA4" w:rsidRPr="00E51051" w:rsidRDefault="00BB1EA4" w:rsidP="00187482">
      <w:pPr>
        <w:pStyle w:val="Header"/>
        <w:tabs>
          <w:tab w:val="left" w:pos="284"/>
        </w:tabs>
        <w:jc w:val="both"/>
        <w:rPr>
          <w:sz w:val="22"/>
          <w:szCs w:val="22"/>
          <w:lang w:val="sr-Latn-RS"/>
        </w:rPr>
      </w:pPr>
    </w:p>
    <w:p w14:paraId="2CC31BB7" w14:textId="77777777" w:rsidR="00BB1EA4" w:rsidRPr="00E51051" w:rsidRDefault="00BB1EA4" w:rsidP="00187482">
      <w:pPr>
        <w:pStyle w:val="Header"/>
        <w:jc w:val="both"/>
        <w:rPr>
          <w:sz w:val="22"/>
          <w:szCs w:val="22"/>
          <w:lang w:val="sr-Latn-RS"/>
        </w:rPr>
      </w:pPr>
      <w:bookmarkStart w:id="1" w:name="_Hlk118363581"/>
      <w:r w:rsidRPr="00E51051">
        <w:rPr>
          <w:sz w:val="22"/>
          <w:szCs w:val="22"/>
          <w:lang w:val="sr-Latn-RS"/>
        </w:rPr>
        <w:t>Uputstvo za pripremu pedijatrijskih doza u INFUZIONOJ KESI ili u INFUZIONOM ŠPRICU:</w:t>
      </w:r>
    </w:p>
    <w:p w14:paraId="540B146B" w14:textId="77777777" w:rsidR="00BB1EA4" w:rsidRPr="00E51051" w:rsidRDefault="00BB1EA4" w:rsidP="00187482">
      <w:pPr>
        <w:pStyle w:val="Header"/>
        <w:jc w:val="both"/>
        <w:rPr>
          <w:sz w:val="22"/>
          <w:szCs w:val="22"/>
          <w:lang w:val="sr-Latn-RS"/>
        </w:rPr>
      </w:pPr>
    </w:p>
    <w:p w14:paraId="481B3E03" w14:textId="5EF4D169" w:rsidR="00BB1EA4" w:rsidRPr="00E51051" w:rsidRDefault="00BB1EA4" w:rsidP="00187482">
      <w:pPr>
        <w:pStyle w:val="Header"/>
        <w:tabs>
          <w:tab w:val="left" w:pos="284"/>
        </w:tabs>
        <w:jc w:val="both"/>
        <w:rPr>
          <w:sz w:val="22"/>
          <w:szCs w:val="22"/>
          <w:lang w:val="sr-Latn-RS"/>
        </w:rPr>
      </w:pPr>
      <w:r w:rsidRPr="00E51051">
        <w:rPr>
          <w:sz w:val="22"/>
          <w:szCs w:val="22"/>
          <w:lang w:val="sr-Latn-RS"/>
        </w:rPr>
        <w:t>NAPOMENA: Sl</w:t>
      </w:r>
      <w:r w:rsidR="00903422" w:rsidRPr="00E51051">
        <w:rPr>
          <w:sz w:val="22"/>
          <w:szCs w:val="22"/>
          <w:lang w:val="sr-Latn-RS"/>
        </w:rPr>
        <w:t>j</w:t>
      </w:r>
      <w:r w:rsidRPr="00E51051">
        <w:rPr>
          <w:sz w:val="22"/>
          <w:szCs w:val="22"/>
          <w:lang w:val="sr-Latn-RS"/>
        </w:rPr>
        <w:t>edeća procedura opisuje korake za pripremu 100</w:t>
      </w:r>
      <w:r w:rsidR="00157168" w:rsidRPr="00E51051">
        <w:rPr>
          <w:sz w:val="22"/>
          <w:szCs w:val="22"/>
          <w:lang w:val="sr-Latn-RS"/>
        </w:rPr>
        <w:t xml:space="preserve"> ml </w:t>
      </w:r>
      <w:r w:rsidRPr="00E51051">
        <w:rPr>
          <w:sz w:val="22"/>
          <w:szCs w:val="22"/>
          <w:lang w:val="sr-Latn-RS"/>
        </w:rPr>
        <w:t>osnovnog rastvora sa konačnom koncentracijom od 10 mg</w:t>
      </w:r>
      <w:r w:rsidR="00157168" w:rsidRPr="00E51051">
        <w:rPr>
          <w:sz w:val="22"/>
          <w:szCs w:val="22"/>
          <w:lang w:val="sr-Latn-RS"/>
        </w:rPr>
        <w:t>/ml</w:t>
      </w:r>
      <w:r w:rsidRPr="00E51051">
        <w:rPr>
          <w:sz w:val="22"/>
          <w:szCs w:val="22"/>
          <w:lang w:val="sr-Latn-RS"/>
        </w:rPr>
        <w:t xml:space="preserve"> ceftolozana /5 mg</w:t>
      </w:r>
      <w:r w:rsidR="00157168" w:rsidRPr="00E51051">
        <w:rPr>
          <w:sz w:val="22"/>
          <w:szCs w:val="22"/>
          <w:lang w:val="sr-Latn-RS"/>
        </w:rPr>
        <w:t xml:space="preserve"> /ml</w:t>
      </w:r>
      <w:r w:rsidRPr="00E51051">
        <w:rPr>
          <w:sz w:val="22"/>
          <w:szCs w:val="22"/>
          <w:lang w:val="sr-Latn-RS"/>
        </w:rPr>
        <w:t xml:space="preserve"> tazobaktama. Zapremina osnovnog rastvora koji se daje pedijatrijskom pacijentu će se zasnivati na izračunavanju odgovarajuće doze na osnovu </w:t>
      </w:r>
      <w:r w:rsidR="005157CD" w:rsidRPr="00E51051">
        <w:rPr>
          <w:sz w:val="22"/>
          <w:szCs w:val="22"/>
          <w:lang w:val="sr-Latn-RS"/>
        </w:rPr>
        <w:t>tjelesne mase</w:t>
      </w:r>
      <w:r w:rsidRPr="00E51051">
        <w:rPr>
          <w:sz w:val="22"/>
          <w:szCs w:val="22"/>
          <w:lang w:val="sr-Latn-RS"/>
        </w:rPr>
        <w:t xml:space="preserve"> pacijenta (vid</w:t>
      </w:r>
      <w:r w:rsidR="00903422" w:rsidRPr="00E51051">
        <w:rPr>
          <w:sz w:val="22"/>
          <w:szCs w:val="22"/>
          <w:lang w:val="sr-Latn-RS"/>
        </w:rPr>
        <w:t>j</w:t>
      </w:r>
      <w:r w:rsidRPr="00E51051">
        <w:rPr>
          <w:sz w:val="22"/>
          <w:szCs w:val="22"/>
          <w:lang w:val="sr-Latn-RS"/>
        </w:rPr>
        <w:t xml:space="preserve">eti </w:t>
      </w:r>
      <w:r w:rsidR="004D1830" w:rsidRPr="00E51051">
        <w:rPr>
          <w:sz w:val="22"/>
          <w:szCs w:val="22"/>
          <w:lang w:val="sr-Latn-RS"/>
        </w:rPr>
        <w:t xml:space="preserve">dio </w:t>
      </w:r>
      <w:r w:rsidRPr="00E51051">
        <w:rPr>
          <w:sz w:val="22"/>
          <w:szCs w:val="22"/>
          <w:lang w:val="sr-Latn-RS"/>
        </w:rPr>
        <w:t>4.2). Dati su detaljni koraci i proračuni.</w:t>
      </w:r>
    </w:p>
    <w:p w14:paraId="5826DD91" w14:textId="77777777" w:rsidR="00BB1EA4" w:rsidRPr="00E51051" w:rsidRDefault="00BB1EA4" w:rsidP="00187482">
      <w:pPr>
        <w:pStyle w:val="Header"/>
        <w:tabs>
          <w:tab w:val="left" w:pos="284"/>
        </w:tabs>
        <w:jc w:val="both"/>
        <w:rPr>
          <w:sz w:val="22"/>
          <w:szCs w:val="22"/>
          <w:lang w:val="sr-Latn-RS"/>
        </w:rPr>
      </w:pPr>
    </w:p>
    <w:p w14:paraId="660EF3C4" w14:textId="2589A765" w:rsidR="00BB1EA4" w:rsidRPr="00E51051" w:rsidRDefault="00BB1EA4" w:rsidP="00187482">
      <w:pPr>
        <w:pStyle w:val="Header"/>
        <w:numPr>
          <w:ilvl w:val="0"/>
          <w:numId w:val="23"/>
        </w:numPr>
        <w:jc w:val="both"/>
        <w:rPr>
          <w:sz w:val="22"/>
          <w:szCs w:val="22"/>
          <w:lang w:val="sr-Latn-RS"/>
        </w:rPr>
      </w:pPr>
      <w:r w:rsidRPr="00E51051">
        <w:rPr>
          <w:sz w:val="22"/>
          <w:szCs w:val="22"/>
          <w:lang w:val="sr-Latn-RS"/>
        </w:rPr>
        <w:t>Priprema osnovnog rastvora (100</w:t>
      </w:r>
      <w:r w:rsidR="00157168" w:rsidRPr="00E51051">
        <w:rPr>
          <w:sz w:val="22"/>
          <w:szCs w:val="22"/>
          <w:lang w:val="sr-Latn-RS"/>
        </w:rPr>
        <w:t xml:space="preserve"> ml </w:t>
      </w:r>
      <w:r w:rsidRPr="00E51051">
        <w:rPr>
          <w:sz w:val="22"/>
          <w:szCs w:val="22"/>
          <w:lang w:val="sr-Latn-RS"/>
        </w:rPr>
        <w:t>rastvora koji sadrži 10 mg</w:t>
      </w:r>
      <w:r w:rsidR="00157168" w:rsidRPr="00E51051">
        <w:rPr>
          <w:sz w:val="22"/>
          <w:szCs w:val="22"/>
          <w:lang w:val="sr-Latn-RS"/>
        </w:rPr>
        <w:t>/ml</w:t>
      </w:r>
      <w:r w:rsidRPr="00E51051">
        <w:rPr>
          <w:sz w:val="22"/>
          <w:szCs w:val="22"/>
          <w:lang w:val="sr-Latn-RS"/>
        </w:rPr>
        <w:t xml:space="preserve"> ceftolozana/5 mg</w:t>
      </w:r>
      <w:r w:rsidR="00157168" w:rsidRPr="00E51051">
        <w:rPr>
          <w:sz w:val="22"/>
          <w:szCs w:val="22"/>
          <w:lang w:val="sr-Latn-RS"/>
        </w:rPr>
        <w:t>/ml</w:t>
      </w:r>
      <w:r w:rsidRPr="00E51051">
        <w:rPr>
          <w:sz w:val="22"/>
          <w:szCs w:val="22"/>
          <w:lang w:val="sr-Latn-RS"/>
        </w:rPr>
        <w:t xml:space="preserve"> tazobaktama): Pomoću šprica izvucite sav rekonstituisani sadržaj iz bočice (približno 11,4 m</w:t>
      </w:r>
      <w:r w:rsidR="00157168" w:rsidRPr="00E51051">
        <w:rPr>
          <w:sz w:val="22"/>
          <w:szCs w:val="22"/>
          <w:lang w:val="sr-Latn-RS"/>
        </w:rPr>
        <w:t>l</w:t>
      </w:r>
      <w:r w:rsidRPr="00E51051">
        <w:rPr>
          <w:sz w:val="22"/>
          <w:szCs w:val="22"/>
          <w:lang w:val="sr-Latn-RS"/>
        </w:rPr>
        <w:t>) i dodajte ga u infuzionu kesu koja sadrži 89</w:t>
      </w:r>
      <w:r w:rsidR="00157168" w:rsidRPr="00E51051">
        <w:rPr>
          <w:sz w:val="22"/>
          <w:szCs w:val="22"/>
          <w:lang w:val="sr-Latn-RS"/>
        </w:rPr>
        <w:t xml:space="preserve"> ml </w:t>
      </w:r>
      <w:r w:rsidRPr="00E51051">
        <w:rPr>
          <w:sz w:val="22"/>
          <w:szCs w:val="22"/>
          <w:lang w:val="sr-Latn-RS"/>
        </w:rPr>
        <w:t>0,9%-tnog rastvora za injekciju natrijum</w:t>
      </w:r>
      <w:r w:rsidR="004D1830" w:rsidRPr="00E51051">
        <w:rPr>
          <w:sz w:val="22"/>
          <w:szCs w:val="22"/>
          <w:lang w:val="sr-Latn-RS"/>
        </w:rPr>
        <w:t xml:space="preserve"> </w:t>
      </w:r>
      <w:r w:rsidRPr="00E51051">
        <w:rPr>
          <w:sz w:val="22"/>
          <w:szCs w:val="22"/>
          <w:lang w:val="sr-Latn-RS"/>
        </w:rPr>
        <w:t>hlorida (fiziološki rastvor) ili 5%-tnog rastvora za injekciju glukoze.</w:t>
      </w:r>
    </w:p>
    <w:p w14:paraId="66AA9C37" w14:textId="5B9A74E9" w:rsidR="00BB1EA4" w:rsidRPr="00E51051" w:rsidRDefault="00BB1EA4" w:rsidP="00187482">
      <w:pPr>
        <w:pStyle w:val="Header"/>
        <w:numPr>
          <w:ilvl w:val="0"/>
          <w:numId w:val="23"/>
        </w:numPr>
        <w:tabs>
          <w:tab w:val="left" w:pos="284"/>
        </w:tabs>
        <w:jc w:val="both"/>
        <w:rPr>
          <w:sz w:val="22"/>
          <w:szCs w:val="22"/>
          <w:lang w:val="sr-Latn-RS"/>
        </w:rPr>
      </w:pPr>
      <w:r w:rsidRPr="00E51051">
        <w:rPr>
          <w:sz w:val="22"/>
          <w:szCs w:val="22"/>
          <w:lang w:val="sr-Latn-RS"/>
        </w:rPr>
        <w:t>Priprema potrebne količine osnovnog rastvora za infuziju:</w:t>
      </w:r>
    </w:p>
    <w:p w14:paraId="3A37C70B" w14:textId="3C0E839E" w:rsidR="00BB1EA4" w:rsidRPr="00E51051" w:rsidRDefault="00BB1EA4" w:rsidP="00187482">
      <w:pPr>
        <w:pStyle w:val="Header"/>
        <w:numPr>
          <w:ilvl w:val="1"/>
          <w:numId w:val="23"/>
        </w:numPr>
        <w:jc w:val="both"/>
        <w:rPr>
          <w:sz w:val="22"/>
          <w:szCs w:val="22"/>
          <w:lang w:val="sr-Latn-RS"/>
        </w:rPr>
      </w:pPr>
      <w:r w:rsidRPr="00E51051">
        <w:rPr>
          <w:sz w:val="22"/>
          <w:szCs w:val="22"/>
          <w:lang w:val="sr-Latn-RS"/>
        </w:rPr>
        <w:t>Izračunajte odgovarajuću količinu l</w:t>
      </w:r>
      <w:r w:rsidR="00903422" w:rsidRPr="00E51051">
        <w:rPr>
          <w:sz w:val="22"/>
          <w:szCs w:val="22"/>
          <w:lang w:val="sr-Latn-RS"/>
        </w:rPr>
        <w:t>ij</w:t>
      </w:r>
      <w:r w:rsidRPr="00E51051">
        <w:rPr>
          <w:sz w:val="22"/>
          <w:szCs w:val="22"/>
          <w:lang w:val="sr-Latn-RS"/>
        </w:rPr>
        <w:t>eka ZERBAXA (u mg) za prim</w:t>
      </w:r>
      <w:r w:rsidR="00903422" w:rsidRPr="00E51051">
        <w:rPr>
          <w:sz w:val="22"/>
          <w:szCs w:val="22"/>
          <w:lang w:val="sr-Latn-RS"/>
        </w:rPr>
        <w:t>j</w:t>
      </w:r>
      <w:r w:rsidRPr="00E51051">
        <w:rPr>
          <w:sz w:val="22"/>
          <w:szCs w:val="22"/>
          <w:lang w:val="sr-Latn-RS"/>
        </w:rPr>
        <w:t>enu potrebne doze pedijatrijskom pacijentu. Na osnovu doze u mg, izračunajte odgovarajuću zapreminu osnovnog rastvora od 10 mg</w:t>
      </w:r>
      <w:r w:rsidR="00157168" w:rsidRPr="00E51051">
        <w:rPr>
          <w:sz w:val="22"/>
          <w:szCs w:val="22"/>
          <w:lang w:val="sr-Latn-RS"/>
        </w:rPr>
        <w:t>/ml</w:t>
      </w:r>
      <w:r w:rsidRPr="00E51051">
        <w:rPr>
          <w:sz w:val="22"/>
          <w:szCs w:val="22"/>
          <w:lang w:val="sr-Latn-RS"/>
        </w:rPr>
        <w:t xml:space="preserve"> ceftolozana/5 mg</w:t>
      </w:r>
      <w:r w:rsidR="00157168" w:rsidRPr="00E51051">
        <w:rPr>
          <w:sz w:val="22"/>
          <w:szCs w:val="22"/>
          <w:lang w:val="sr-Latn-RS"/>
        </w:rPr>
        <w:t>/ml</w:t>
      </w:r>
      <w:r w:rsidRPr="00E51051">
        <w:rPr>
          <w:sz w:val="22"/>
          <w:szCs w:val="22"/>
          <w:lang w:val="sr-Latn-RS"/>
        </w:rPr>
        <w:t xml:space="preserve"> tazobaktama koja će se prim</w:t>
      </w:r>
      <w:r w:rsidR="00903422" w:rsidRPr="00E51051">
        <w:rPr>
          <w:sz w:val="22"/>
          <w:szCs w:val="22"/>
          <w:lang w:val="sr-Latn-RS"/>
        </w:rPr>
        <w:t>ij</w:t>
      </w:r>
      <w:r w:rsidRPr="00E51051">
        <w:rPr>
          <w:sz w:val="22"/>
          <w:szCs w:val="22"/>
          <w:lang w:val="sr-Latn-RS"/>
        </w:rPr>
        <w:t>eniti. Vid</w:t>
      </w:r>
      <w:r w:rsidR="00903422" w:rsidRPr="00E51051">
        <w:rPr>
          <w:sz w:val="22"/>
          <w:szCs w:val="22"/>
          <w:lang w:val="sr-Latn-RS"/>
        </w:rPr>
        <w:t>j</w:t>
      </w:r>
      <w:r w:rsidRPr="00E51051">
        <w:rPr>
          <w:sz w:val="22"/>
          <w:szCs w:val="22"/>
          <w:lang w:val="sr-Latn-RS"/>
        </w:rPr>
        <w:t xml:space="preserve">eti </w:t>
      </w:r>
      <w:r w:rsidR="00E31BF0" w:rsidRPr="00E51051">
        <w:rPr>
          <w:sz w:val="22"/>
          <w:szCs w:val="22"/>
          <w:lang w:val="sr-Latn-RS"/>
        </w:rPr>
        <w:t>u nastavku</w:t>
      </w:r>
      <w:r w:rsidRPr="00E51051">
        <w:rPr>
          <w:sz w:val="22"/>
          <w:szCs w:val="22"/>
          <w:lang w:val="sr-Latn-RS"/>
        </w:rPr>
        <w:t xml:space="preserve"> tabelu 5 za potvrdu proračuna. Imajte u vidu da tabela NE sadrži sve moguće izračunate doze, ali se može koristiti za proc</w:t>
      </w:r>
      <w:r w:rsidR="00903422" w:rsidRPr="00E51051">
        <w:rPr>
          <w:sz w:val="22"/>
          <w:szCs w:val="22"/>
          <w:lang w:val="sr-Latn-RS"/>
        </w:rPr>
        <w:t>j</w:t>
      </w:r>
      <w:r w:rsidRPr="00E51051">
        <w:rPr>
          <w:sz w:val="22"/>
          <w:szCs w:val="22"/>
          <w:lang w:val="sr-Latn-RS"/>
        </w:rPr>
        <w:t>enu približne zapremine kako bi se potvrdio proračun.</w:t>
      </w:r>
    </w:p>
    <w:p w14:paraId="08DBBB67" w14:textId="14F8D203" w:rsidR="00BB1EA4" w:rsidRPr="00E51051" w:rsidRDefault="00BB1EA4" w:rsidP="00187482">
      <w:pPr>
        <w:pStyle w:val="Header"/>
        <w:numPr>
          <w:ilvl w:val="1"/>
          <w:numId w:val="23"/>
        </w:numPr>
        <w:tabs>
          <w:tab w:val="left" w:pos="284"/>
        </w:tabs>
        <w:jc w:val="both"/>
        <w:rPr>
          <w:sz w:val="22"/>
          <w:szCs w:val="22"/>
          <w:lang w:val="sr-Latn-RS"/>
        </w:rPr>
      </w:pPr>
      <w:r w:rsidRPr="00E51051">
        <w:rPr>
          <w:sz w:val="22"/>
          <w:szCs w:val="22"/>
          <w:lang w:val="sr-Latn-RS"/>
        </w:rPr>
        <w:t>Prenesite adekvatno izračunatu zapreminu osnovnog rastvora u infuzionu kesu ili infuzioni špric odgovarajuće veličine. Vr</w:t>
      </w:r>
      <w:r w:rsidR="00903422" w:rsidRPr="00E51051">
        <w:rPr>
          <w:sz w:val="22"/>
          <w:szCs w:val="22"/>
          <w:lang w:val="sr-Latn-RS"/>
        </w:rPr>
        <w:t>ij</w:t>
      </w:r>
      <w:r w:rsidRPr="00E51051">
        <w:rPr>
          <w:sz w:val="22"/>
          <w:szCs w:val="22"/>
          <w:lang w:val="sr-Latn-RS"/>
        </w:rPr>
        <w:t>ednosti prikazane u tabeli 5 su približne i možda će biti potrebno zaokružiti ih na najbližu gradaciju šprica odgovarajuće veličine za manje zapremine.</w:t>
      </w:r>
    </w:p>
    <w:p w14:paraId="70B1200D" w14:textId="77777777" w:rsidR="00BB1EA4" w:rsidRPr="00E51051" w:rsidRDefault="00BB1EA4" w:rsidP="00BB1EA4">
      <w:pPr>
        <w:pStyle w:val="Header"/>
        <w:tabs>
          <w:tab w:val="left" w:pos="284"/>
        </w:tabs>
        <w:rPr>
          <w:sz w:val="22"/>
          <w:szCs w:val="22"/>
          <w:lang w:val="sr-Latn-RS"/>
        </w:rPr>
      </w:pPr>
    </w:p>
    <w:p w14:paraId="5627976B" w14:textId="0794B593" w:rsidR="00BB1EA4" w:rsidRPr="00E51051" w:rsidRDefault="00BB1EA4" w:rsidP="00187482">
      <w:pPr>
        <w:pStyle w:val="Header"/>
        <w:tabs>
          <w:tab w:val="left" w:pos="284"/>
        </w:tabs>
        <w:jc w:val="both"/>
        <w:rPr>
          <w:b/>
          <w:bCs/>
          <w:sz w:val="22"/>
          <w:szCs w:val="22"/>
          <w:lang w:val="sr-Latn-RS"/>
        </w:rPr>
      </w:pPr>
      <w:r w:rsidRPr="00E51051">
        <w:rPr>
          <w:b/>
          <w:bCs/>
          <w:sz w:val="22"/>
          <w:szCs w:val="22"/>
          <w:lang w:val="sr-Latn-RS"/>
        </w:rPr>
        <w:t>Tabela 5: Priprema l</w:t>
      </w:r>
      <w:r w:rsidR="00903422" w:rsidRPr="00E51051">
        <w:rPr>
          <w:b/>
          <w:bCs/>
          <w:sz w:val="22"/>
          <w:szCs w:val="22"/>
          <w:lang w:val="sr-Latn-RS"/>
        </w:rPr>
        <w:t>ij</w:t>
      </w:r>
      <w:r w:rsidRPr="00E51051">
        <w:rPr>
          <w:b/>
          <w:bCs/>
          <w:sz w:val="22"/>
          <w:szCs w:val="22"/>
          <w:lang w:val="sr-Latn-RS"/>
        </w:rPr>
        <w:t>eka ZERBAXA za pedijatrijske pacijente (od rođenja* do uzrasta ispod 18 godina) iz osnovnog rastvora od 100</w:t>
      </w:r>
      <w:r w:rsidR="00157168" w:rsidRPr="00E51051">
        <w:rPr>
          <w:b/>
          <w:bCs/>
          <w:sz w:val="22"/>
          <w:szCs w:val="22"/>
          <w:lang w:val="sr-Latn-RS"/>
        </w:rPr>
        <w:t xml:space="preserve"> ml </w:t>
      </w:r>
      <w:r w:rsidRPr="00E51051">
        <w:rPr>
          <w:b/>
          <w:bCs/>
          <w:sz w:val="22"/>
          <w:szCs w:val="22"/>
          <w:lang w:val="sr-Latn-RS"/>
        </w:rPr>
        <w:t>koji sadrži 10 mg</w:t>
      </w:r>
      <w:r w:rsidR="00157168" w:rsidRPr="00E51051">
        <w:rPr>
          <w:b/>
          <w:bCs/>
          <w:sz w:val="22"/>
          <w:szCs w:val="22"/>
          <w:lang w:val="sr-Latn-RS"/>
        </w:rPr>
        <w:t>/ml</w:t>
      </w:r>
      <w:r w:rsidRPr="00E51051">
        <w:rPr>
          <w:b/>
          <w:bCs/>
          <w:sz w:val="22"/>
          <w:szCs w:val="22"/>
          <w:lang w:val="sr-Latn-RS"/>
        </w:rPr>
        <w:t xml:space="preserve"> ceftolozana/5 mg</w:t>
      </w:r>
      <w:r w:rsidR="00157168" w:rsidRPr="00E51051">
        <w:rPr>
          <w:b/>
          <w:bCs/>
          <w:sz w:val="22"/>
          <w:szCs w:val="22"/>
          <w:lang w:val="sr-Latn-RS"/>
        </w:rPr>
        <w:t xml:space="preserve"> /ml</w:t>
      </w:r>
      <w:r w:rsidRPr="00E51051">
        <w:rPr>
          <w:b/>
          <w:bCs/>
          <w:sz w:val="22"/>
          <w:szCs w:val="22"/>
          <w:lang w:val="sr-Latn-RS"/>
        </w:rPr>
        <w:t xml:space="preserve"> tazobaktama</w:t>
      </w:r>
    </w:p>
    <w:tbl>
      <w:tblPr>
        <w:tblStyle w:val="TableGrid"/>
        <w:tblW w:w="5000" w:type="pct"/>
        <w:tblLook w:val="04A0" w:firstRow="1" w:lastRow="0" w:firstColumn="1" w:lastColumn="0" w:noHBand="0" w:noVBand="1"/>
      </w:tblPr>
      <w:tblGrid>
        <w:gridCol w:w="1888"/>
        <w:gridCol w:w="1793"/>
        <w:gridCol w:w="1794"/>
        <w:gridCol w:w="1794"/>
        <w:gridCol w:w="1794"/>
      </w:tblGrid>
      <w:tr w:rsidR="00BB1EA4" w:rsidRPr="00E51051" w14:paraId="0F753DA4" w14:textId="77777777" w:rsidTr="0015597B">
        <w:trPr>
          <w:cantSplit/>
          <w:trHeight w:val="1522"/>
          <w:tblHeader/>
        </w:trPr>
        <w:tc>
          <w:tcPr>
            <w:tcW w:w="1041" w:type="pct"/>
            <w:tcBorders>
              <w:bottom w:val="single" w:sz="4" w:space="0" w:color="auto"/>
            </w:tcBorders>
            <w:vAlign w:val="center"/>
          </w:tcPr>
          <w:p w14:paraId="47E8D816" w14:textId="757F5E64" w:rsidR="00BB1EA4" w:rsidRPr="00E51051" w:rsidRDefault="00BB1EA4" w:rsidP="004A38AE">
            <w:pPr>
              <w:keepNext/>
              <w:jc w:val="center"/>
              <w:rPr>
                <w:b/>
                <w:bCs/>
                <w:sz w:val="22"/>
                <w:szCs w:val="22"/>
                <w:lang w:val="sr-Latn-RS"/>
              </w:rPr>
            </w:pPr>
            <w:r w:rsidRPr="00E51051">
              <w:rPr>
                <w:b/>
                <w:bCs/>
                <w:sz w:val="22"/>
                <w:szCs w:val="22"/>
                <w:lang w:val="sr-Latn-RS"/>
              </w:rPr>
              <w:t>Doza l</w:t>
            </w:r>
            <w:r w:rsidR="00903422" w:rsidRPr="00E51051">
              <w:rPr>
                <w:b/>
                <w:bCs/>
                <w:sz w:val="22"/>
                <w:szCs w:val="22"/>
                <w:lang w:val="sr-Latn-RS"/>
              </w:rPr>
              <w:t>ij</w:t>
            </w:r>
            <w:r w:rsidRPr="00E51051">
              <w:rPr>
                <w:b/>
                <w:bCs/>
                <w:sz w:val="22"/>
                <w:szCs w:val="22"/>
                <w:lang w:val="sr-Latn-RS"/>
              </w:rPr>
              <w:t>eka ZERBAXA (mg/kg)</w:t>
            </w:r>
          </w:p>
        </w:tc>
        <w:tc>
          <w:tcPr>
            <w:tcW w:w="989" w:type="pct"/>
            <w:tcBorders>
              <w:bottom w:val="single" w:sz="4" w:space="0" w:color="auto"/>
            </w:tcBorders>
            <w:vAlign w:val="center"/>
          </w:tcPr>
          <w:p w14:paraId="4AB69344" w14:textId="1D370939" w:rsidR="00BB1EA4" w:rsidRPr="00E51051" w:rsidRDefault="00EA0EFB" w:rsidP="004A38AE">
            <w:pPr>
              <w:keepNext/>
              <w:jc w:val="center"/>
              <w:rPr>
                <w:b/>
                <w:bCs/>
                <w:sz w:val="22"/>
                <w:szCs w:val="22"/>
                <w:lang w:val="sr-Latn-RS"/>
              </w:rPr>
            </w:pPr>
            <w:r w:rsidRPr="00E51051">
              <w:rPr>
                <w:b/>
                <w:bCs/>
                <w:sz w:val="22"/>
                <w:szCs w:val="22"/>
                <w:lang w:val="sr-Latn-RS"/>
              </w:rPr>
              <w:t>Tjelesna masa</w:t>
            </w:r>
            <w:r w:rsidR="00BB1EA4" w:rsidRPr="00E51051">
              <w:rPr>
                <w:b/>
                <w:bCs/>
                <w:sz w:val="22"/>
                <w:szCs w:val="22"/>
                <w:lang w:val="sr-Latn-RS"/>
              </w:rPr>
              <w:t xml:space="preserve"> (kg)</w:t>
            </w:r>
          </w:p>
        </w:tc>
        <w:tc>
          <w:tcPr>
            <w:tcW w:w="990" w:type="pct"/>
            <w:tcBorders>
              <w:bottom w:val="single" w:sz="4" w:space="0" w:color="auto"/>
            </w:tcBorders>
            <w:vAlign w:val="center"/>
          </w:tcPr>
          <w:p w14:paraId="593C7849" w14:textId="77777777" w:rsidR="00BB1EA4" w:rsidRPr="00E51051" w:rsidRDefault="00BB1EA4" w:rsidP="004A38AE">
            <w:pPr>
              <w:keepNext/>
              <w:jc w:val="center"/>
              <w:rPr>
                <w:b/>
                <w:bCs/>
                <w:sz w:val="22"/>
                <w:szCs w:val="22"/>
                <w:lang w:val="sr-Latn-RS"/>
              </w:rPr>
            </w:pPr>
            <w:r w:rsidRPr="00E51051">
              <w:rPr>
                <w:b/>
                <w:bCs/>
                <w:sz w:val="22"/>
                <w:szCs w:val="22"/>
                <w:lang w:val="sr-Latn-RS"/>
              </w:rPr>
              <w:t>Izračunata količina ceftolozana (mg)</w:t>
            </w:r>
          </w:p>
        </w:tc>
        <w:tc>
          <w:tcPr>
            <w:tcW w:w="990" w:type="pct"/>
            <w:tcBorders>
              <w:bottom w:val="single" w:sz="4" w:space="0" w:color="auto"/>
            </w:tcBorders>
            <w:vAlign w:val="center"/>
          </w:tcPr>
          <w:p w14:paraId="7FDF6786" w14:textId="77777777" w:rsidR="00BB1EA4" w:rsidRPr="00E51051" w:rsidRDefault="00BB1EA4" w:rsidP="004A38AE">
            <w:pPr>
              <w:keepNext/>
              <w:jc w:val="center"/>
              <w:rPr>
                <w:b/>
                <w:bCs/>
                <w:sz w:val="22"/>
                <w:szCs w:val="22"/>
                <w:lang w:val="sr-Latn-RS"/>
              </w:rPr>
            </w:pPr>
            <w:r w:rsidRPr="00E51051">
              <w:rPr>
                <w:b/>
                <w:bCs/>
                <w:sz w:val="22"/>
                <w:szCs w:val="22"/>
                <w:lang w:val="sr-Latn-RS"/>
              </w:rPr>
              <w:t>Izračunata količina tazobaktama (mg)</w:t>
            </w:r>
          </w:p>
        </w:tc>
        <w:tc>
          <w:tcPr>
            <w:tcW w:w="990" w:type="pct"/>
            <w:tcBorders>
              <w:bottom w:val="single" w:sz="4" w:space="0" w:color="auto"/>
            </w:tcBorders>
            <w:vAlign w:val="center"/>
          </w:tcPr>
          <w:p w14:paraId="38938C2C" w14:textId="4E146DCF" w:rsidR="00BB1EA4" w:rsidRPr="00E51051" w:rsidRDefault="00BB1EA4" w:rsidP="004A38AE">
            <w:pPr>
              <w:keepNext/>
              <w:jc w:val="center"/>
              <w:rPr>
                <w:b/>
                <w:bCs/>
                <w:sz w:val="22"/>
                <w:szCs w:val="22"/>
                <w:lang w:val="sr-Latn-RS"/>
              </w:rPr>
            </w:pPr>
            <w:r w:rsidRPr="00E51051">
              <w:rPr>
                <w:b/>
                <w:bCs/>
                <w:sz w:val="22"/>
                <w:szCs w:val="22"/>
                <w:lang w:val="sr-Latn-RS"/>
              </w:rPr>
              <w:t>Zapremina osnovnog rastvora za davanje pacijentu (m</w:t>
            </w:r>
            <w:r w:rsidR="00157168" w:rsidRPr="00E51051">
              <w:rPr>
                <w:b/>
                <w:bCs/>
                <w:sz w:val="22"/>
                <w:szCs w:val="22"/>
                <w:lang w:val="sr-Latn-RS"/>
              </w:rPr>
              <w:t>l</w:t>
            </w:r>
            <w:r w:rsidRPr="00E51051">
              <w:rPr>
                <w:b/>
                <w:bCs/>
                <w:sz w:val="22"/>
                <w:szCs w:val="22"/>
                <w:lang w:val="sr-Latn-RS"/>
              </w:rPr>
              <w:t>)</w:t>
            </w:r>
          </w:p>
        </w:tc>
      </w:tr>
      <w:tr w:rsidR="00BB1EA4" w:rsidRPr="00E51051" w14:paraId="369FF07D" w14:textId="77777777" w:rsidTr="004A38AE">
        <w:trPr>
          <w:trHeight w:val="242"/>
        </w:trPr>
        <w:tc>
          <w:tcPr>
            <w:tcW w:w="1041" w:type="pct"/>
            <w:vMerge w:val="restart"/>
            <w:vAlign w:val="center"/>
          </w:tcPr>
          <w:p w14:paraId="1FCA8543" w14:textId="77777777" w:rsidR="00BB1EA4" w:rsidRPr="00E51051" w:rsidRDefault="00BB1EA4" w:rsidP="004A38AE">
            <w:pPr>
              <w:jc w:val="center"/>
              <w:rPr>
                <w:sz w:val="22"/>
                <w:szCs w:val="22"/>
                <w:lang w:val="sr-Latn-RS"/>
              </w:rPr>
            </w:pPr>
            <w:r w:rsidRPr="00E51051">
              <w:rPr>
                <w:sz w:val="22"/>
                <w:szCs w:val="22"/>
                <w:lang w:val="sr-Latn-RS"/>
              </w:rPr>
              <w:t>20 mg/kg ceftolozana / 10 mg/kg tazobaktama**</w:t>
            </w:r>
          </w:p>
        </w:tc>
        <w:tc>
          <w:tcPr>
            <w:tcW w:w="989" w:type="pct"/>
            <w:vAlign w:val="center"/>
          </w:tcPr>
          <w:p w14:paraId="37671629" w14:textId="77777777" w:rsidR="00BB1EA4" w:rsidRPr="00E51051" w:rsidRDefault="00BB1EA4" w:rsidP="004A38AE">
            <w:pPr>
              <w:jc w:val="center"/>
              <w:rPr>
                <w:sz w:val="22"/>
                <w:szCs w:val="22"/>
                <w:lang w:val="sr-Latn-RS"/>
              </w:rPr>
            </w:pPr>
            <w:r w:rsidRPr="00E51051">
              <w:rPr>
                <w:sz w:val="22"/>
                <w:szCs w:val="22"/>
                <w:lang w:val="sr-Latn-RS"/>
              </w:rPr>
              <w:t>50 i više</w:t>
            </w:r>
          </w:p>
        </w:tc>
        <w:tc>
          <w:tcPr>
            <w:tcW w:w="990" w:type="pct"/>
            <w:vAlign w:val="center"/>
          </w:tcPr>
          <w:p w14:paraId="08C9ECED" w14:textId="77777777" w:rsidR="00BB1EA4" w:rsidRPr="00E51051" w:rsidRDefault="00BB1EA4" w:rsidP="004A38AE">
            <w:pPr>
              <w:jc w:val="center"/>
              <w:rPr>
                <w:sz w:val="22"/>
                <w:szCs w:val="22"/>
                <w:lang w:val="sr-Latn-RS"/>
              </w:rPr>
            </w:pPr>
            <w:r w:rsidRPr="00E51051">
              <w:rPr>
                <w:sz w:val="22"/>
                <w:szCs w:val="22"/>
                <w:lang w:val="sr-Latn-RS"/>
              </w:rPr>
              <w:t>1000</w:t>
            </w:r>
          </w:p>
        </w:tc>
        <w:tc>
          <w:tcPr>
            <w:tcW w:w="990" w:type="pct"/>
            <w:vAlign w:val="center"/>
          </w:tcPr>
          <w:p w14:paraId="45930542" w14:textId="77777777" w:rsidR="00BB1EA4" w:rsidRPr="00E51051" w:rsidRDefault="00BB1EA4" w:rsidP="004A38AE">
            <w:pPr>
              <w:jc w:val="center"/>
              <w:rPr>
                <w:sz w:val="22"/>
                <w:szCs w:val="22"/>
                <w:lang w:val="sr-Latn-RS"/>
              </w:rPr>
            </w:pPr>
            <w:r w:rsidRPr="00E51051">
              <w:rPr>
                <w:sz w:val="22"/>
                <w:szCs w:val="22"/>
                <w:lang w:val="sr-Latn-RS"/>
              </w:rPr>
              <w:t>500</w:t>
            </w:r>
          </w:p>
        </w:tc>
        <w:tc>
          <w:tcPr>
            <w:tcW w:w="990" w:type="pct"/>
            <w:vAlign w:val="center"/>
          </w:tcPr>
          <w:p w14:paraId="343D818E" w14:textId="77777777" w:rsidR="00BB1EA4" w:rsidRPr="00E51051" w:rsidRDefault="00BB1EA4" w:rsidP="004A38AE">
            <w:pPr>
              <w:jc w:val="center"/>
              <w:rPr>
                <w:sz w:val="22"/>
                <w:szCs w:val="22"/>
                <w:lang w:val="sr-Latn-RS"/>
              </w:rPr>
            </w:pPr>
            <w:r w:rsidRPr="00E51051">
              <w:rPr>
                <w:sz w:val="22"/>
                <w:szCs w:val="22"/>
                <w:lang w:val="sr-Latn-RS"/>
              </w:rPr>
              <w:t>100</w:t>
            </w:r>
          </w:p>
        </w:tc>
      </w:tr>
      <w:tr w:rsidR="00BB1EA4" w:rsidRPr="00E51051" w14:paraId="1DB8D42A" w14:textId="77777777" w:rsidTr="004A38AE">
        <w:trPr>
          <w:trHeight w:val="271"/>
        </w:trPr>
        <w:tc>
          <w:tcPr>
            <w:tcW w:w="1041" w:type="pct"/>
            <w:vMerge/>
            <w:vAlign w:val="center"/>
          </w:tcPr>
          <w:p w14:paraId="30D9C553" w14:textId="77777777" w:rsidR="00BB1EA4" w:rsidRPr="00E51051" w:rsidRDefault="00BB1EA4" w:rsidP="004A38AE">
            <w:pPr>
              <w:jc w:val="center"/>
              <w:rPr>
                <w:sz w:val="22"/>
                <w:szCs w:val="22"/>
                <w:lang w:val="sr-Latn-RS"/>
              </w:rPr>
            </w:pPr>
          </w:p>
        </w:tc>
        <w:tc>
          <w:tcPr>
            <w:tcW w:w="989" w:type="pct"/>
            <w:vAlign w:val="center"/>
          </w:tcPr>
          <w:p w14:paraId="2D73D9CB" w14:textId="77777777" w:rsidR="00BB1EA4" w:rsidRPr="00E51051" w:rsidRDefault="00BB1EA4" w:rsidP="004A38AE">
            <w:pPr>
              <w:jc w:val="center"/>
              <w:rPr>
                <w:sz w:val="22"/>
                <w:szCs w:val="22"/>
                <w:lang w:val="sr-Latn-RS"/>
              </w:rPr>
            </w:pPr>
            <w:r w:rsidRPr="00E51051">
              <w:rPr>
                <w:sz w:val="22"/>
                <w:szCs w:val="22"/>
                <w:lang w:val="sr-Latn-RS"/>
              </w:rPr>
              <w:t>40</w:t>
            </w:r>
          </w:p>
        </w:tc>
        <w:tc>
          <w:tcPr>
            <w:tcW w:w="990" w:type="pct"/>
            <w:vAlign w:val="center"/>
          </w:tcPr>
          <w:p w14:paraId="50771604" w14:textId="77777777" w:rsidR="00BB1EA4" w:rsidRPr="00E51051" w:rsidRDefault="00BB1EA4" w:rsidP="004A38AE">
            <w:pPr>
              <w:jc w:val="center"/>
              <w:rPr>
                <w:sz w:val="22"/>
                <w:szCs w:val="22"/>
                <w:lang w:val="sr-Latn-RS"/>
              </w:rPr>
            </w:pPr>
            <w:r w:rsidRPr="00E51051">
              <w:rPr>
                <w:sz w:val="22"/>
                <w:szCs w:val="22"/>
                <w:lang w:val="sr-Latn-RS"/>
              </w:rPr>
              <w:t>800</w:t>
            </w:r>
          </w:p>
        </w:tc>
        <w:tc>
          <w:tcPr>
            <w:tcW w:w="990" w:type="pct"/>
            <w:vAlign w:val="center"/>
          </w:tcPr>
          <w:p w14:paraId="0394660F" w14:textId="77777777" w:rsidR="00BB1EA4" w:rsidRPr="00E51051" w:rsidRDefault="00BB1EA4" w:rsidP="004A38AE">
            <w:pPr>
              <w:jc w:val="center"/>
              <w:rPr>
                <w:sz w:val="22"/>
                <w:szCs w:val="22"/>
                <w:lang w:val="sr-Latn-RS"/>
              </w:rPr>
            </w:pPr>
            <w:r w:rsidRPr="00E51051">
              <w:rPr>
                <w:sz w:val="22"/>
                <w:szCs w:val="22"/>
                <w:lang w:val="sr-Latn-RS"/>
              </w:rPr>
              <w:t>400</w:t>
            </w:r>
          </w:p>
        </w:tc>
        <w:tc>
          <w:tcPr>
            <w:tcW w:w="990" w:type="pct"/>
            <w:vAlign w:val="center"/>
          </w:tcPr>
          <w:p w14:paraId="6F1BEF50" w14:textId="77777777" w:rsidR="00BB1EA4" w:rsidRPr="00E51051" w:rsidRDefault="00BB1EA4" w:rsidP="004A38AE">
            <w:pPr>
              <w:jc w:val="center"/>
              <w:rPr>
                <w:sz w:val="22"/>
                <w:szCs w:val="22"/>
                <w:lang w:val="sr-Latn-RS"/>
              </w:rPr>
            </w:pPr>
            <w:r w:rsidRPr="00E51051">
              <w:rPr>
                <w:sz w:val="22"/>
                <w:szCs w:val="22"/>
                <w:lang w:val="sr-Latn-RS"/>
              </w:rPr>
              <w:t>80</w:t>
            </w:r>
          </w:p>
        </w:tc>
      </w:tr>
      <w:tr w:rsidR="00BB1EA4" w:rsidRPr="00E51051" w14:paraId="6807E9D3" w14:textId="77777777" w:rsidTr="004A38AE">
        <w:trPr>
          <w:trHeight w:val="255"/>
        </w:trPr>
        <w:tc>
          <w:tcPr>
            <w:tcW w:w="1041" w:type="pct"/>
            <w:vMerge/>
            <w:vAlign w:val="center"/>
          </w:tcPr>
          <w:p w14:paraId="56B00BB9" w14:textId="77777777" w:rsidR="00BB1EA4" w:rsidRPr="00E51051" w:rsidRDefault="00BB1EA4" w:rsidP="004A38AE">
            <w:pPr>
              <w:jc w:val="center"/>
              <w:rPr>
                <w:sz w:val="22"/>
                <w:szCs w:val="22"/>
                <w:lang w:val="sr-Latn-RS"/>
              </w:rPr>
            </w:pPr>
          </w:p>
        </w:tc>
        <w:tc>
          <w:tcPr>
            <w:tcW w:w="989" w:type="pct"/>
            <w:vAlign w:val="center"/>
          </w:tcPr>
          <w:p w14:paraId="3ABEA873" w14:textId="77777777" w:rsidR="00BB1EA4" w:rsidRPr="00E51051" w:rsidRDefault="00BB1EA4" w:rsidP="004A38AE">
            <w:pPr>
              <w:jc w:val="center"/>
              <w:rPr>
                <w:sz w:val="22"/>
                <w:szCs w:val="22"/>
                <w:lang w:val="sr-Latn-RS"/>
              </w:rPr>
            </w:pPr>
            <w:r w:rsidRPr="00E51051">
              <w:rPr>
                <w:sz w:val="22"/>
                <w:szCs w:val="22"/>
                <w:lang w:val="sr-Latn-RS"/>
              </w:rPr>
              <w:t>30</w:t>
            </w:r>
          </w:p>
        </w:tc>
        <w:tc>
          <w:tcPr>
            <w:tcW w:w="990" w:type="pct"/>
            <w:vAlign w:val="center"/>
          </w:tcPr>
          <w:p w14:paraId="3F51215D" w14:textId="77777777" w:rsidR="00BB1EA4" w:rsidRPr="00E51051" w:rsidRDefault="00BB1EA4" w:rsidP="004A38AE">
            <w:pPr>
              <w:jc w:val="center"/>
              <w:rPr>
                <w:sz w:val="22"/>
                <w:szCs w:val="22"/>
                <w:lang w:val="sr-Latn-RS"/>
              </w:rPr>
            </w:pPr>
            <w:r w:rsidRPr="00E51051">
              <w:rPr>
                <w:sz w:val="22"/>
                <w:szCs w:val="22"/>
                <w:lang w:val="sr-Latn-RS"/>
              </w:rPr>
              <w:t>600</w:t>
            </w:r>
          </w:p>
        </w:tc>
        <w:tc>
          <w:tcPr>
            <w:tcW w:w="990" w:type="pct"/>
            <w:vAlign w:val="center"/>
          </w:tcPr>
          <w:p w14:paraId="2679C19B" w14:textId="77777777" w:rsidR="00BB1EA4" w:rsidRPr="00E51051" w:rsidRDefault="00BB1EA4" w:rsidP="004A38AE">
            <w:pPr>
              <w:jc w:val="center"/>
              <w:rPr>
                <w:sz w:val="22"/>
                <w:szCs w:val="22"/>
                <w:lang w:val="sr-Latn-RS"/>
              </w:rPr>
            </w:pPr>
            <w:r w:rsidRPr="00E51051">
              <w:rPr>
                <w:sz w:val="22"/>
                <w:szCs w:val="22"/>
                <w:lang w:val="sr-Latn-RS"/>
              </w:rPr>
              <w:t>300</w:t>
            </w:r>
          </w:p>
        </w:tc>
        <w:tc>
          <w:tcPr>
            <w:tcW w:w="990" w:type="pct"/>
            <w:vAlign w:val="center"/>
          </w:tcPr>
          <w:p w14:paraId="28052277" w14:textId="77777777" w:rsidR="00BB1EA4" w:rsidRPr="00E51051" w:rsidRDefault="00BB1EA4" w:rsidP="004A38AE">
            <w:pPr>
              <w:jc w:val="center"/>
              <w:rPr>
                <w:sz w:val="22"/>
                <w:szCs w:val="22"/>
                <w:lang w:val="sr-Latn-RS"/>
              </w:rPr>
            </w:pPr>
            <w:r w:rsidRPr="00E51051">
              <w:rPr>
                <w:sz w:val="22"/>
                <w:szCs w:val="22"/>
                <w:lang w:val="sr-Latn-RS"/>
              </w:rPr>
              <w:t>60</w:t>
            </w:r>
          </w:p>
        </w:tc>
      </w:tr>
      <w:tr w:rsidR="00BB1EA4" w:rsidRPr="00E51051" w14:paraId="5BCDF47C" w14:textId="77777777" w:rsidTr="004A38AE">
        <w:trPr>
          <w:trHeight w:val="271"/>
        </w:trPr>
        <w:tc>
          <w:tcPr>
            <w:tcW w:w="1041" w:type="pct"/>
            <w:vMerge/>
            <w:vAlign w:val="center"/>
          </w:tcPr>
          <w:p w14:paraId="12A21F25" w14:textId="77777777" w:rsidR="00BB1EA4" w:rsidRPr="00E51051" w:rsidRDefault="00BB1EA4" w:rsidP="004A38AE">
            <w:pPr>
              <w:jc w:val="center"/>
              <w:rPr>
                <w:sz w:val="22"/>
                <w:szCs w:val="22"/>
                <w:lang w:val="sr-Latn-RS"/>
              </w:rPr>
            </w:pPr>
          </w:p>
        </w:tc>
        <w:tc>
          <w:tcPr>
            <w:tcW w:w="989" w:type="pct"/>
            <w:vAlign w:val="center"/>
          </w:tcPr>
          <w:p w14:paraId="70917999" w14:textId="77777777" w:rsidR="00BB1EA4" w:rsidRPr="00E51051" w:rsidRDefault="00BB1EA4" w:rsidP="004A38AE">
            <w:pPr>
              <w:jc w:val="center"/>
              <w:rPr>
                <w:sz w:val="22"/>
                <w:szCs w:val="22"/>
                <w:lang w:val="sr-Latn-RS"/>
              </w:rPr>
            </w:pPr>
            <w:r w:rsidRPr="00E51051">
              <w:rPr>
                <w:sz w:val="22"/>
                <w:szCs w:val="22"/>
                <w:lang w:val="sr-Latn-RS"/>
              </w:rPr>
              <w:t>20</w:t>
            </w:r>
          </w:p>
        </w:tc>
        <w:tc>
          <w:tcPr>
            <w:tcW w:w="990" w:type="pct"/>
            <w:vAlign w:val="center"/>
          </w:tcPr>
          <w:p w14:paraId="17F2D467" w14:textId="77777777" w:rsidR="00BB1EA4" w:rsidRPr="00E51051" w:rsidRDefault="00BB1EA4" w:rsidP="004A38AE">
            <w:pPr>
              <w:jc w:val="center"/>
              <w:rPr>
                <w:sz w:val="22"/>
                <w:szCs w:val="22"/>
                <w:lang w:val="sr-Latn-RS"/>
              </w:rPr>
            </w:pPr>
            <w:r w:rsidRPr="00E51051">
              <w:rPr>
                <w:sz w:val="22"/>
                <w:szCs w:val="22"/>
                <w:lang w:val="sr-Latn-RS"/>
              </w:rPr>
              <w:t>400</w:t>
            </w:r>
          </w:p>
        </w:tc>
        <w:tc>
          <w:tcPr>
            <w:tcW w:w="990" w:type="pct"/>
            <w:vAlign w:val="center"/>
          </w:tcPr>
          <w:p w14:paraId="59CB2398" w14:textId="77777777" w:rsidR="00BB1EA4" w:rsidRPr="00E51051" w:rsidRDefault="00BB1EA4" w:rsidP="004A38AE">
            <w:pPr>
              <w:jc w:val="center"/>
              <w:rPr>
                <w:sz w:val="22"/>
                <w:szCs w:val="22"/>
                <w:lang w:val="sr-Latn-RS"/>
              </w:rPr>
            </w:pPr>
            <w:r w:rsidRPr="00E51051">
              <w:rPr>
                <w:sz w:val="22"/>
                <w:szCs w:val="22"/>
                <w:lang w:val="sr-Latn-RS"/>
              </w:rPr>
              <w:t>200</w:t>
            </w:r>
          </w:p>
        </w:tc>
        <w:tc>
          <w:tcPr>
            <w:tcW w:w="990" w:type="pct"/>
            <w:vAlign w:val="center"/>
          </w:tcPr>
          <w:p w14:paraId="6121768D" w14:textId="77777777" w:rsidR="00BB1EA4" w:rsidRPr="00E51051" w:rsidRDefault="00BB1EA4" w:rsidP="004A38AE">
            <w:pPr>
              <w:jc w:val="center"/>
              <w:rPr>
                <w:sz w:val="22"/>
                <w:szCs w:val="22"/>
                <w:lang w:val="sr-Latn-RS"/>
              </w:rPr>
            </w:pPr>
            <w:r w:rsidRPr="00E51051">
              <w:rPr>
                <w:sz w:val="22"/>
                <w:szCs w:val="22"/>
                <w:lang w:val="sr-Latn-RS"/>
              </w:rPr>
              <w:t>40</w:t>
            </w:r>
          </w:p>
        </w:tc>
      </w:tr>
      <w:tr w:rsidR="00BB1EA4" w:rsidRPr="00E51051" w14:paraId="6044F356" w14:textId="77777777" w:rsidTr="004A38AE">
        <w:trPr>
          <w:trHeight w:val="255"/>
        </w:trPr>
        <w:tc>
          <w:tcPr>
            <w:tcW w:w="1041" w:type="pct"/>
            <w:vMerge/>
            <w:vAlign w:val="center"/>
          </w:tcPr>
          <w:p w14:paraId="07291D28" w14:textId="77777777" w:rsidR="00BB1EA4" w:rsidRPr="00E51051" w:rsidRDefault="00BB1EA4" w:rsidP="004A38AE">
            <w:pPr>
              <w:jc w:val="center"/>
              <w:rPr>
                <w:sz w:val="22"/>
                <w:szCs w:val="22"/>
                <w:lang w:val="sr-Latn-RS"/>
              </w:rPr>
            </w:pPr>
          </w:p>
        </w:tc>
        <w:tc>
          <w:tcPr>
            <w:tcW w:w="989" w:type="pct"/>
            <w:vAlign w:val="center"/>
          </w:tcPr>
          <w:p w14:paraId="4F502E6B" w14:textId="77777777" w:rsidR="00BB1EA4" w:rsidRPr="00E51051" w:rsidRDefault="00BB1EA4" w:rsidP="004A38AE">
            <w:pPr>
              <w:jc w:val="center"/>
              <w:rPr>
                <w:sz w:val="22"/>
                <w:szCs w:val="22"/>
                <w:lang w:val="sr-Latn-RS"/>
              </w:rPr>
            </w:pPr>
            <w:r w:rsidRPr="00E51051">
              <w:rPr>
                <w:sz w:val="22"/>
                <w:szCs w:val="22"/>
                <w:lang w:val="sr-Latn-RS"/>
              </w:rPr>
              <w:t>15</w:t>
            </w:r>
          </w:p>
        </w:tc>
        <w:tc>
          <w:tcPr>
            <w:tcW w:w="990" w:type="pct"/>
            <w:vAlign w:val="center"/>
          </w:tcPr>
          <w:p w14:paraId="5211A320" w14:textId="77777777" w:rsidR="00BB1EA4" w:rsidRPr="00E51051" w:rsidRDefault="00BB1EA4" w:rsidP="004A38AE">
            <w:pPr>
              <w:jc w:val="center"/>
              <w:rPr>
                <w:sz w:val="22"/>
                <w:szCs w:val="22"/>
                <w:lang w:val="sr-Latn-RS"/>
              </w:rPr>
            </w:pPr>
            <w:r w:rsidRPr="00E51051">
              <w:rPr>
                <w:sz w:val="22"/>
                <w:szCs w:val="22"/>
                <w:lang w:val="sr-Latn-RS"/>
              </w:rPr>
              <w:t>300</w:t>
            </w:r>
          </w:p>
        </w:tc>
        <w:tc>
          <w:tcPr>
            <w:tcW w:w="990" w:type="pct"/>
            <w:vAlign w:val="center"/>
          </w:tcPr>
          <w:p w14:paraId="09ABDDD1" w14:textId="77777777" w:rsidR="00BB1EA4" w:rsidRPr="00E51051" w:rsidRDefault="00BB1EA4" w:rsidP="004A38AE">
            <w:pPr>
              <w:jc w:val="center"/>
              <w:rPr>
                <w:sz w:val="22"/>
                <w:szCs w:val="22"/>
                <w:lang w:val="sr-Latn-RS"/>
              </w:rPr>
            </w:pPr>
            <w:r w:rsidRPr="00E51051">
              <w:rPr>
                <w:sz w:val="22"/>
                <w:szCs w:val="22"/>
                <w:lang w:val="sr-Latn-RS"/>
              </w:rPr>
              <w:t>150</w:t>
            </w:r>
          </w:p>
        </w:tc>
        <w:tc>
          <w:tcPr>
            <w:tcW w:w="990" w:type="pct"/>
            <w:vAlign w:val="center"/>
          </w:tcPr>
          <w:p w14:paraId="21695094" w14:textId="77777777" w:rsidR="00BB1EA4" w:rsidRPr="00E51051" w:rsidRDefault="00BB1EA4" w:rsidP="004A38AE">
            <w:pPr>
              <w:jc w:val="center"/>
              <w:rPr>
                <w:sz w:val="22"/>
                <w:szCs w:val="22"/>
                <w:lang w:val="sr-Latn-RS"/>
              </w:rPr>
            </w:pPr>
            <w:r w:rsidRPr="00E51051">
              <w:rPr>
                <w:sz w:val="22"/>
                <w:szCs w:val="22"/>
                <w:lang w:val="sr-Latn-RS"/>
              </w:rPr>
              <w:t>30</w:t>
            </w:r>
          </w:p>
        </w:tc>
      </w:tr>
      <w:tr w:rsidR="00BB1EA4" w:rsidRPr="00E51051" w14:paraId="4A0BFBA0" w14:textId="77777777" w:rsidTr="004A38AE">
        <w:trPr>
          <w:trHeight w:val="271"/>
        </w:trPr>
        <w:tc>
          <w:tcPr>
            <w:tcW w:w="1041" w:type="pct"/>
            <w:vMerge/>
            <w:vAlign w:val="center"/>
          </w:tcPr>
          <w:p w14:paraId="50382593" w14:textId="77777777" w:rsidR="00BB1EA4" w:rsidRPr="00E51051" w:rsidRDefault="00BB1EA4" w:rsidP="004A38AE">
            <w:pPr>
              <w:jc w:val="center"/>
              <w:rPr>
                <w:sz w:val="22"/>
                <w:szCs w:val="22"/>
                <w:lang w:val="sr-Latn-RS"/>
              </w:rPr>
            </w:pPr>
          </w:p>
        </w:tc>
        <w:tc>
          <w:tcPr>
            <w:tcW w:w="989" w:type="pct"/>
            <w:vAlign w:val="center"/>
          </w:tcPr>
          <w:p w14:paraId="1506517F" w14:textId="77777777" w:rsidR="00BB1EA4" w:rsidRPr="00E51051" w:rsidRDefault="00BB1EA4" w:rsidP="004A38AE">
            <w:pPr>
              <w:jc w:val="center"/>
              <w:rPr>
                <w:sz w:val="22"/>
                <w:szCs w:val="22"/>
                <w:lang w:val="sr-Latn-RS"/>
              </w:rPr>
            </w:pPr>
            <w:r w:rsidRPr="00E51051">
              <w:rPr>
                <w:sz w:val="22"/>
                <w:szCs w:val="22"/>
                <w:lang w:val="sr-Latn-RS"/>
              </w:rPr>
              <w:t>10</w:t>
            </w:r>
          </w:p>
        </w:tc>
        <w:tc>
          <w:tcPr>
            <w:tcW w:w="990" w:type="pct"/>
            <w:vAlign w:val="center"/>
          </w:tcPr>
          <w:p w14:paraId="2E71277D" w14:textId="77777777" w:rsidR="00BB1EA4" w:rsidRPr="00E51051" w:rsidRDefault="00BB1EA4" w:rsidP="004A38AE">
            <w:pPr>
              <w:jc w:val="center"/>
              <w:rPr>
                <w:sz w:val="22"/>
                <w:szCs w:val="22"/>
                <w:lang w:val="sr-Latn-RS"/>
              </w:rPr>
            </w:pPr>
            <w:r w:rsidRPr="00E51051">
              <w:rPr>
                <w:sz w:val="22"/>
                <w:szCs w:val="22"/>
                <w:lang w:val="sr-Latn-RS"/>
              </w:rPr>
              <w:t>200</w:t>
            </w:r>
          </w:p>
        </w:tc>
        <w:tc>
          <w:tcPr>
            <w:tcW w:w="990" w:type="pct"/>
            <w:vAlign w:val="center"/>
          </w:tcPr>
          <w:p w14:paraId="4604C2A6" w14:textId="77777777" w:rsidR="00BB1EA4" w:rsidRPr="00E51051" w:rsidRDefault="00BB1EA4" w:rsidP="004A38AE">
            <w:pPr>
              <w:jc w:val="center"/>
              <w:rPr>
                <w:sz w:val="22"/>
                <w:szCs w:val="22"/>
                <w:lang w:val="sr-Latn-RS"/>
              </w:rPr>
            </w:pPr>
            <w:r w:rsidRPr="00E51051">
              <w:rPr>
                <w:sz w:val="22"/>
                <w:szCs w:val="22"/>
                <w:lang w:val="sr-Latn-RS"/>
              </w:rPr>
              <w:t>100</w:t>
            </w:r>
          </w:p>
        </w:tc>
        <w:tc>
          <w:tcPr>
            <w:tcW w:w="990" w:type="pct"/>
            <w:vAlign w:val="center"/>
          </w:tcPr>
          <w:p w14:paraId="3FAC24C9" w14:textId="77777777" w:rsidR="00BB1EA4" w:rsidRPr="00E51051" w:rsidRDefault="00BB1EA4" w:rsidP="004A38AE">
            <w:pPr>
              <w:jc w:val="center"/>
              <w:rPr>
                <w:sz w:val="22"/>
                <w:szCs w:val="22"/>
                <w:lang w:val="sr-Latn-RS"/>
              </w:rPr>
            </w:pPr>
            <w:r w:rsidRPr="00E51051">
              <w:rPr>
                <w:sz w:val="22"/>
                <w:szCs w:val="22"/>
                <w:lang w:val="sr-Latn-RS"/>
              </w:rPr>
              <w:t>20</w:t>
            </w:r>
          </w:p>
        </w:tc>
      </w:tr>
      <w:tr w:rsidR="00BB1EA4" w:rsidRPr="00E51051" w14:paraId="1B1A6635" w14:textId="77777777" w:rsidTr="004A38AE">
        <w:trPr>
          <w:trHeight w:val="255"/>
        </w:trPr>
        <w:tc>
          <w:tcPr>
            <w:tcW w:w="1041" w:type="pct"/>
            <w:vMerge/>
            <w:vAlign w:val="center"/>
          </w:tcPr>
          <w:p w14:paraId="48C10357" w14:textId="77777777" w:rsidR="00BB1EA4" w:rsidRPr="00E51051" w:rsidRDefault="00BB1EA4" w:rsidP="004A38AE">
            <w:pPr>
              <w:jc w:val="center"/>
              <w:rPr>
                <w:sz w:val="22"/>
                <w:szCs w:val="22"/>
                <w:lang w:val="sr-Latn-RS"/>
              </w:rPr>
            </w:pPr>
          </w:p>
        </w:tc>
        <w:tc>
          <w:tcPr>
            <w:tcW w:w="989" w:type="pct"/>
            <w:vAlign w:val="center"/>
          </w:tcPr>
          <w:p w14:paraId="2FA9EEC2" w14:textId="77777777" w:rsidR="00BB1EA4" w:rsidRPr="00E51051" w:rsidRDefault="00BB1EA4" w:rsidP="004A38AE">
            <w:pPr>
              <w:jc w:val="center"/>
              <w:rPr>
                <w:sz w:val="22"/>
                <w:szCs w:val="22"/>
                <w:lang w:val="sr-Latn-RS"/>
              </w:rPr>
            </w:pPr>
            <w:r w:rsidRPr="00E51051">
              <w:rPr>
                <w:sz w:val="22"/>
                <w:szCs w:val="22"/>
                <w:lang w:val="sr-Latn-RS"/>
              </w:rPr>
              <w:t>5</w:t>
            </w:r>
          </w:p>
        </w:tc>
        <w:tc>
          <w:tcPr>
            <w:tcW w:w="990" w:type="pct"/>
            <w:vAlign w:val="center"/>
          </w:tcPr>
          <w:p w14:paraId="25394D43" w14:textId="77777777" w:rsidR="00BB1EA4" w:rsidRPr="00E51051" w:rsidRDefault="00BB1EA4" w:rsidP="004A38AE">
            <w:pPr>
              <w:jc w:val="center"/>
              <w:rPr>
                <w:sz w:val="22"/>
                <w:szCs w:val="22"/>
                <w:lang w:val="sr-Latn-RS"/>
              </w:rPr>
            </w:pPr>
            <w:r w:rsidRPr="00E51051">
              <w:rPr>
                <w:sz w:val="22"/>
                <w:szCs w:val="22"/>
                <w:lang w:val="sr-Latn-RS"/>
              </w:rPr>
              <w:t>100</w:t>
            </w:r>
          </w:p>
        </w:tc>
        <w:tc>
          <w:tcPr>
            <w:tcW w:w="990" w:type="pct"/>
            <w:vAlign w:val="center"/>
          </w:tcPr>
          <w:p w14:paraId="2255D371" w14:textId="77777777" w:rsidR="00BB1EA4" w:rsidRPr="00E51051" w:rsidRDefault="00BB1EA4" w:rsidP="004A38AE">
            <w:pPr>
              <w:jc w:val="center"/>
              <w:rPr>
                <w:sz w:val="22"/>
                <w:szCs w:val="22"/>
                <w:lang w:val="sr-Latn-RS"/>
              </w:rPr>
            </w:pPr>
            <w:r w:rsidRPr="00E51051">
              <w:rPr>
                <w:sz w:val="22"/>
                <w:szCs w:val="22"/>
                <w:lang w:val="sr-Latn-RS"/>
              </w:rPr>
              <w:t>50</w:t>
            </w:r>
          </w:p>
        </w:tc>
        <w:tc>
          <w:tcPr>
            <w:tcW w:w="990" w:type="pct"/>
            <w:vAlign w:val="center"/>
          </w:tcPr>
          <w:p w14:paraId="519D5032" w14:textId="77777777" w:rsidR="00BB1EA4" w:rsidRPr="00E51051" w:rsidRDefault="00BB1EA4" w:rsidP="004A38AE">
            <w:pPr>
              <w:jc w:val="center"/>
              <w:rPr>
                <w:sz w:val="22"/>
                <w:szCs w:val="22"/>
                <w:lang w:val="sr-Latn-RS"/>
              </w:rPr>
            </w:pPr>
            <w:r w:rsidRPr="00E51051">
              <w:rPr>
                <w:sz w:val="22"/>
                <w:szCs w:val="22"/>
                <w:lang w:val="sr-Latn-RS"/>
              </w:rPr>
              <w:t>10</w:t>
            </w:r>
          </w:p>
        </w:tc>
      </w:tr>
      <w:tr w:rsidR="00BB1EA4" w:rsidRPr="00E51051" w14:paraId="107DDC83" w14:textId="77777777" w:rsidTr="004A38AE">
        <w:trPr>
          <w:trHeight w:val="271"/>
        </w:trPr>
        <w:tc>
          <w:tcPr>
            <w:tcW w:w="1041" w:type="pct"/>
            <w:vMerge/>
            <w:vAlign w:val="center"/>
          </w:tcPr>
          <w:p w14:paraId="5ECFC323" w14:textId="77777777" w:rsidR="00BB1EA4" w:rsidRPr="00E51051" w:rsidRDefault="00BB1EA4" w:rsidP="004A38AE">
            <w:pPr>
              <w:jc w:val="center"/>
              <w:rPr>
                <w:sz w:val="22"/>
                <w:szCs w:val="22"/>
                <w:lang w:val="sr-Latn-RS"/>
              </w:rPr>
            </w:pPr>
          </w:p>
        </w:tc>
        <w:tc>
          <w:tcPr>
            <w:tcW w:w="989" w:type="pct"/>
            <w:vAlign w:val="center"/>
          </w:tcPr>
          <w:p w14:paraId="637E0548" w14:textId="77777777" w:rsidR="00BB1EA4" w:rsidRPr="00E51051" w:rsidRDefault="00BB1EA4" w:rsidP="004A38AE">
            <w:pPr>
              <w:jc w:val="center"/>
              <w:rPr>
                <w:sz w:val="22"/>
                <w:szCs w:val="22"/>
                <w:lang w:val="sr-Latn-RS"/>
              </w:rPr>
            </w:pPr>
            <w:r w:rsidRPr="00E51051">
              <w:rPr>
                <w:sz w:val="22"/>
                <w:szCs w:val="22"/>
                <w:lang w:val="sr-Latn-RS"/>
              </w:rPr>
              <w:t>3</w:t>
            </w:r>
          </w:p>
        </w:tc>
        <w:tc>
          <w:tcPr>
            <w:tcW w:w="990" w:type="pct"/>
            <w:vAlign w:val="center"/>
          </w:tcPr>
          <w:p w14:paraId="749D86C0" w14:textId="77777777" w:rsidR="00BB1EA4" w:rsidRPr="00E51051" w:rsidRDefault="00BB1EA4" w:rsidP="004A38AE">
            <w:pPr>
              <w:jc w:val="center"/>
              <w:rPr>
                <w:sz w:val="22"/>
                <w:szCs w:val="22"/>
                <w:lang w:val="sr-Latn-RS"/>
              </w:rPr>
            </w:pPr>
            <w:r w:rsidRPr="00E51051">
              <w:rPr>
                <w:sz w:val="22"/>
                <w:szCs w:val="22"/>
                <w:lang w:val="sr-Latn-RS"/>
              </w:rPr>
              <w:t>60</w:t>
            </w:r>
          </w:p>
        </w:tc>
        <w:tc>
          <w:tcPr>
            <w:tcW w:w="990" w:type="pct"/>
            <w:vAlign w:val="center"/>
          </w:tcPr>
          <w:p w14:paraId="5A476DA8" w14:textId="77777777" w:rsidR="00BB1EA4" w:rsidRPr="00E51051" w:rsidRDefault="00BB1EA4" w:rsidP="004A38AE">
            <w:pPr>
              <w:jc w:val="center"/>
              <w:rPr>
                <w:sz w:val="22"/>
                <w:szCs w:val="22"/>
                <w:lang w:val="sr-Latn-RS"/>
              </w:rPr>
            </w:pPr>
            <w:r w:rsidRPr="00E51051">
              <w:rPr>
                <w:sz w:val="22"/>
                <w:szCs w:val="22"/>
                <w:lang w:val="sr-Latn-RS"/>
              </w:rPr>
              <w:t>30</w:t>
            </w:r>
          </w:p>
        </w:tc>
        <w:tc>
          <w:tcPr>
            <w:tcW w:w="990" w:type="pct"/>
            <w:vAlign w:val="center"/>
          </w:tcPr>
          <w:p w14:paraId="0146B441" w14:textId="77777777" w:rsidR="00BB1EA4" w:rsidRPr="00E51051" w:rsidRDefault="00BB1EA4" w:rsidP="004A38AE">
            <w:pPr>
              <w:jc w:val="center"/>
              <w:rPr>
                <w:sz w:val="22"/>
                <w:szCs w:val="22"/>
                <w:lang w:val="sr-Latn-RS"/>
              </w:rPr>
            </w:pPr>
            <w:r w:rsidRPr="00E51051">
              <w:rPr>
                <w:sz w:val="22"/>
                <w:szCs w:val="22"/>
                <w:lang w:val="sr-Latn-RS"/>
              </w:rPr>
              <w:t>6</w:t>
            </w:r>
          </w:p>
        </w:tc>
      </w:tr>
      <w:tr w:rsidR="00BB1EA4" w:rsidRPr="00E51051" w14:paraId="5F06B1B1" w14:textId="77777777" w:rsidTr="0015597B">
        <w:trPr>
          <w:trHeight w:val="206"/>
        </w:trPr>
        <w:tc>
          <w:tcPr>
            <w:tcW w:w="1041" w:type="pct"/>
            <w:vMerge/>
            <w:tcBorders>
              <w:bottom w:val="single" w:sz="4" w:space="0" w:color="auto"/>
            </w:tcBorders>
            <w:vAlign w:val="center"/>
          </w:tcPr>
          <w:p w14:paraId="4781383A" w14:textId="77777777" w:rsidR="00BB1EA4" w:rsidRPr="00E51051" w:rsidRDefault="00BB1EA4" w:rsidP="004A38AE">
            <w:pPr>
              <w:jc w:val="center"/>
              <w:rPr>
                <w:sz w:val="22"/>
                <w:szCs w:val="22"/>
                <w:lang w:val="sr-Latn-RS"/>
              </w:rPr>
            </w:pPr>
          </w:p>
        </w:tc>
        <w:tc>
          <w:tcPr>
            <w:tcW w:w="989" w:type="pct"/>
            <w:tcBorders>
              <w:bottom w:val="single" w:sz="4" w:space="0" w:color="auto"/>
            </w:tcBorders>
            <w:vAlign w:val="center"/>
          </w:tcPr>
          <w:p w14:paraId="4356D59C" w14:textId="77777777" w:rsidR="00BB1EA4" w:rsidRPr="00E51051" w:rsidRDefault="00BB1EA4" w:rsidP="004A38AE">
            <w:pPr>
              <w:jc w:val="center"/>
              <w:rPr>
                <w:sz w:val="22"/>
                <w:szCs w:val="22"/>
                <w:lang w:val="sr-Latn-RS"/>
              </w:rPr>
            </w:pPr>
            <w:r w:rsidRPr="00E51051">
              <w:rPr>
                <w:sz w:val="22"/>
                <w:szCs w:val="22"/>
                <w:lang w:val="sr-Latn-RS"/>
              </w:rPr>
              <w:t>1,5</w:t>
            </w:r>
          </w:p>
        </w:tc>
        <w:tc>
          <w:tcPr>
            <w:tcW w:w="990" w:type="pct"/>
            <w:tcBorders>
              <w:bottom w:val="single" w:sz="4" w:space="0" w:color="auto"/>
            </w:tcBorders>
            <w:vAlign w:val="center"/>
          </w:tcPr>
          <w:p w14:paraId="754D9D3B" w14:textId="77777777" w:rsidR="00BB1EA4" w:rsidRPr="00E51051" w:rsidRDefault="00BB1EA4" w:rsidP="004A38AE">
            <w:pPr>
              <w:jc w:val="center"/>
              <w:rPr>
                <w:sz w:val="22"/>
                <w:szCs w:val="22"/>
                <w:lang w:val="sr-Latn-RS"/>
              </w:rPr>
            </w:pPr>
            <w:r w:rsidRPr="00E51051">
              <w:rPr>
                <w:sz w:val="22"/>
                <w:szCs w:val="22"/>
                <w:lang w:val="sr-Latn-RS"/>
              </w:rPr>
              <w:t>30</w:t>
            </w:r>
          </w:p>
        </w:tc>
        <w:tc>
          <w:tcPr>
            <w:tcW w:w="990" w:type="pct"/>
            <w:tcBorders>
              <w:bottom w:val="single" w:sz="4" w:space="0" w:color="auto"/>
            </w:tcBorders>
            <w:vAlign w:val="center"/>
          </w:tcPr>
          <w:p w14:paraId="3D95DF4A" w14:textId="77777777" w:rsidR="00BB1EA4" w:rsidRPr="00E51051" w:rsidRDefault="00BB1EA4" w:rsidP="004A38AE">
            <w:pPr>
              <w:jc w:val="center"/>
              <w:rPr>
                <w:sz w:val="22"/>
                <w:szCs w:val="22"/>
                <w:lang w:val="sr-Latn-RS"/>
              </w:rPr>
            </w:pPr>
            <w:r w:rsidRPr="00E51051">
              <w:rPr>
                <w:sz w:val="22"/>
                <w:szCs w:val="22"/>
                <w:lang w:val="sr-Latn-RS"/>
              </w:rPr>
              <w:t>15</w:t>
            </w:r>
          </w:p>
        </w:tc>
        <w:tc>
          <w:tcPr>
            <w:tcW w:w="990" w:type="pct"/>
            <w:tcBorders>
              <w:bottom w:val="single" w:sz="4" w:space="0" w:color="auto"/>
            </w:tcBorders>
            <w:vAlign w:val="center"/>
          </w:tcPr>
          <w:p w14:paraId="39A3E14A" w14:textId="77777777" w:rsidR="00BB1EA4" w:rsidRPr="00E51051" w:rsidRDefault="00BB1EA4" w:rsidP="004A38AE">
            <w:pPr>
              <w:jc w:val="center"/>
              <w:rPr>
                <w:sz w:val="22"/>
                <w:szCs w:val="22"/>
                <w:lang w:val="sr-Latn-RS"/>
              </w:rPr>
            </w:pPr>
            <w:r w:rsidRPr="00E51051">
              <w:rPr>
                <w:sz w:val="22"/>
                <w:szCs w:val="22"/>
                <w:lang w:val="sr-Latn-RS"/>
              </w:rPr>
              <w:t>3</w:t>
            </w:r>
          </w:p>
        </w:tc>
      </w:tr>
    </w:tbl>
    <w:p w14:paraId="1EDBBD07" w14:textId="2C6DEBE3" w:rsidR="00BB1EA4" w:rsidRPr="00E51051" w:rsidRDefault="00BB1EA4" w:rsidP="00187482">
      <w:pPr>
        <w:pStyle w:val="Header"/>
        <w:jc w:val="both"/>
        <w:rPr>
          <w:sz w:val="22"/>
          <w:szCs w:val="22"/>
          <w:lang w:val="sr-Latn-RS"/>
        </w:rPr>
      </w:pPr>
      <w:r w:rsidRPr="00E51051">
        <w:rPr>
          <w:sz w:val="22"/>
          <w:szCs w:val="22"/>
          <w:lang w:val="sr-Latn-RS"/>
        </w:rPr>
        <w:t>* Definisano kao &gt; 32 ned</w:t>
      </w:r>
      <w:r w:rsidR="00903422" w:rsidRPr="00E51051">
        <w:rPr>
          <w:sz w:val="22"/>
          <w:szCs w:val="22"/>
          <w:lang w:val="sr-Latn-RS"/>
        </w:rPr>
        <w:t>j</w:t>
      </w:r>
      <w:r w:rsidRPr="00E51051">
        <w:rPr>
          <w:sz w:val="22"/>
          <w:szCs w:val="22"/>
          <w:lang w:val="sr-Latn-RS"/>
        </w:rPr>
        <w:t>elje gestacionog perioda i ≥ 7 dana postanatalnog perioda.</w:t>
      </w:r>
    </w:p>
    <w:p w14:paraId="6EEF7455" w14:textId="0E60906C" w:rsidR="00BB1EA4" w:rsidRPr="00E51051" w:rsidRDefault="00BB1EA4" w:rsidP="00187482">
      <w:pPr>
        <w:pStyle w:val="Header"/>
        <w:tabs>
          <w:tab w:val="left" w:pos="284"/>
        </w:tabs>
        <w:jc w:val="both"/>
        <w:rPr>
          <w:sz w:val="22"/>
          <w:szCs w:val="22"/>
          <w:lang w:val="sr-Latn-RS"/>
        </w:rPr>
      </w:pPr>
      <w:r w:rsidRPr="00E51051">
        <w:rPr>
          <w:sz w:val="22"/>
          <w:szCs w:val="22"/>
          <w:lang w:val="sr-Latn-RS"/>
        </w:rPr>
        <w:t>**</w:t>
      </w:r>
      <w:r w:rsidR="00F875B2" w:rsidRPr="00E51051">
        <w:rPr>
          <w:sz w:val="22"/>
          <w:szCs w:val="22"/>
          <w:lang w:val="sr-Latn-RS"/>
        </w:rPr>
        <w:t>Kod djece tjelesne mase</w:t>
      </w:r>
      <w:r w:rsidRPr="00E51051">
        <w:rPr>
          <w:sz w:val="22"/>
          <w:szCs w:val="22"/>
          <w:lang w:val="sr-Latn-RS"/>
        </w:rPr>
        <w:t xml:space="preserve"> &gt; 50 kg sa eGFR &gt; 50 </w:t>
      </w:r>
      <w:r w:rsidR="00157168" w:rsidRPr="00E51051">
        <w:rPr>
          <w:sz w:val="22"/>
          <w:szCs w:val="22"/>
          <w:lang w:val="sr-Latn-RS"/>
        </w:rPr>
        <w:t xml:space="preserve"> ml/</w:t>
      </w:r>
      <w:r w:rsidRPr="00E51051">
        <w:rPr>
          <w:sz w:val="22"/>
          <w:szCs w:val="22"/>
          <w:lang w:val="sr-Latn-RS"/>
        </w:rPr>
        <w:t>min/1,73 m</w:t>
      </w:r>
      <w:r w:rsidRPr="00E51051">
        <w:rPr>
          <w:sz w:val="22"/>
          <w:szCs w:val="22"/>
          <w:vertAlign w:val="superscript"/>
          <w:lang w:val="sr-Latn-RS"/>
        </w:rPr>
        <w:t>2</w:t>
      </w:r>
      <w:r w:rsidRPr="00E51051">
        <w:rPr>
          <w:sz w:val="22"/>
          <w:szCs w:val="22"/>
          <w:lang w:val="sr-Latn-RS"/>
        </w:rPr>
        <w:t xml:space="preserve"> </w:t>
      </w:r>
      <w:bookmarkEnd w:id="1"/>
      <w:r w:rsidR="00D95002" w:rsidRPr="00E51051">
        <w:rPr>
          <w:sz w:val="22"/>
          <w:szCs w:val="22"/>
          <w:lang w:val="sr-Latn-RS"/>
        </w:rPr>
        <w:t>se ne smije prekoračiti maksimalna doza od 1 g ceftolozana/0,5 g tazobaktama.</w:t>
      </w:r>
    </w:p>
    <w:p w14:paraId="734EC2F5" w14:textId="77777777" w:rsidR="00BB1EA4" w:rsidRPr="00E51051" w:rsidRDefault="00BB1EA4" w:rsidP="00187482">
      <w:pPr>
        <w:pStyle w:val="Header"/>
        <w:tabs>
          <w:tab w:val="left" w:pos="284"/>
        </w:tabs>
        <w:jc w:val="both"/>
        <w:rPr>
          <w:sz w:val="22"/>
          <w:szCs w:val="22"/>
          <w:lang w:val="sr-Latn-RS"/>
        </w:rPr>
      </w:pPr>
    </w:p>
    <w:p w14:paraId="2F9A285E" w14:textId="5DB0C192" w:rsidR="00BB1EA4" w:rsidRPr="00E51051" w:rsidRDefault="00BB1EA4" w:rsidP="00187482">
      <w:pPr>
        <w:pStyle w:val="Header"/>
        <w:tabs>
          <w:tab w:val="left" w:pos="284"/>
        </w:tabs>
        <w:jc w:val="both"/>
        <w:rPr>
          <w:sz w:val="22"/>
          <w:szCs w:val="22"/>
          <w:lang w:val="sr-Latn-RS"/>
        </w:rPr>
      </w:pPr>
      <w:r w:rsidRPr="00E51051">
        <w:rPr>
          <w:sz w:val="22"/>
          <w:szCs w:val="22"/>
          <w:lang w:val="sr-Latn-RS"/>
        </w:rPr>
        <w:t>Jedna od aktivnih supstanci, ceftolozan, može imati štetne uticaje ukoliko dosp</w:t>
      </w:r>
      <w:r w:rsidR="004D1830" w:rsidRPr="00E51051">
        <w:rPr>
          <w:sz w:val="22"/>
          <w:szCs w:val="22"/>
          <w:lang w:val="sr-Latn-RS"/>
        </w:rPr>
        <w:t>ij</w:t>
      </w:r>
      <w:r w:rsidRPr="00E51051">
        <w:rPr>
          <w:sz w:val="22"/>
          <w:szCs w:val="22"/>
          <w:lang w:val="sr-Latn-RS"/>
        </w:rPr>
        <w:t>e u vodenu sredinu (vid</w:t>
      </w:r>
      <w:r w:rsidR="00903422" w:rsidRPr="00E51051">
        <w:rPr>
          <w:sz w:val="22"/>
          <w:szCs w:val="22"/>
          <w:lang w:val="sr-Latn-RS"/>
        </w:rPr>
        <w:t>j</w:t>
      </w:r>
      <w:r w:rsidRPr="00E51051">
        <w:rPr>
          <w:sz w:val="22"/>
          <w:szCs w:val="22"/>
          <w:lang w:val="sr-Latn-RS"/>
        </w:rPr>
        <w:t xml:space="preserve">eti </w:t>
      </w:r>
      <w:r w:rsidR="004D1830" w:rsidRPr="00E51051">
        <w:rPr>
          <w:sz w:val="22"/>
          <w:szCs w:val="22"/>
          <w:lang w:val="sr-Latn-RS"/>
        </w:rPr>
        <w:t xml:space="preserve">dio </w:t>
      </w:r>
      <w:r w:rsidRPr="00E51051">
        <w:rPr>
          <w:sz w:val="22"/>
          <w:szCs w:val="22"/>
          <w:lang w:val="sr-Latn-RS"/>
        </w:rPr>
        <w:t>5.3). Nemojte bacati bilo koje neiskorišćene l</w:t>
      </w:r>
      <w:r w:rsidR="00903422" w:rsidRPr="00E51051">
        <w:rPr>
          <w:sz w:val="22"/>
          <w:szCs w:val="22"/>
          <w:lang w:val="sr-Latn-RS"/>
        </w:rPr>
        <w:t>j</w:t>
      </w:r>
      <w:r w:rsidRPr="00E51051">
        <w:rPr>
          <w:sz w:val="22"/>
          <w:szCs w:val="22"/>
          <w:lang w:val="sr-Latn-RS"/>
        </w:rPr>
        <w:t>ekove ili otpadni materijal u otpadne vode. Svu neiskorišćenu količinu l</w:t>
      </w:r>
      <w:r w:rsidR="00903422" w:rsidRPr="00E51051">
        <w:rPr>
          <w:sz w:val="22"/>
          <w:szCs w:val="22"/>
          <w:lang w:val="sr-Latn-RS"/>
        </w:rPr>
        <w:t>ij</w:t>
      </w:r>
      <w:r w:rsidRPr="00E51051">
        <w:rPr>
          <w:sz w:val="22"/>
          <w:szCs w:val="22"/>
          <w:lang w:val="sr-Latn-RS"/>
        </w:rPr>
        <w:t>eka ili otpadnog materijala nakon njegove upotrebe treba ukloniti, u skladu sa važećim propisima. Ove m</w:t>
      </w:r>
      <w:r w:rsidR="00903422" w:rsidRPr="00E51051">
        <w:rPr>
          <w:sz w:val="22"/>
          <w:szCs w:val="22"/>
          <w:lang w:val="sr-Latn-RS"/>
        </w:rPr>
        <w:t>j</w:t>
      </w:r>
      <w:r w:rsidRPr="00E51051">
        <w:rPr>
          <w:sz w:val="22"/>
          <w:szCs w:val="22"/>
          <w:lang w:val="sr-Latn-RS"/>
        </w:rPr>
        <w:t>ere će pomoći u očuvanju životne sredine.</w:t>
      </w:r>
    </w:p>
    <w:p w14:paraId="02FA48BD" w14:textId="77777777" w:rsidR="00B66A70" w:rsidRPr="00E51051" w:rsidRDefault="00B66A70" w:rsidP="00187482">
      <w:pPr>
        <w:tabs>
          <w:tab w:val="left" w:pos="540"/>
          <w:tab w:val="left" w:pos="569"/>
        </w:tabs>
        <w:jc w:val="both"/>
        <w:rPr>
          <w:b/>
          <w:bCs/>
          <w:sz w:val="22"/>
          <w:szCs w:val="22"/>
          <w:lang w:val="sr-Latn-RS"/>
        </w:rPr>
      </w:pPr>
    </w:p>
    <w:p w14:paraId="56C535C7" w14:textId="77777777" w:rsidR="0072020E" w:rsidRPr="00E51051" w:rsidRDefault="0072020E" w:rsidP="00480FB1">
      <w:pPr>
        <w:tabs>
          <w:tab w:val="left" w:pos="540"/>
          <w:tab w:val="left" w:pos="569"/>
        </w:tabs>
        <w:rPr>
          <w:bCs/>
          <w:sz w:val="22"/>
          <w:szCs w:val="22"/>
          <w:lang w:val="sr-Latn-RS"/>
        </w:rPr>
      </w:pPr>
    </w:p>
    <w:p w14:paraId="66ACF932" w14:textId="16B09D3C" w:rsidR="00F8570A" w:rsidRPr="00E51051" w:rsidRDefault="0072020E" w:rsidP="00480FB1">
      <w:pPr>
        <w:tabs>
          <w:tab w:val="left" w:pos="540"/>
          <w:tab w:val="left" w:pos="569"/>
        </w:tabs>
        <w:rPr>
          <w:b/>
          <w:bCs/>
          <w:sz w:val="22"/>
          <w:szCs w:val="22"/>
          <w:lang w:val="sr-Latn-RS"/>
        </w:rPr>
      </w:pPr>
      <w:r w:rsidRPr="00E51051">
        <w:rPr>
          <w:b/>
          <w:bCs/>
          <w:sz w:val="22"/>
          <w:szCs w:val="22"/>
          <w:lang w:val="sr-Latn-RS"/>
        </w:rPr>
        <w:t xml:space="preserve">7. </w:t>
      </w:r>
      <w:r w:rsidR="00480FB1" w:rsidRPr="00E51051">
        <w:rPr>
          <w:b/>
          <w:bCs/>
          <w:sz w:val="22"/>
          <w:szCs w:val="22"/>
          <w:lang w:val="sr-Latn-RS"/>
        </w:rPr>
        <w:tab/>
      </w:r>
      <w:r w:rsidRPr="00E51051">
        <w:rPr>
          <w:b/>
          <w:bCs/>
          <w:sz w:val="22"/>
          <w:szCs w:val="22"/>
          <w:lang w:val="sr-Latn-RS"/>
        </w:rPr>
        <w:t>NOSILAC DOZVOLE</w:t>
      </w:r>
      <w:r w:rsidR="00483928" w:rsidRPr="00E51051">
        <w:rPr>
          <w:b/>
          <w:bCs/>
          <w:sz w:val="22"/>
          <w:szCs w:val="22"/>
          <w:lang w:val="sr-Latn-RS"/>
        </w:rPr>
        <w:t xml:space="preserve"> </w:t>
      </w:r>
    </w:p>
    <w:p w14:paraId="108CC97C" w14:textId="77777777" w:rsidR="00A64322" w:rsidRPr="00E51051" w:rsidRDefault="00A64322" w:rsidP="00480FB1">
      <w:pPr>
        <w:tabs>
          <w:tab w:val="left" w:pos="540"/>
          <w:tab w:val="left" w:pos="569"/>
        </w:tabs>
        <w:rPr>
          <w:b/>
          <w:bCs/>
          <w:sz w:val="22"/>
          <w:szCs w:val="22"/>
          <w:lang w:val="sr-Latn-RS"/>
        </w:rPr>
      </w:pPr>
    </w:p>
    <w:p w14:paraId="6F6375A4" w14:textId="77777777" w:rsidR="00F2102A" w:rsidRPr="00E51051" w:rsidRDefault="00F2102A" w:rsidP="00F2102A">
      <w:pPr>
        <w:pStyle w:val="Default"/>
        <w:rPr>
          <w:sz w:val="22"/>
          <w:szCs w:val="22"/>
          <w:lang w:val="sr-Latn-RS"/>
        </w:rPr>
      </w:pPr>
      <w:r w:rsidRPr="00E51051">
        <w:rPr>
          <w:sz w:val="22"/>
          <w:szCs w:val="22"/>
          <w:lang w:val="sr-Latn-RS"/>
        </w:rPr>
        <w:t xml:space="preserve">Glosarij d.o.o. </w:t>
      </w:r>
    </w:p>
    <w:p w14:paraId="12C5E744" w14:textId="4BDC2809" w:rsidR="00C37FD7" w:rsidRPr="00E51051" w:rsidRDefault="00F2102A" w:rsidP="00F2102A">
      <w:pPr>
        <w:tabs>
          <w:tab w:val="left" w:pos="540"/>
          <w:tab w:val="left" w:pos="569"/>
        </w:tabs>
        <w:rPr>
          <w:sz w:val="22"/>
          <w:szCs w:val="22"/>
          <w:lang w:val="sr-Latn-RS"/>
        </w:rPr>
      </w:pPr>
      <w:r w:rsidRPr="00E51051">
        <w:rPr>
          <w:sz w:val="22"/>
          <w:szCs w:val="22"/>
          <w:lang w:val="sr-Latn-RS"/>
        </w:rPr>
        <w:t>Vojislavljevića 76, Podgorica, Crna Gora</w:t>
      </w:r>
    </w:p>
    <w:p w14:paraId="57F8C96B" w14:textId="77777777" w:rsidR="00F2102A" w:rsidRPr="00E51051" w:rsidRDefault="00F2102A" w:rsidP="00F2102A">
      <w:pPr>
        <w:tabs>
          <w:tab w:val="left" w:pos="540"/>
          <w:tab w:val="left" w:pos="569"/>
        </w:tabs>
        <w:rPr>
          <w:bCs/>
          <w:sz w:val="22"/>
          <w:szCs w:val="22"/>
          <w:lang w:val="sr-Latn-RS"/>
        </w:rPr>
      </w:pPr>
    </w:p>
    <w:p w14:paraId="4D45DA58" w14:textId="7EC950ED" w:rsidR="0072020E" w:rsidRDefault="0072020E" w:rsidP="00480FB1">
      <w:pPr>
        <w:tabs>
          <w:tab w:val="left" w:pos="540"/>
          <w:tab w:val="left" w:pos="569"/>
        </w:tabs>
        <w:rPr>
          <w:b/>
          <w:bCs/>
          <w:sz w:val="22"/>
          <w:szCs w:val="22"/>
          <w:lang w:val="sr-Latn-RS"/>
        </w:rPr>
      </w:pPr>
      <w:r w:rsidRPr="00E51051">
        <w:rPr>
          <w:b/>
          <w:bCs/>
          <w:sz w:val="22"/>
          <w:szCs w:val="22"/>
          <w:lang w:val="sr-Latn-RS"/>
        </w:rPr>
        <w:lastRenderedPageBreak/>
        <w:t xml:space="preserve">8. </w:t>
      </w:r>
      <w:r w:rsidR="00480FB1" w:rsidRPr="00E51051">
        <w:rPr>
          <w:b/>
          <w:bCs/>
          <w:sz w:val="22"/>
          <w:szCs w:val="22"/>
          <w:lang w:val="sr-Latn-RS"/>
        </w:rPr>
        <w:tab/>
      </w:r>
      <w:r w:rsidRPr="00E51051">
        <w:rPr>
          <w:b/>
          <w:bCs/>
          <w:sz w:val="22"/>
          <w:szCs w:val="22"/>
          <w:lang w:val="sr-Latn-RS"/>
        </w:rPr>
        <w:t>BROJ DOZVOLE</w:t>
      </w:r>
      <w:r w:rsidR="008A6D43" w:rsidRPr="00E51051">
        <w:rPr>
          <w:b/>
          <w:bCs/>
          <w:sz w:val="22"/>
          <w:szCs w:val="22"/>
          <w:lang w:val="sr-Latn-RS"/>
        </w:rPr>
        <w:t xml:space="preserve"> ZA STAVLJANJE LIJEKA U PROMET</w:t>
      </w:r>
    </w:p>
    <w:p w14:paraId="0C328997" w14:textId="3B2127BE" w:rsidR="00E51051" w:rsidRDefault="00E51051" w:rsidP="00480FB1">
      <w:pPr>
        <w:tabs>
          <w:tab w:val="left" w:pos="540"/>
          <w:tab w:val="left" w:pos="569"/>
        </w:tabs>
        <w:rPr>
          <w:b/>
          <w:bCs/>
          <w:sz w:val="22"/>
          <w:szCs w:val="22"/>
          <w:lang w:val="sr-Latn-RS"/>
        </w:rPr>
      </w:pPr>
    </w:p>
    <w:p w14:paraId="01FE661D" w14:textId="3E6309EE" w:rsidR="00E51051" w:rsidRPr="00E51051" w:rsidRDefault="00E51051" w:rsidP="00480FB1">
      <w:pPr>
        <w:tabs>
          <w:tab w:val="left" w:pos="540"/>
          <w:tab w:val="left" w:pos="569"/>
        </w:tabs>
        <w:rPr>
          <w:bCs/>
          <w:sz w:val="22"/>
          <w:szCs w:val="22"/>
          <w:lang w:val="sr-Latn-RS"/>
        </w:rPr>
      </w:pPr>
      <w:r w:rsidRPr="00E51051">
        <w:rPr>
          <w:bCs/>
          <w:sz w:val="22"/>
          <w:szCs w:val="22"/>
          <w:lang w:val="sr-Latn-RS"/>
        </w:rPr>
        <w:t>2030/23/3965 - 7522</w:t>
      </w:r>
    </w:p>
    <w:p w14:paraId="0BD6361E" w14:textId="77777777" w:rsidR="0072020E" w:rsidRPr="00E51051" w:rsidRDefault="0072020E" w:rsidP="00480FB1">
      <w:pPr>
        <w:tabs>
          <w:tab w:val="left" w:pos="540"/>
          <w:tab w:val="left" w:pos="569"/>
        </w:tabs>
        <w:rPr>
          <w:bCs/>
          <w:sz w:val="22"/>
          <w:szCs w:val="22"/>
          <w:lang w:val="sr-Latn-RS"/>
        </w:rPr>
      </w:pPr>
    </w:p>
    <w:p w14:paraId="33E6CFB3" w14:textId="77777777" w:rsidR="00F45F77" w:rsidRPr="00E51051" w:rsidRDefault="00F45F77" w:rsidP="00480FB1">
      <w:pPr>
        <w:tabs>
          <w:tab w:val="left" w:pos="540"/>
          <w:tab w:val="left" w:pos="569"/>
        </w:tabs>
        <w:rPr>
          <w:bCs/>
          <w:sz w:val="22"/>
          <w:szCs w:val="22"/>
          <w:lang w:val="sr-Latn-RS"/>
        </w:rPr>
      </w:pPr>
    </w:p>
    <w:p w14:paraId="38BAE5B6" w14:textId="77777777" w:rsidR="0072020E" w:rsidRPr="00E51051" w:rsidRDefault="0072020E" w:rsidP="00480FB1">
      <w:pPr>
        <w:tabs>
          <w:tab w:val="left" w:pos="540"/>
          <w:tab w:val="left" w:pos="569"/>
        </w:tabs>
        <w:rPr>
          <w:b/>
          <w:bCs/>
          <w:sz w:val="22"/>
          <w:szCs w:val="22"/>
          <w:lang w:val="sr-Latn-RS"/>
        </w:rPr>
      </w:pPr>
      <w:r w:rsidRPr="00E51051">
        <w:rPr>
          <w:b/>
          <w:bCs/>
          <w:sz w:val="22"/>
          <w:szCs w:val="22"/>
          <w:lang w:val="sr-Latn-RS"/>
        </w:rPr>
        <w:t xml:space="preserve">9. </w:t>
      </w:r>
      <w:r w:rsidR="00480FB1" w:rsidRPr="00E51051">
        <w:rPr>
          <w:b/>
          <w:bCs/>
          <w:sz w:val="22"/>
          <w:szCs w:val="22"/>
          <w:lang w:val="sr-Latn-RS"/>
        </w:rPr>
        <w:tab/>
      </w:r>
      <w:r w:rsidRPr="00E51051">
        <w:rPr>
          <w:b/>
          <w:bCs/>
          <w:sz w:val="22"/>
          <w:szCs w:val="22"/>
          <w:lang w:val="sr-Latn-RS"/>
        </w:rPr>
        <w:t xml:space="preserve">DATUM </w:t>
      </w:r>
      <w:r w:rsidR="00C05DF8" w:rsidRPr="00E51051">
        <w:rPr>
          <w:b/>
          <w:bCs/>
          <w:sz w:val="22"/>
          <w:szCs w:val="22"/>
          <w:lang w:val="sr-Latn-RS"/>
        </w:rPr>
        <w:t xml:space="preserve">PRVE </w:t>
      </w:r>
      <w:r w:rsidR="008A6D43" w:rsidRPr="00E51051">
        <w:rPr>
          <w:b/>
          <w:bCs/>
          <w:sz w:val="22"/>
          <w:szCs w:val="22"/>
          <w:lang w:val="sr-Latn-RS"/>
        </w:rPr>
        <w:t>DOZVOLE</w:t>
      </w:r>
      <w:r w:rsidR="00C05DF8" w:rsidRPr="00E51051">
        <w:rPr>
          <w:b/>
          <w:bCs/>
          <w:sz w:val="22"/>
          <w:szCs w:val="22"/>
          <w:lang w:val="sr-Latn-RS"/>
        </w:rPr>
        <w:t>/OBNOVE DOZVOLE</w:t>
      </w:r>
      <w:r w:rsidR="008A6D43" w:rsidRPr="00E51051">
        <w:rPr>
          <w:b/>
          <w:bCs/>
          <w:sz w:val="22"/>
          <w:szCs w:val="22"/>
          <w:lang w:val="sr-Latn-RS"/>
        </w:rPr>
        <w:t xml:space="preserve"> ZA STAVLJANJE LIJEKA U PROMET</w:t>
      </w:r>
    </w:p>
    <w:p w14:paraId="750B4F3B" w14:textId="2C007687" w:rsidR="0072020E" w:rsidRDefault="0072020E" w:rsidP="00480FB1">
      <w:pPr>
        <w:tabs>
          <w:tab w:val="left" w:pos="540"/>
          <w:tab w:val="left" w:pos="569"/>
        </w:tabs>
        <w:rPr>
          <w:bCs/>
          <w:sz w:val="22"/>
          <w:szCs w:val="22"/>
          <w:lang w:val="sr-Latn-RS"/>
        </w:rPr>
      </w:pPr>
    </w:p>
    <w:p w14:paraId="28CFDA4F" w14:textId="0A48A862" w:rsidR="00E51051" w:rsidRPr="00E51051" w:rsidRDefault="00E51051" w:rsidP="00480FB1">
      <w:pPr>
        <w:tabs>
          <w:tab w:val="left" w:pos="540"/>
          <w:tab w:val="left" w:pos="569"/>
        </w:tabs>
        <w:rPr>
          <w:bCs/>
          <w:sz w:val="22"/>
          <w:szCs w:val="22"/>
          <w:lang w:val="sr-Latn-RS"/>
        </w:rPr>
      </w:pPr>
      <w:r w:rsidRPr="00E51051">
        <w:rPr>
          <w:bCs/>
          <w:sz w:val="22"/>
          <w:szCs w:val="22"/>
          <w:lang w:val="sr-Latn-RS"/>
        </w:rPr>
        <w:t>25.10.2023. godine</w:t>
      </w:r>
    </w:p>
    <w:p w14:paraId="4DEB7BA6" w14:textId="78A63438" w:rsidR="00836B35" w:rsidRDefault="00836B35" w:rsidP="00480FB1">
      <w:pPr>
        <w:tabs>
          <w:tab w:val="left" w:pos="540"/>
          <w:tab w:val="left" w:pos="569"/>
        </w:tabs>
        <w:rPr>
          <w:bCs/>
          <w:sz w:val="22"/>
          <w:szCs w:val="22"/>
          <w:lang w:val="sr-Latn-RS"/>
        </w:rPr>
      </w:pPr>
    </w:p>
    <w:p w14:paraId="1B2E4554" w14:textId="77777777" w:rsidR="00E51051" w:rsidRPr="00E51051" w:rsidRDefault="00E51051" w:rsidP="00480FB1">
      <w:pPr>
        <w:tabs>
          <w:tab w:val="left" w:pos="540"/>
          <w:tab w:val="left" w:pos="569"/>
        </w:tabs>
        <w:rPr>
          <w:bCs/>
          <w:sz w:val="22"/>
          <w:szCs w:val="22"/>
          <w:lang w:val="sr-Latn-RS"/>
        </w:rPr>
      </w:pPr>
      <w:bookmarkStart w:id="2" w:name="_GoBack"/>
      <w:bookmarkEnd w:id="2"/>
    </w:p>
    <w:p w14:paraId="5DF37AD3" w14:textId="77777777" w:rsidR="003F6A59" w:rsidRPr="00E51051" w:rsidRDefault="0072020E" w:rsidP="00C05DF8">
      <w:pPr>
        <w:tabs>
          <w:tab w:val="left" w:pos="540"/>
          <w:tab w:val="left" w:pos="569"/>
        </w:tabs>
        <w:ind w:left="540" w:hanging="540"/>
        <w:rPr>
          <w:bCs/>
          <w:sz w:val="22"/>
          <w:szCs w:val="22"/>
          <w:lang w:val="sr-Latn-RS"/>
        </w:rPr>
      </w:pPr>
      <w:r w:rsidRPr="00E51051">
        <w:rPr>
          <w:b/>
          <w:bCs/>
          <w:sz w:val="22"/>
          <w:szCs w:val="22"/>
          <w:lang w:val="sr-Latn-RS"/>
        </w:rPr>
        <w:t xml:space="preserve">10. </w:t>
      </w:r>
      <w:r w:rsidR="00480FB1" w:rsidRPr="00E51051">
        <w:rPr>
          <w:b/>
          <w:bCs/>
          <w:sz w:val="22"/>
          <w:szCs w:val="22"/>
          <w:lang w:val="sr-Latn-RS"/>
        </w:rPr>
        <w:tab/>
      </w:r>
      <w:r w:rsidR="002846DB" w:rsidRPr="00E51051">
        <w:rPr>
          <w:b/>
          <w:bCs/>
          <w:sz w:val="22"/>
          <w:szCs w:val="22"/>
          <w:lang w:val="sr-Latn-RS"/>
        </w:rPr>
        <w:t>D</w:t>
      </w:r>
      <w:r w:rsidR="00EC2532" w:rsidRPr="00E51051">
        <w:rPr>
          <w:b/>
          <w:bCs/>
          <w:sz w:val="22"/>
          <w:szCs w:val="22"/>
          <w:lang w:val="sr-Latn-RS"/>
        </w:rPr>
        <w:t xml:space="preserve">ATUM REVIZIJE TEKSTA </w:t>
      </w:r>
    </w:p>
    <w:p w14:paraId="405E23F0" w14:textId="6CCD808F" w:rsidR="003F6A59" w:rsidRDefault="003F6A59" w:rsidP="00DE3F5C">
      <w:pPr>
        <w:rPr>
          <w:sz w:val="22"/>
          <w:szCs w:val="22"/>
          <w:lang w:val="sr-Latn-RS"/>
        </w:rPr>
      </w:pPr>
    </w:p>
    <w:p w14:paraId="22C9E071" w14:textId="10D8B297" w:rsidR="00E51051" w:rsidRPr="00E51051" w:rsidRDefault="00E51051" w:rsidP="00DE3F5C">
      <w:pPr>
        <w:rPr>
          <w:sz w:val="22"/>
          <w:szCs w:val="22"/>
          <w:lang w:val="sr-Latn-RS"/>
        </w:rPr>
      </w:pPr>
      <w:r>
        <w:rPr>
          <w:sz w:val="22"/>
          <w:szCs w:val="22"/>
          <w:lang w:val="sr-Latn-RS"/>
        </w:rPr>
        <w:t>Oktobar, 2023. godine</w:t>
      </w:r>
    </w:p>
    <w:sectPr w:rsidR="00E51051" w:rsidRPr="00E5105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D7FAC" w14:textId="77777777" w:rsidR="0062150C" w:rsidRDefault="0062150C">
      <w:r>
        <w:separator/>
      </w:r>
    </w:p>
  </w:endnote>
  <w:endnote w:type="continuationSeparator" w:id="0">
    <w:p w14:paraId="1F6832A3" w14:textId="77777777" w:rsidR="0062150C" w:rsidRDefault="0062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AA40" w14:textId="3B8AAD62" w:rsidR="00AA2F33" w:rsidRPr="00B23F69" w:rsidRDefault="00AA2F3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51051">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51051">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7761E" w14:textId="77777777" w:rsidR="0062150C" w:rsidRDefault="0062150C">
      <w:r>
        <w:separator/>
      </w:r>
    </w:p>
  </w:footnote>
  <w:footnote w:type="continuationSeparator" w:id="0">
    <w:p w14:paraId="6719778E" w14:textId="77777777" w:rsidR="0062150C" w:rsidRDefault="0062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75pt;height:13.5pt;visibility:visible" o:bullet="t">
        <v:imagedata r:id="rId1" o:title="BT_1000x858px"/>
      </v:shape>
    </w:pict>
  </w:numPicBullet>
  <w:abstractNum w:abstractNumId="0" w15:restartNumberingAfterBreak="0">
    <w:nsid w:val="023C59FD"/>
    <w:multiLevelType w:val="hybridMultilevel"/>
    <w:tmpl w:val="4DBEC198"/>
    <w:lvl w:ilvl="0" w:tplc="498C069E">
      <w:start w:val="2"/>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1C204C7"/>
    <w:multiLevelType w:val="hybridMultilevel"/>
    <w:tmpl w:val="EB7CB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67404"/>
    <w:multiLevelType w:val="hybridMultilevel"/>
    <w:tmpl w:val="C12AF45A"/>
    <w:lvl w:ilvl="0" w:tplc="EC8AF752">
      <w:start w:val="1"/>
      <w:numFmt w:val="decimal"/>
      <w:lvlText w:val="%1."/>
      <w:lvlJc w:val="left"/>
      <w:pPr>
        <w:ind w:left="555" w:hanging="360"/>
      </w:pPr>
      <w:rPr>
        <w:rFonts w:hint="default"/>
      </w:rPr>
    </w:lvl>
    <w:lvl w:ilvl="1" w:tplc="D17C1402">
      <w:start w:val="1"/>
      <w:numFmt w:val="lowerLetter"/>
      <w:lvlText w:val="%2."/>
      <w:lvlJc w:val="left"/>
      <w:pPr>
        <w:ind w:left="1275" w:hanging="360"/>
      </w:pPr>
      <w:rPr>
        <w:rFonts w:hint="default"/>
      </w:r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16706E5A"/>
    <w:multiLevelType w:val="hybridMultilevel"/>
    <w:tmpl w:val="188C1B92"/>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E3460"/>
    <w:multiLevelType w:val="hybridMultilevel"/>
    <w:tmpl w:val="38D0D69C"/>
    <w:lvl w:ilvl="0" w:tplc="8424F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6217F"/>
    <w:multiLevelType w:val="hybridMultilevel"/>
    <w:tmpl w:val="0BDA038E"/>
    <w:lvl w:ilvl="0" w:tplc="4C1C49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72C598A"/>
    <w:multiLevelType w:val="hybridMultilevel"/>
    <w:tmpl w:val="82428060"/>
    <w:lvl w:ilvl="0" w:tplc="E556A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31E76"/>
    <w:multiLevelType w:val="hybridMultilevel"/>
    <w:tmpl w:val="8438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D65"/>
    <w:multiLevelType w:val="multilevel"/>
    <w:tmpl w:val="68CE0396"/>
    <w:lvl w:ilvl="0">
      <w:start w:val="7"/>
      <w:numFmt w:val="decimal"/>
      <w:lvlText w:val="%1"/>
      <w:lvlJc w:val="left"/>
      <w:pPr>
        <w:ind w:left="400" w:hanging="400"/>
      </w:pPr>
      <w:rPr>
        <w:rFonts w:hint="default"/>
      </w:rPr>
    </w:lvl>
    <w:lvl w:ilvl="1">
      <w:start w:val="14"/>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AB827C7"/>
    <w:multiLevelType w:val="hybridMultilevel"/>
    <w:tmpl w:val="7B6C49C0"/>
    <w:lvl w:ilvl="0" w:tplc="6D9A2002">
      <w:start w:val="1"/>
      <w:numFmt w:val="lowerRoman"/>
      <w:lvlText w:val="%1."/>
      <w:lvlJc w:val="left"/>
      <w:pPr>
        <w:ind w:left="1179" w:hanging="360"/>
      </w:pPr>
      <w:rPr>
        <w:rFonts w:hint="default"/>
      </w:rPr>
    </w:lvl>
    <w:lvl w:ilvl="1" w:tplc="041A0019" w:tentative="1">
      <w:start w:val="1"/>
      <w:numFmt w:val="lowerLetter"/>
      <w:lvlText w:val="%2."/>
      <w:lvlJc w:val="left"/>
      <w:pPr>
        <w:ind w:left="1899" w:hanging="360"/>
      </w:pPr>
    </w:lvl>
    <w:lvl w:ilvl="2" w:tplc="041A001B" w:tentative="1">
      <w:start w:val="1"/>
      <w:numFmt w:val="lowerRoman"/>
      <w:lvlText w:val="%3."/>
      <w:lvlJc w:val="right"/>
      <w:pPr>
        <w:ind w:left="2619" w:hanging="180"/>
      </w:pPr>
    </w:lvl>
    <w:lvl w:ilvl="3" w:tplc="041A000F" w:tentative="1">
      <w:start w:val="1"/>
      <w:numFmt w:val="decimal"/>
      <w:lvlText w:val="%4."/>
      <w:lvlJc w:val="left"/>
      <w:pPr>
        <w:ind w:left="3339" w:hanging="360"/>
      </w:pPr>
    </w:lvl>
    <w:lvl w:ilvl="4" w:tplc="041A0019" w:tentative="1">
      <w:start w:val="1"/>
      <w:numFmt w:val="lowerLetter"/>
      <w:lvlText w:val="%5."/>
      <w:lvlJc w:val="left"/>
      <w:pPr>
        <w:ind w:left="4059" w:hanging="360"/>
      </w:pPr>
    </w:lvl>
    <w:lvl w:ilvl="5" w:tplc="041A001B" w:tentative="1">
      <w:start w:val="1"/>
      <w:numFmt w:val="lowerRoman"/>
      <w:lvlText w:val="%6."/>
      <w:lvlJc w:val="right"/>
      <w:pPr>
        <w:ind w:left="4779" w:hanging="180"/>
      </w:pPr>
    </w:lvl>
    <w:lvl w:ilvl="6" w:tplc="041A000F" w:tentative="1">
      <w:start w:val="1"/>
      <w:numFmt w:val="decimal"/>
      <w:lvlText w:val="%7."/>
      <w:lvlJc w:val="left"/>
      <w:pPr>
        <w:ind w:left="5499" w:hanging="360"/>
      </w:pPr>
    </w:lvl>
    <w:lvl w:ilvl="7" w:tplc="041A0019" w:tentative="1">
      <w:start w:val="1"/>
      <w:numFmt w:val="lowerLetter"/>
      <w:lvlText w:val="%8."/>
      <w:lvlJc w:val="left"/>
      <w:pPr>
        <w:ind w:left="6219" w:hanging="360"/>
      </w:pPr>
    </w:lvl>
    <w:lvl w:ilvl="8" w:tplc="041A001B" w:tentative="1">
      <w:start w:val="1"/>
      <w:numFmt w:val="lowerRoman"/>
      <w:lvlText w:val="%9."/>
      <w:lvlJc w:val="right"/>
      <w:pPr>
        <w:ind w:left="6939" w:hanging="180"/>
      </w:pPr>
    </w:lvl>
  </w:abstractNum>
  <w:abstractNum w:abstractNumId="18" w15:restartNumberingAfterBreak="0">
    <w:nsid w:val="54C3751A"/>
    <w:multiLevelType w:val="hybridMultilevel"/>
    <w:tmpl w:val="C76ABA18"/>
    <w:lvl w:ilvl="0" w:tplc="7DFA6874">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D43EE"/>
    <w:multiLevelType w:val="hybridMultilevel"/>
    <w:tmpl w:val="7410EA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06931"/>
    <w:multiLevelType w:val="hybridMultilevel"/>
    <w:tmpl w:val="915C1A40"/>
    <w:lvl w:ilvl="0" w:tplc="6D9A2002">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9F57C26"/>
    <w:multiLevelType w:val="hybridMultilevel"/>
    <w:tmpl w:val="473E7398"/>
    <w:lvl w:ilvl="0" w:tplc="7DFA6874">
      <w:numFmt w:val="bullet"/>
      <w:lvlText w:val="-"/>
      <w:lvlJc w:val="left"/>
      <w:pPr>
        <w:ind w:left="900" w:hanging="54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
  </w:num>
  <w:num w:numId="4">
    <w:abstractNumId w:val="19"/>
  </w:num>
  <w:num w:numId="5">
    <w:abstractNumId w:val="9"/>
  </w:num>
  <w:num w:numId="6">
    <w:abstractNumId w:val="2"/>
  </w:num>
  <w:num w:numId="7">
    <w:abstractNumId w:val="16"/>
  </w:num>
  <w:num w:numId="8">
    <w:abstractNumId w:val="8"/>
  </w:num>
  <w:num w:numId="9">
    <w:abstractNumId w:val="12"/>
  </w:num>
  <w:num w:numId="10">
    <w:abstractNumId w:val="21"/>
  </w:num>
  <w:num w:numId="11">
    <w:abstractNumId w:val="10"/>
  </w:num>
  <w:num w:numId="12">
    <w:abstractNumId w:val="13"/>
  </w:num>
  <w:num w:numId="13">
    <w:abstractNumId w:val="15"/>
  </w:num>
  <w:num w:numId="14">
    <w:abstractNumId w:val="14"/>
  </w:num>
  <w:num w:numId="15">
    <w:abstractNumId w:val="18"/>
  </w:num>
  <w:num w:numId="16">
    <w:abstractNumId w:val="24"/>
  </w:num>
  <w:num w:numId="17">
    <w:abstractNumId w:val="17"/>
  </w:num>
  <w:num w:numId="18">
    <w:abstractNumId w:val="23"/>
  </w:num>
  <w:num w:numId="19">
    <w:abstractNumId w:val="6"/>
  </w:num>
  <w:num w:numId="20">
    <w:abstractNumId w:val="11"/>
  </w:num>
  <w:num w:numId="21">
    <w:abstractNumId w:val="22"/>
  </w:num>
  <w:num w:numId="22">
    <w:abstractNumId w:val="0"/>
  </w:num>
  <w:num w:numId="23">
    <w:abstractNumId w:val="3"/>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EA0"/>
    <w:rsid w:val="00036FA0"/>
    <w:rsid w:val="0003793F"/>
    <w:rsid w:val="00057E35"/>
    <w:rsid w:val="00076726"/>
    <w:rsid w:val="00080303"/>
    <w:rsid w:val="000A3F58"/>
    <w:rsid w:val="000D2343"/>
    <w:rsid w:val="000D3449"/>
    <w:rsid w:val="000D425A"/>
    <w:rsid w:val="000D60CC"/>
    <w:rsid w:val="000E2084"/>
    <w:rsid w:val="000E6F55"/>
    <w:rsid w:val="000F2A23"/>
    <w:rsid w:val="000F77FA"/>
    <w:rsid w:val="00101384"/>
    <w:rsid w:val="00107BF7"/>
    <w:rsid w:val="001246B1"/>
    <w:rsid w:val="00126F53"/>
    <w:rsid w:val="0014766D"/>
    <w:rsid w:val="001536CC"/>
    <w:rsid w:val="0015597B"/>
    <w:rsid w:val="00157168"/>
    <w:rsid w:val="0016275A"/>
    <w:rsid w:val="00187482"/>
    <w:rsid w:val="001A3FBA"/>
    <w:rsid w:val="001A5518"/>
    <w:rsid w:val="001B0F06"/>
    <w:rsid w:val="001B1C6A"/>
    <w:rsid w:val="001B2CBA"/>
    <w:rsid w:val="001C1263"/>
    <w:rsid w:val="001C1417"/>
    <w:rsid w:val="001E192B"/>
    <w:rsid w:val="001E390B"/>
    <w:rsid w:val="001E6713"/>
    <w:rsid w:val="001F42FB"/>
    <w:rsid w:val="001F719A"/>
    <w:rsid w:val="002031B3"/>
    <w:rsid w:val="00215931"/>
    <w:rsid w:val="00224C91"/>
    <w:rsid w:val="00227BDB"/>
    <w:rsid w:val="00234CB1"/>
    <w:rsid w:val="002352F8"/>
    <w:rsid w:val="002510A5"/>
    <w:rsid w:val="00254A0A"/>
    <w:rsid w:val="00266046"/>
    <w:rsid w:val="00273C3F"/>
    <w:rsid w:val="002846DB"/>
    <w:rsid w:val="00284CCD"/>
    <w:rsid w:val="002C171A"/>
    <w:rsid w:val="002C6637"/>
    <w:rsid w:val="002E0135"/>
    <w:rsid w:val="002E37A5"/>
    <w:rsid w:val="002F676D"/>
    <w:rsid w:val="003042BF"/>
    <w:rsid w:val="00310F03"/>
    <w:rsid w:val="003247D2"/>
    <w:rsid w:val="003445C1"/>
    <w:rsid w:val="003510DD"/>
    <w:rsid w:val="00355800"/>
    <w:rsid w:val="00355B61"/>
    <w:rsid w:val="00362686"/>
    <w:rsid w:val="00371510"/>
    <w:rsid w:val="00376533"/>
    <w:rsid w:val="00396DFD"/>
    <w:rsid w:val="003A7059"/>
    <w:rsid w:val="003B5EE9"/>
    <w:rsid w:val="003B717E"/>
    <w:rsid w:val="003B7A36"/>
    <w:rsid w:val="003C17AB"/>
    <w:rsid w:val="003C7823"/>
    <w:rsid w:val="003D0360"/>
    <w:rsid w:val="003E1DCC"/>
    <w:rsid w:val="003E5719"/>
    <w:rsid w:val="003F11A1"/>
    <w:rsid w:val="003F22BA"/>
    <w:rsid w:val="003F6A59"/>
    <w:rsid w:val="004065C8"/>
    <w:rsid w:val="004109FA"/>
    <w:rsid w:val="00411B4B"/>
    <w:rsid w:val="004148EE"/>
    <w:rsid w:val="00415BEE"/>
    <w:rsid w:val="00427F85"/>
    <w:rsid w:val="00436F42"/>
    <w:rsid w:val="004378B4"/>
    <w:rsid w:val="00451314"/>
    <w:rsid w:val="00452E9D"/>
    <w:rsid w:val="004534C7"/>
    <w:rsid w:val="0045406B"/>
    <w:rsid w:val="004671AA"/>
    <w:rsid w:val="00480FB1"/>
    <w:rsid w:val="00483928"/>
    <w:rsid w:val="004A3612"/>
    <w:rsid w:val="004A38AE"/>
    <w:rsid w:val="004C331F"/>
    <w:rsid w:val="004D1830"/>
    <w:rsid w:val="004D6103"/>
    <w:rsid w:val="004E3BCE"/>
    <w:rsid w:val="004E70AD"/>
    <w:rsid w:val="004F0DD4"/>
    <w:rsid w:val="004F0E97"/>
    <w:rsid w:val="00501DD1"/>
    <w:rsid w:val="0050553C"/>
    <w:rsid w:val="00505EA9"/>
    <w:rsid w:val="0051424C"/>
    <w:rsid w:val="005157CD"/>
    <w:rsid w:val="00515C21"/>
    <w:rsid w:val="00530BD7"/>
    <w:rsid w:val="00545CD2"/>
    <w:rsid w:val="005476F3"/>
    <w:rsid w:val="00572527"/>
    <w:rsid w:val="00573E40"/>
    <w:rsid w:val="00576156"/>
    <w:rsid w:val="00576348"/>
    <w:rsid w:val="005A0B2E"/>
    <w:rsid w:val="005A23D2"/>
    <w:rsid w:val="005A36CB"/>
    <w:rsid w:val="005B49B8"/>
    <w:rsid w:val="005B6D4D"/>
    <w:rsid w:val="005C0741"/>
    <w:rsid w:val="005C5EF4"/>
    <w:rsid w:val="005E2E0B"/>
    <w:rsid w:val="005E7A7D"/>
    <w:rsid w:val="00602457"/>
    <w:rsid w:val="0062150C"/>
    <w:rsid w:val="0062338E"/>
    <w:rsid w:val="00644FC3"/>
    <w:rsid w:val="00646BD1"/>
    <w:rsid w:val="006561C2"/>
    <w:rsid w:val="00671CB3"/>
    <w:rsid w:val="00674BAF"/>
    <w:rsid w:val="00682200"/>
    <w:rsid w:val="00692BF6"/>
    <w:rsid w:val="006A1497"/>
    <w:rsid w:val="006B0BD1"/>
    <w:rsid w:val="006B5404"/>
    <w:rsid w:val="006C58C0"/>
    <w:rsid w:val="006D20A5"/>
    <w:rsid w:val="006D37BF"/>
    <w:rsid w:val="006D6320"/>
    <w:rsid w:val="006F0D02"/>
    <w:rsid w:val="00702E22"/>
    <w:rsid w:val="0072020E"/>
    <w:rsid w:val="007362E1"/>
    <w:rsid w:val="00760ED5"/>
    <w:rsid w:val="007839F8"/>
    <w:rsid w:val="00786071"/>
    <w:rsid w:val="007A3ECB"/>
    <w:rsid w:val="007C58CF"/>
    <w:rsid w:val="007D1B7D"/>
    <w:rsid w:val="007D7BB3"/>
    <w:rsid w:val="00810047"/>
    <w:rsid w:val="00812D54"/>
    <w:rsid w:val="00817472"/>
    <w:rsid w:val="00824AB9"/>
    <w:rsid w:val="0083202B"/>
    <w:rsid w:val="00836B35"/>
    <w:rsid w:val="00843BDE"/>
    <w:rsid w:val="0084484D"/>
    <w:rsid w:val="00846FC0"/>
    <w:rsid w:val="00854802"/>
    <w:rsid w:val="0087588C"/>
    <w:rsid w:val="00882A35"/>
    <w:rsid w:val="0089705C"/>
    <w:rsid w:val="008A6D43"/>
    <w:rsid w:val="008B491E"/>
    <w:rsid w:val="008C1A28"/>
    <w:rsid w:val="008C2E98"/>
    <w:rsid w:val="008E49BD"/>
    <w:rsid w:val="008E53E9"/>
    <w:rsid w:val="008E5771"/>
    <w:rsid w:val="008F4ACF"/>
    <w:rsid w:val="00903422"/>
    <w:rsid w:val="0090725D"/>
    <w:rsid w:val="00924166"/>
    <w:rsid w:val="00940B9B"/>
    <w:rsid w:val="00950117"/>
    <w:rsid w:val="0095676E"/>
    <w:rsid w:val="00956983"/>
    <w:rsid w:val="00963CF0"/>
    <w:rsid w:val="00964BB1"/>
    <w:rsid w:val="009775D9"/>
    <w:rsid w:val="00983A3E"/>
    <w:rsid w:val="00997175"/>
    <w:rsid w:val="009A1847"/>
    <w:rsid w:val="009B062A"/>
    <w:rsid w:val="009D1D0C"/>
    <w:rsid w:val="009E7C6F"/>
    <w:rsid w:val="009F1793"/>
    <w:rsid w:val="009F2D23"/>
    <w:rsid w:val="00A01D69"/>
    <w:rsid w:val="00A02335"/>
    <w:rsid w:val="00A06FD9"/>
    <w:rsid w:val="00A21DAB"/>
    <w:rsid w:val="00A30854"/>
    <w:rsid w:val="00A40402"/>
    <w:rsid w:val="00A46C9A"/>
    <w:rsid w:val="00A6064F"/>
    <w:rsid w:val="00A619F3"/>
    <w:rsid w:val="00A62A73"/>
    <w:rsid w:val="00A64322"/>
    <w:rsid w:val="00A66624"/>
    <w:rsid w:val="00A84F2B"/>
    <w:rsid w:val="00A87FF6"/>
    <w:rsid w:val="00A97F74"/>
    <w:rsid w:val="00AA0A3B"/>
    <w:rsid w:val="00AA2763"/>
    <w:rsid w:val="00AA2F33"/>
    <w:rsid w:val="00AA33B6"/>
    <w:rsid w:val="00AB50CA"/>
    <w:rsid w:val="00AB6D64"/>
    <w:rsid w:val="00AC253A"/>
    <w:rsid w:val="00AC53CE"/>
    <w:rsid w:val="00AD0526"/>
    <w:rsid w:val="00AD2193"/>
    <w:rsid w:val="00AF2AC7"/>
    <w:rsid w:val="00AF74CE"/>
    <w:rsid w:val="00B15B7D"/>
    <w:rsid w:val="00B208DB"/>
    <w:rsid w:val="00B23F69"/>
    <w:rsid w:val="00B3021F"/>
    <w:rsid w:val="00B40632"/>
    <w:rsid w:val="00B4543B"/>
    <w:rsid w:val="00B60619"/>
    <w:rsid w:val="00B62243"/>
    <w:rsid w:val="00B66A70"/>
    <w:rsid w:val="00B67366"/>
    <w:rsid w:val="00B80EE1"/>
    <w:rsid w:val="00B84135"/>
    <w:rsid w:val="00B951AC"/>
    <w:rsid w:val="00BB1EA4"/>
    <w:rsid w:val="00BE39AA"/>
    <w:rsid w:val="00BE5C22"/>
    <w:rsid w:val="00BE6A17"/>
    <w:rsid w:val="00C04D34"/>
    <w:rsid w:val="00C05DF8"/>
    <w:rsid w:val="00C06864"/>
    <w:rsid w:val="00C10F54"/>
    <w:rsid w:val="00C23D8D"/>
    <w:rsid w:val="00C2483D"/>
    <w:rsid w:val="00C37AA3"/>
    <w:rsid w:val="00C37FD7"/>
    <w:rsid w:val="00C43419"/>
    <w:rsid w:val="00C44CF3"/>
    <w:rsid w:val="00C61BE0"/>
    <w:rsid w:val="00C6707E"/>
    <w:rsid w:val="00C70B0E"/>
    <w:rsid w:val="00C7738F"/>
    <w:rsid w:val="00C773CA"/>
    <w:rsid w:val="00C83785"/>
    <w:rsid w:val="00C94C0D"/>
    <w:rsid w:val="00C979D8"/>
    <w:rsid w:val="00CA1FEB"/>
    <w:rsid w:val="00CA2F00"/>
    <w:rsid w:val="00CB134E"/>
    <w:rsid w:val="00CD4F85"/>
    <w:rsid w:val="00CD6F02"/>
    <w:rsid w:val="00CE246D"/>
    <w:rsid w:val="00CF07A0"/>
    <w:rsid w:val="00CF3E03"/>
    <w:rsid w:val="00D0082A"/>
    <w:rsid w:val="00D0483A"/>
    <w:rsid w:val="00D161DE"/>
    <w:rsid w:val="00D21455"/>
    <w:rsid w:val="00D245C3"/>
    <w:rsid w:val="00D47634"/>
    <w:rsid w:val="00D61CFB"/>
    <w:rsid w:val="00D709B3"/>
    <w:rsid w:val="00D95002"/>
    <w:rsid w:val="00DA2ED6"/>
    <w:rsid w:val="00DB76B8"/>
    <w:rsid w:val="00DC2EA1"/>
    <w:rsid w:val="00DD0417"/>
    <w:rsid w:val="00DD566D"/>
    <w:rsid w:val="00DD6AAF"/>
    <w:rsid w:val="00DE17E9"/>
    <w:rsid w:val="00DE3F5C"/>
    <w:rsid w:val="00DF1D20"/>
    <w:rsid w:val="00E208F7"/>
    <w:rsid w:val="00E21324"/>
    <w:rsid w:val="00E246B9"/>
    <w:rsid w:val="00E31BF0"/>
    <w:rsid w:val="00E31FEA"/>
    <w:rsid w:val="00E45169"/>
    <w:rsid w:val="00E47787"/>
    <w:rsid w:val="00E51051"/>
    <w:rsid w:val="00E51C30"/>
    <w:rsid w:val="00E578AA"/>
    <w:rsid w:val="00E64180"/>
    <w:rsid w:val="00E73A45"/>
    <w:rsid w:val="00E74AEE"/>
    <w:rsid w:val="00E82E19"/>
    <w:rsid w:val="00E868E5"/>
    <w:rsid w:val="00E9237A"/>
    <w:rsid w:val="00E939FA"/>
    <w:rsid w:val="00EA0EFB"/>
    <w:rsid w:val="00EA5765"/>
    <w:rsid w:val="00EA7BF0"/>
    <w:rsid w:val="00EC2532"/>
    <w:rsid w:val="00ED7812"/>
    <w:rsid w:val="00EE1A3E"/>
    <w:rsid w:val="00EE3B71"/>
    <w:rsid w:val="00EF188E"/>
    <w:rsid w:val="00EF3B86"/>
    <w:rsid w:val="00F07E80"/>
    <w:rsid w:val="00F13AD9"/>
    <w:rsid w:val="00F2102A"/>
    <w:rsid w:val="00F21D92"/>
    <w:rsid w:val="00F317E9"/>
    <w:rsid w:val="00F34554"/>
    <w:rsid w:val="00F40E61"/>
    <w:rsid w:val="00F45F77"/>
    <w:rsid w:val="00F5167F"/>
    <w:rsid w:val="00F52258"/>
    <w:rsid w:val="00F547A1"/>
    <w:rsid w:val="00F55464"/>
    <w:rsid w:val="00F636E5"/>
    <w:rsid w:val="00F729B9"/>
    <w:rsid w:val="00F8570A"/>
    <w:rsid w:val="00F875B2"/>
    <w:rsid w:val="00F91C7B"/>
    <w:rsid w:val="00FA64F4"/>
    <w:rsid w:val="00FA751F"/>
    <w:rsid w:val="00FD1F73"/>
    <w:rsid w:val="00FE576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D9903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link w:val="Header"/>
    <w:rsid w:val="00F13AD9"/>
    <w:rPr>
      <w:sz w:val="24"/>
      <w:szCs w:val="24"/>
      <w:lang w:val="en-US" w:eastAsia="en-US"/>
    </w:rPr>
  </w:style>
  <w:style w:type="paragraph" w:styleId="ListParagraph">
    <w:name w:val="List Paragraph"/>
    <w:basedOn w:val="Normal"/>
    <w:uiPriority w:val="34"/>
    <w:qFormat/>
    <w:rsid w:val="00F13AD9"/>
    <w:pPr>
      <w:tabs>
        <w:tab w:val="left" w:pos="284"/>
      </w:tabs>
      <w:ind w:left="720"/>
      <w:contextualSpacing/>
      <w:jc w:val="both"/>
    </w:pPr>
    <w:rPr>
      <w:sz w:val="22"/>
    </w:rPr>
  </w:style>
  <w:style w:type="table" w:styleId="TableGrid">
    <w:name w:val="Table Grid"/>
    <w:basedOn w:val="TableNormal"/>
    <w:rsid w:val="00F13AD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qFormat/>
    <w:rsid w:val="00D245C3"/>
    <w:pPr>
      <w:spacing w:before="120" w:after="120" w:line="280" w:lineRule="atLeast"/>
    </w:pPr>
    <w:rPr>
      <w:sz w:val="24"/>
      <w:lang w:val="en-US" w:eastAsia="hr-HR"/>
    </w:rPr>
  </w:style>
  <w:style w:type="character" w:customStyle="1" w:styleId="C-BodyTextChar">
    <w:name w:val="C-Body Text Char"/>
    <w:link w:val="C-BodyText"/>
    <w:rsid w:val="00D245C3"/>
    <w:rPr>
      <w:sz w:val="24"/>
      <w:lang w:val="en-US" w:eastAsia="hr-HR"/>
    </w:rPr>
  </w:style>
  <w:style w:type="paragraph" w:customStyle="1" w:styleId="Default">
    <w:name w:val="Default"/>
    <w:rsid w:val="00F2102A"/>
    <w:pPr>
      <w:autoSpaceDE w:val="0"/>
      <w:autoSpaceDN w:val="0"/>
      <w:adjustRightInd w:val="0"/>
    </w:pPr>
    <w:rPr>
      <w:color w:val="000000"/>
      <w:sz w:val="24"/>
      <w:szCs w:val="24"/>
      <w:lang w:val="en-US"/>
    </w:rPr>
  </w:style>
  <w:style w:type="paragraph" w:styleId="Revision">
    <w:name w:val="Revision"/>
    <w:hidden/>
    <w:uiPriority w:val="99"/>
    <w:semiHidden/>
    <w:rsid w:val="008100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51DE-8CF5-421F-B589-81F86064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7300</Words>
  <Characters>41615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48818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5</cp:revision>
  <dcterms:created xsi:type="dcterms:W3CDTF">2023-09-28T14:55:00Z</dcterms:created>
  <dcterms:modified xsi:type="dcterms:W3CDTF">2023-10-25T06:17:00Z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81acc0d-dcc4-4dc9-a2c5-be70b05a2fe6_Enabled">
    <vt:lpwstr>true</vt:lpwstr>
  </property>
  <property fmtid="{D5CDD505-2E9C-101B-9397-08002B2CF9AE}" pid="4" name="MSIP_Label_e81acc0d-dcc4-4dc9-a2c5-be70b05a2fe6_SetDate">
    <vt:lpwstr>2022-11-03T11:58:35Z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e4ad86de-d5fd-4ad0-96da-8efa58fc1cc5</vt:lpwstr>
  </property>
  <property fmtid="{D5CDD505-2E9C-101B-9397-08002B2CF9AE}" pid="9" name="MSIP_Label_e81acc0d-dcc4-4dc9-a2c5-be70b05a2fe6_ContentBits">
    <vt:lpwstr>0</vt:lpwstr>
  </property>
  <property fmtid="{D5CDD505-2E9C-101B-9397-08002B2CF9AE}" pid="10" name="MerckAIPLabel">
    <vt:lpwstr>NotClassified</vt:lpwstr>
  </property>
  <property fmtid="{D5CDD505-2E9C-101B-9397-08002B2CF9AE}" pid="11" name="MerckAIPDataExchange">
    <vt:lpwstr>!MRKMIP@NotClassified</vt:lpwstr>
  </property>
</Properties>
</file>