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6C683" w14:textId="77777777" w:rsidR="00C22BE5" w:rsidRPr="00390924" w:rsidRDefault="00C22BE5" w:rsidP="00C22BE5">
      <w:pPr>
        <w:rPr>
          <w:sz w:val="22"/>
          <w:szCs w:val="22"/>
        </w:rPr>
      </w:pPr>
    </w:p>
    <w:p w14:paraId="737A6EE5" w14:textId="77777777" w:rsidR="00C22BE5" w:rsidRPr="00016704" w:rsidRDefault="00C22BE5" w:rsidP="00C22BE5">
      <w:pPr>
        <w:rPr>
          <w:sz w:val="22"/>
          <w:szCs w:val="22"/>
        </w:rPr>
      </w:pPr>
    </w:p>
    <w:p w14:paraId="3AFD4931" w14:textId="77777777" w:rsidR="00C22BE5" w:rsidRPr="00016704" w:rsidRDefault="00C30F92" w:rsidP="00C30F92">
      <w:pPr>
        <w:jc w:val="center"/>
        <w:rPr>
          <w:sz w:val="22"/>
          <w:szCs w:val="22"/>
        </w:rPr>
      </w:pPr>
      <w:r w:rsidRPr="00016704">
        <w:rPr>
          <w:b/>
          <w:bCs/>
          <w:iCs/>
          <w:sz w:val="22"/>
          <w:szCs w:val="22"/>
          <w:u w:val="single"/>
        </w:rPr>
        <w:t xml:space="preserve">UPUTSTVO ZA </w:t>
      </w:r>
      <w:r w:rsidR="00B71B51" w:rsidRPr="00016704">
        <w:rPr>
          <w:b/>
          <w:bCs/>
          <w:iCs/>
          <w:sz w:val="22"/>
          <w:szCs w:val="22"/>
          <w:u w:val="single"/>
        </w:rPr>
        <w:t>LIJEK</w:t>
      </w:r>
    </w:p>
    <w:p w14:paraId="21EDBC56" w14:textId="77777777" w:rsidR="00C30F92" w:rsidRPr="00016704" w:rsidRDefault="00C30F92" w:rsidP="00C30F92">
      <w:pPr>
        <w:jc w:val="center"/>
        <w:rPr>
          <w:i/>
          <w:color w:val="808080"/>
          <w:sz w:val="22"/>
          <w:szCs w:val="22"/>
          <w:lang w:val="sr-Latn-CS"/>
        </w:rPr>
      </w:pPr>
    </w:p>
    <w:p w14:paraId="21961A86" w14:textId="46DDEE0E" w:rsidR="00971BFD" w:rsidRPr="00016704" w:rsidRDefault="00971BFD" w:rsidP="00971BFD">
      <w:pPr>
        <w:jc w:val="center"/>
        <w:rPr>
          <w:bCs/>
          <w:sz w:val="22"/>
          <w:szCs w:val="22"/>
          <w:lang w:val="sr-Latn-CS"/>
        </w:rPr>
      </w:pPr>
      <w:r w:rsidRPr="00016704">
        <w:rPr>
          <w:bCs/>
          <w:sz w:val="22"/>
          <w:szCs w:val="22"/>
          <w:lang w:val="sr-Latn-CS"/>
        </w:rPr>
        <w:t>ZERBAXA, 1 g</w:t>
      </w:r>
      <w:r w:rsidR="004166C4" w:rsidRPr="00016704">
        <w:rPr>
          <w:bCs/>
          <w:sz w:val="22"/>
          <w:szCs w:val="22"/>
          <w:lang w:val="sr-Latn-CS"/>
        </w:rPr>
        <w:t xml:space="preserve"> + </w:t>
      </w:r>
      <w:r w:rsidRPr="00016704">
        <w:rPr>
          <w:bCs/>
          <w:sz w:val="22"/>
          <w:szCs w:val="22"/>
          <w:lang w:val="sr-Latn-CS"/>
        </w:rPr>
        <w:t>0,5 g, prašak za koncentrat za rastvor za infuziju</w:t>
      </w:r>
    </w:p>
    <w:p w14:paraId="3DCC2A26" w14:textId="2633D480" w:rsidR="001B6B05" w:rsidRPr="00016704" w:rsidRDefault="00111371" w:rsidP="00971BFD">
      <w:pPr>
        <w:jc w:val="center"/>
        <w:rPr>
          <w:sz w:val="22"/>
          <w:szCs w:val="22"/>
          <w:lang w:val="sr-Latn-CS"/>
        </w:rPr>
      </w:pPr>
      <w:r w:rsidRPr="00016704">
        <w:rPr>
          <w:bCs/>
          <w:sz w:val="22"/>
          <w:szCs w:val="22"/>
          <w:lang w:val="hr-HR"/>
        </w:rPr>
        <w:t>c</w:t>
      </w:r>
      <w:r w:rsidR="00971BFD" w:rsidRPr="00016704">
        <w:rPr>
          <w:bCs/>
          <w:sz w:val="22"/>
          <w:szCs w:val="22"/>
          <w:lang w:val="hr-HR"/>
        </w:rPr>
        <w:t>eftolozan</w:t>
      </w:r>
      <w:r w:rsidRPr="00016704">
        <w:rPr>
          <w:bCs/>
          <w:sz w:val="22"/>
          <w:szCs w:val="22"/>
          <w:lang w:val="hr-HR"/>
        </w:rPr>
        <w:t xml:space="preserve">, </w:t>
      </w:r>
      <w:r w:rsidR="00971BFD" w:rsidRPr="00016704">
        <w:rPr>
          <w:bCs/>
          <w:sz w:val="22"/>
          <w:szCs w:val="22"/>
          <w:lang w:val="hr-HR"/>
        </w:rPr>
        <w:t>tazobaktam</w:t>
      </w:r>
    </w:p>
    <w:p w14:paraId="5C79DAC1" w14:textId="77777777" w:rsidR="00C22BE5" w:rsidRPr="00016704" w:rsidRDefault="00C22BE5" w:rsidP="00C22BE5">
      <w:pPr>
        <w:pStyle w:val="Header"/>
        <w:tabs>
          <w:tab w:val="left" w:pos="284"/>
        </w:tabs>
        <w:rPr>
          <w:sz w:val="22"/>
          <w:szCs w:val="22"/>
          <w:lang w:val="de-DE"/>
        </w:rPr>
      </w:pPr>
    </w:p>
    <w:p w14:paraId="2895CEFB" w14:textId="77777777" w:rsidR="00A32113" w:rsidRPr="00016704" w:rsidRDefault="00A32113" w:rsidP="00786210">
      <w:pPr>
        <w:pStyle w:val="Header"/>
        <w:tabs>
          <w:tab w:val="left" w:pos="284"/>
        </w:tabs>
        <w:rPr>
          <w:i/>
          <w:iCs/>
          <w:sz w:val="22"/>
          <w:szCs w:val="22"/>
          <w:lang w:val="sr-Latn-CS"/>
        </w:rPr>
      </w:pPr>
    </w:p>
    <w:p w14:paraId="77663000" w14:textId="77777777" w:rsidR="00C720CA" w:rsidRPr="00016704" w:rsidRDefault="00C720CA" w:rsidP="00C720CA">
      <w:pPr>
        <w:widowControl w:val="0"/>
        <w:autoSpaceDE w:val="0"/>
        <w:autoSpaceDN w:val="0"/>
        <w:ind w:left="360" w:hanging="360"/>
        <w:rPr>
          <w:b/>
          <w:bCs/>
          <w:sz w:val="22"/>
          <w:szCs w:val="22"/>
          <w:lang w:val="sr-Latn-CS"/>
        </w:rPr>
      </w:pPr>
      <w:r w:rsidRPr="00016704">
        <w:rPr>
          <w:b/>
          <w:bCs/>
          <w:sz w:val="22"/>
          <w:szCs w:val="22"/>
          <w:lang w:val="sr-Latn-CS"/>
        </w:rPr>
        <w:t>Pažljivo pročitajte ovo uputstvo, prije nego što počnete da koristite ovaj lijek,</w:t>
      </w:r>
      <w:r w:rsidRPr="00016704">
        <w:rPr>
          <w:sz w:val="22"/>
          <w:szCs w:val="22"/>
          <w:lang w:val="sr-Latn-CS"/>
        </w:rPr>
        <w:t xml:space="preserve"> </w:t>
      </w:r>
      <w:r w:rsidRPr="00016704">
        <w:rPr>
          <w:b/>
          <w:bCs/>
          <w:sz w:val="22"/>
          <w:szCs w:val="22"/>
          <w:lang w:val="sr-Latn-CS"/>
        </w:rPr>
        <w:t xml:space="preserve">jer sadrži </w:t>
      </w:r>
    </w:p>
    <w:p w14:paraId="264C6244" w14:textId="77777777" w:rsidR="00C720CA" w:rsidRPr="00016704" w:rsidRDefault="00C720CA" w:rsidP="00C720CA">
      <w:pPr>
        <w:widowControl w:val="0"/>
        <w:autoSpaceDE w:val="0"/>
        <w:autoSpaceDN w:val="0"/>
        <w:ind w:left="360" w:hanging="360"/>
        <w:rPr>
          <w:b/>
          <w:bCs/>
          <w:sz w:val="22"/>
          <w:szCs w:val="22"/>
          <w:lang w:val="sr-Latn-CS"/>
        </w:rPr>
      </w:pPr>
      <w:r w:rsidRPr="00016704">
        <w:rPr>
          <w:b/>
          <w:bCs/>
          <w:sz w:val="22"/>
          <w:szCs w:val="22"/>
          <w:lang w:val="sr-Latn-CS"/>
        </w:rPr>
        <w:t>informacije koje su važne za Vas</w:t>
      </w:r>
    </w:p>
    <w:p w14:paraId="5B62A4B1" w14:textId="77777777" w:rsidR="00C720CA" w:rsidRPr="00016704" w:rsidRDefault="00C720CA" w:rsidP="00C720CA">
      <w:pPr>
        <w:widowControl w:val="0"/>
        <w:numPr>
          <w:ilvl w:val="0"/>
          <w:numId w:val="18"/>
        </w:numPr>
        <w:tabs>
          <w:tab w:val="clear" w:pos="576"/>
          <w:tab w:val="num" w:pos="569"/>
          <w:tab w:val="num" w:pos="600"/>
        </w:tabs>
        <w:autoSpaceDE w:val="0"/>
        <w:autoSpaceDN w:val="0"/>
        <w:rPr>
          <w:sz w:val="22"/>
          <w:szCs w:val="22"/>
          <w:lang w:val="sr-Latn-CS"/>
        </w:rPr>
      </w:pPr>
      <w:r w:rsidRPr="00016704">
        <w:rPr>
          <w:sz w:val="22"/>
          <w:szCs w:val="22"/>
          <w:lang w:val="sr-Latn-CS"/>
        </w:rPr>
        <w:t>Uputstvo sačuvajte. Može biti potrebno da ga ponovo pročitate.</w:t>
      </w:r>
    </w:p>
    <w:p w14:paraId="7254F9E8" w14:textId="71D9048D" w:rsidR="00C720CA" w:rsidRPr="00016704" w:rsidRDefault="00C720CA" w:rsidP="00C720CA">
      <w:pPr>
        <w:widowControl w:val="0"/>
        <w:numPr>
          <w:ilvl w:val="0"/>
          <w:numId w:val="18"/>
        </w:numPr>
        <w:tabs>
          <w:tab w:val="clear" w:pos="576"/>
          <w:tab w:val="num" w:pos="600"/>
        </w:tabs>
        <w:autoSpaceDE w:val="0"/>
        <w:autoSpaceDN w:val="0"/>
        <w:rPr>
          <w:sz w:val="22"/>
          <w:szCs w:val="22"/>
          <w:lang w:val="sr-Latn-CS"/>
        </w:rPr>
      </w:pPr>
      <w:r w:rsidRPr="00016704">
        <w:rPr>
          <w:sz w:val="22"/>
          <w:szCs w:val="22"/>
          <w:lang w:val="sr-Latn-CS"/>
        </w:rPr>
        <w:t xml:space="preserve">Ako imate dodatnih pitanja, obratite se svom ljekaru ili farmaceutu </w:t>
      </w:r>
      <w:r w:rsidRPr="00016704">
        <w:rPr>
          <w:noProof/>
          <w:sz w:val="22"/>
          <w:szCs w:val="22"/>
          <w:lang w:val="hr-HR"/>
        </w:rPr>
        <w:t>ili medicinskoj sestri</w:t>
      </w:r>
      <w:r w:rsidRPr="00016704">
        <w:rPr>
          <w:sz w:val="22"/>
          <w:szCs w:val="22"/>
          <w:lang w:val="sr-Latn-CS"/>
        </w:rPr>
        <w:t xml:space="preserve">. </w:t>
      </w:r>
    </w:p>
    <w:p w14:paraId="410430CB" w14:textId="48C93EB5" w:rsidR="00C720CA" w:rsidRPr="00016704" w:rsidRDefault="00C720CA" w:rsidP="00C720CA">
      <w:pPr>
        <w:widowControl w:val="0"/>
        <w:numPr>
          <w:ilvl w:val="0"/>
          <w:numId w:val="18"/>
        </w:numPr>
        <w:tabs>
          <w:tab w:val="clear" w:pos="576"/>
          <w:tab w:val="num" w:pos="600"/>
        </w:tabs>
        <w:autoSpaceDE w:val="0"/>
        <w:autoSpaceDN w:val="0"/>
        <w:ind w:left="600" w:hanging="600"/>
        <w:rPr>
          <w:sz w:val="22"/>
          <w:szCs w:val="22"/>
          <w:lang w:val="pl-PL"/>
        </w:rPr>
      </w:pPr>
      <w:r w:rsidRPr="00016704">
        <w:rPr>
          <w:sz w:val="22"/>
          <w:szCs w:val="22"/>
          <w:lang w:val="sr-Latn-CS"/>
        </w:rPr>
        <w:t>Ovaj lijek propisan je Vama i ne smijete ga davati drugima. Može da im škodi, čak i kada imaju iste znake bolesti kao i Vi.</w:t>
      </w:r>
    </w:p>
    <w:p w14:paraId="58D0AACB" w14:textId="7636E0DD" w:rsidR="00C720CA" w:rsidRPr="00016704" w:rsidRDefault="00C720CA" w:rsidP="00C720CA">
      <w:pPr>
        <w:widowControl w:val="0"/>
        <w:numPr>
          <w:ilvl w:val="0"/>
          <w:numId w:val="18"/>
        </w:numPr>
        <w:tabs>
          <w:tab w:val="clear" w:pos="576"/>
          <w:tab w:val="num" w:pos="0"/>
        </w:tabs>
        <w:autoSpaceDE w:val="0"/>
        <w:autoSpaceDN w:val="0"/>
        <w:ind w:left="600" w:hanging="600"/>
        <w:rPr>
          <w:sz w:val="22"/>
          <w:szCs w:val="22"/>
          <w:lang w:val="pl-PL"/>
        </w:rPr>
      </w:pPr>
      <w:r w:rsidRPr="00016704">
        <w:rPr>
          <w:spacing w:val="-5"/>
          <w:sz w:val="22"/>
          <w:szCs w:val="22"/>
          <w:lang w:val="sr-Latn-RS"/>
        </w:rPr>
        <w:t>Ako Vam se javi bilo koje neželjeno dejstvo recite to svom ljekaru, farmaceutu ili medicinskoj sestri. Ovo uključuje i bilo koja neželjena dejstva koja nijesu navedena u ovom uputstvu</w:t>
      </w:r>
      <w:r w:rsidRPr="00016704">
        <w:rPr>
          <w:spacing w:val="-4"/>
          <w:sz w:val="22"/>
          <w:szCs w:val="22"/>
          <w:lang w:val="sr-Latn-RS"/>
        </w:rPr>
        <w:t xml:space="preserve">. Pogledajte dio 4. </w:t>
      </w:r>
    </w:p>
    <w:p w14:paraId="653B330F" w14:textId="77777777" w:rsidR="00C269D7" w:rsidRPr="00016704" w:rsidRDefault="00C269D7" w:rsidP="00F67628">
      <w:pPr>
        <w:widowControl w:val="0"/>
        <w:autoSpaceDE w:val="0"/>
        <w:autoSpaceDN w:val="0"/>
        <w:rPr>
          <w:sz w:val="22"/>
          <w:szCs w:val="22"/>
          <w:lang w:val="pl-PL"/>
        </w:rPr>
      </w:pPr>
    </w:p>
    <w:p w14:paraId="2B22BC76" w14:textId="77777777" w:rsidR="00C269D7" w:rsidRPr="00016704" w:rsidRDefault="00C269D7" w:rsidP="00C269D7">
      <w:pPr>
        <w:widowControl w:val="0"/>
        <w:autoSpaceDE w:val="0"/>
        <w:autoSpaceDN w:val="0"/>
        <w:ind w:left="600"/>
        <w:rPr>
          <w:sz w:val="22"/>
          <w:szCs w:val="22"/>
          <w:lang w:val="sr-Latn-CS"/>
        </w:rPr>
      </w:pPr>
    </w:p>
    <w:p w14:paraId="44FC8FDD" w14:textId="77777777" w:rsidR="00A32113" w:rsidRPr="00016704" w:rsidRDefault="00A32113" w:rsidP="00D8615F">
      <w:pPr>
        <w:widowControl w:val="0"/>
        <w:autoSpaceDE w:val="0"/>
        <w:autoSpaceDN w:val="0"/>
        <w:rPr>
          <w:b/>
          <w:bCs/>
          <w:sz w:val="22"/>
          <w:szCs w:val="22"/>
          <w:lang w:val="sr-Latn-CS"/>
        </w:rPr>
      </w:pPr>
      <w:r w:rsidRPr="00016704">
        <w:rPr>
          <w:b/>
          <w:bCs/>
          <w:sz w:val="22"/>
          <w:szCs w:val="22"/>
          <w:lang w:val="sr-Latn-CS"/>
        </w:rPr>
        <w:t>U ovom uputstvu pročitaćete:</w:t>
      </w:r>
    </w:p>
    <w:p w14:paraId="2827F95D" w14:textId="5FEACFD8" w:rsidR="00A32113" w:rsidRPr="0001670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016704">
        <w:rPr>
          <w:sz w:val="22"/>
          <w:szCs w:val="22"/>
          <w:lang w:val="sr-Latn-CS"/>
        </w:rPr>
        <w:t xml:space="preserve">Šta je lijek </w:t>
      </w:r>
      <w:r w:rsidR="00971BFD" w:rsidRPr="00016704">
        <w:rPr>
          <w:sz w:val="22"/>
          <w:szCs w:val="22"/>
          <w:lang w:val="sr-Latn-CS"/>
        </w:rPr>
        <w:t>ZERBAXA</w:t>
      </w:r>
      <w:r w:rsidRPr="00016704">
        <w:rPr>
          <w:sz w:val="22"/>
          <w:szCs w:val="22"/>
          <w:lang w:val="sr-Latn-CS"/>
        </w:rPr>
        <w:t xml:space="preserve"> i čemu je namijenjen</w:t>
      </w:r>
    </w:p>
    <w:p w14:paraId="209623BA" w14:textId="401AB95F" w:rsidR="00A32113" w:rsidRPr="0001670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016704">
        <w:rPr>
          <w:sz w:val="22"/>
          <w:szCs w:val="22"/>
          <w:lang w:val="sr-Latn-CS"/>
        </w:rPr>
        <w:t xml:space="preserve">Šta treba da znate prije nego što uzmete lijek </w:t>
      </w:r>
      <w:r w:rsidR="00971BFD" w:rsidRPr="00016704">
        <w:rPr>
          <w:sz w:val="22"/>
          <w:szCs w:val="22"/>
          <w:lang w:val="sr-Latn-CS"/>
        </w:rPr>
        <w:t>ZERBAXA</w:t>
      </w:r>
    </w:p>
    <w:p w14:paraId="3AE5603A" w14:textId="4CC2B99C" w:rsidR="00A32113" w:rsidRPr="0001670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016704">
        <w:rPr>
          <w:sz w:val="22"/>
          <w:szCs w:val="22"/>
          <w:lang w:val="sr-Latn-CS"/>
        </w:rPr>
        <w:t xml:space="preserve">Kako se upotrebljava lijek </w:t>
      </w:r>
      <w:r w:rsidR="00971BFD" w:rsidRPr="00016704">
        <w:rPr>
          <w:sz w:val="22"/>
          <w:szCs w:val="22"/>
          <w:lang w:val="sr-Latn-CS"/>
        </w:rPr>
        <w:t>ZERBAXA</w:t>
      </w:r>
    </w:p>
    <w:p w14:paraId="0CA959C1" w14:textId="77777777" w:rsidR="00A32113" w:rsidRPr="0001670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016704">
        <w:rPr>
          <w:sz w:val="22"/>
          <w:szCs w:val="22"/>
          <w:lang w:val="sr-Latn-CS"/>
        </w:rPr>
        <w:t xml:space="preserve">Moguća neželjena dejstva </w:t>
      </w:r>
    </w:p>
    <w:p w14:paraId="57E4FBEE" w14:textId="53D95352" w:rsidR="00A32113" w:rsidRPr="0001670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016704">
        <w:rPr>
          <w:sz w:val="22"/>
          <w:szCs w:val="22"/>
          <w:lang w:val="sr-Latn-CS"/>
        </w:rPr>
        <w:t xml:space="preserve">Kako čuvati lijek </w:t>
      </w:r>
      <w:r w:rsidR="00971BFD" w:rsidRPr="00016704">
        <w:rPr>
          <w:sz w:val="22"/>
          <w:szCs w:val="22"/>
          <w:lang w:val="sr-Latn-CS"/>
        </w:rPr>
        <w:t>ZERBAXA</w:t>
      </w:r>
    </w:p>
    <w:p w14:paraId="06A1C9DB" w14:textId="77777777" w:rsidR="00A32113" w:rsidRPr="00016704"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016704">
        <w:rPr>
          <w:sz w:val="22"/>
          <w:szCs w:val="22"/>
          <w:lang w:val="sr-Latn-CS"/>
        </w:rPr>
        <w:t>Sadržaj pakovanja i d</w:t>
      </w:r>
      <w:r w:rsidR="00A32113" w:rsidRPr="00016704">
        <w:rPr>
          <w:sz w:val="22"/>
          <w:szCs w:val="22"/>
          <w:lang w:val="sr-Latn-CS"/>
        </w:rPr>
        <w:t>odatne informacije</w:t>
      </w:r>
      <w:r w:rsidR="00A02C42" w:rsidRPr="00016704">
        <w:rPr>
          <w:sz w:val="22"/>
          <w:szCs w:val="22"/>
          <w:lang w:val="sr-Latn-CS"/>
        </w:rPr>
        <w:t xml:space="preserve"> </w:t>
      </w:r>
    </w:p>
    <w:p w14:paraId="07C99BB9" w14:textId="77777777" w:rsidR="00A32113" w:rsidRPr="00016704" w:rsidRDefault="00A32113" w:rsidP="00D8615F">
      <w:pPr>
        <w:widowControl w:val="0"/>
        <w:autoSpaceDE w:val="0"/>
        <w:autoSpaceDN w:val="0"/>
        <w:rPr>
          <w:sz w:val="22"/>
          <w:szCs w:val="22"/>
          <w:lang w:val="de-DE"/>
        </w:rPr>
      </w:pPr>
    </w:p>
    <w:p w14:paraId="5C67AE6B" w14:textId="77777777" w:rsidR="00C22BE5" w:rsidRPr="00016704" w:rsidRDefault="00C22BE5" w:rsidP="00C22BE5">
      <w:pPr>
        <w:pStyle w:val="Header"/>
        <w:tabs>
          <w:tab w:val="left" w:pos="284"/>
        </w:tabs>
        <w:rPr>
          <w:sz w:val="22"/>
          <w:szCs w:val="22"/>
        </w:rPr>
      </w:pPr>
    </w:p>
    <w:p w14:paraId="109B3124" w14:textId="77777777" w:rsidR="00CF1B2D" w:rsidRPr="00016704" w:rsidRDefault="00CF1B2D">
      <w:pPr>
        <w:rPr>
          <w:b/>
          <w:bCs/>
          <w:sz w:val="22"/>
          <w:szCs w:val="22"/>
          <w:lang w:val="sr-Latn-CS"/>
        </w:rPr>
      </w:pPr>
      <w:r w:rsidRPr="00016704">
        <w:rPr>
          <w:b/>
          <w:bCs/>
          <w:sz w:val="22"/>
          <w:szCs w:val="22"/>
          <w:lang w:val="sr-Latn-CS"/>
        </w:rPr>
        <w:br w:type="page"/>
      </w:r>
    </w:p>
    <w:p w14:paraId="2CB8E5A1" w14:textId="77777777" w:rsidR="00445D8F" w:rsidRPr="00016704" w:rsidRDefault="00445D8F" w:rsidP="00A32113">
      <w:pPr>
        <w:rPr>
          <w:b/>
          <w:bCs/>
          <w:sz w:val="22"/>
          <w:szCs w:val="22"/>
          <w:lang w:val="sr-Latn-CS"/>
        </w:rPr>
      </w:pPr>
    </w:p>
    <w:p w14:paraId="4C4E2A21" w14:textId="33C28954" w:rsidR="00A32113" w:rsidRPr="00016704" w:rsidRDefault="00A32113" w:rsidP="00854BF0">
      <w:pPr>
        <w:tabs>
          <w:tab w:val="left" w:pos="540"/>
          <w:tab w:val="left" w:pos="569"/>
        </w:tabs>
        <w:jc w:val="both"/>
        <w:rPr>
          <w:b/>
          <w:bCs/>
          <w:sz w:val="22"/>
          <w:szCs w:val="22"/>
          <w:lang w:val="pl-PL"/>
        </w:rPr>
      </w:pPr>
      <w:r w:rsidRPr="00016704">
        <w:rPr>
          <w:b/>
          <w:bCs/>
          <w:sz w:val="22"/>
          <w:szCs w:val="22"/>
          <w:lang w:val="pl-PL"/>
        </w:rPr>
        <w:t xml:space="preserve">1. </w:t>
      </w:r>
      <w:r w:rsidR="00FB6603" w:rsidRPr="00016704">
        <w:rPr>
          <w:b/>
          <w:bCs/>
          <w:sz w:val="22"/>
          <w:szCs w:val="22"/>
          <w:lang w:val="pl-PL"/>
        </w:rPr>
        <w:tab/>
      </w:r>
      <w:r w:rsidRPr="00016704">
        <w:rPr>
          <w:b/>
          <w:bCs/>
          <w:sz w:val="22"/>
          <w:szCs w:val="22"/>
          <w:lang w:val="pl-PL"/>
        </w:rPr>
        <w:t xml:space="preserve">ŠTA JE LIJEK </w:t>
      </w:r>
      <w:r w:rsidR="00971BFD" w:rsidRPr="00016704">
        <w:rPr>
          <w:b/>
          <w:bCs/>
          <w:sz w:val="22"/>
          <w:szCs w:val="22"/>
          <w:lang w:val="sr-Latn-CS"/>
        </w:rPr>
        <w:t>ZERBAXA</w:t>
      </w:r>
      <w:r w:rsidRPr="00016704">
        <w:rPr>
          <w:b/>
          <w:bCs/>
          <w:sz w:val="22"/>
          <w:szCs w:val="22"/>
          <w:lang w:val="pl-PL"/>
        </w:rPr>
        <w:t xml:space="preserve"> I ČEMU JE NAMIJENJEN</w:t>
      </w:r>
    </w:p>
    <w:p w14:paraId="6DB30941" w14:textId="77777777" w:rsidR="00445D8F" w:rsidRPr="00016704" w:rsidRDefault="00445D8F" w:rsidP="00854BF0">
      <w:pPr>
        <w:jc w:val="both"/>
        <w:rPr>
          <w:sz w:val="22"/>
          <w:szCs w:val="22"/>
          <w:lang w:val="pl-PL"/>
        </w:rPr>
      </w:pPr>
    </w:p>
    <w:p w14:paraId="04AB19ED" w14:textId="44CE3A48" w:rsidR="00971BFD" w:rsidRPr="00016704" w:rsidRDefault="00C82354" w:rsidP="00016704">
      <w:pPr>
        <w:jc w:val="both"/>
        <w:rPr>
          <w:sz w:val="22"/>
          <w:szCs w:val="22"/>
          <w:lang w:val="sr-Latn-CS"/>
        </w:rPr>
      </w:pPr>
      <w:bookmarkStart w:id="0" w:name="_Hlk118366923"/>
      <w:r w:rsidRPr="00016704">
        <w:rPr>
          <w:sz w:val="22"/>
          <w:szCs w:val="22"/>
          <w:lang w:val="sr-Latn-CS"/>
        </w:rPr>
        <w:t xml:space="preserve">Lijek </w:t>
      </w:r>
      <w:r w:rsidR="00971BFD" w:rsidRPr="00016704">
        <w:rPr>
          <w:sz w:val="22"/>
          <w:szCs w:val="22"/>
          <w:lang w:val="sr-Latn-CS"/>
        </w:rPr>
        <w:t>ZERBAXA</w:t>
      </w:r>
      <w:bookmarkEnd w:id="0"/>
      <w:r w:rsidR="00971BFD" w:rsidRPr="00016704">
        <w:rPr>
          <w:sz w:val="22"/>
          <w:szCs w:val="22"/>
          <w:lang w:val="sr-Latn-CS"/>
        </w:rPr>
        <w:t xml:space="preserve"> se prim</w:t>
      </w:r>
      <w:r w:rsidR="002B27F3" w:rsidRPr="00016704">
        <w:rPr>
          <w:sz w:val="22"/>
          <w:szCs w:val="22"/>
          <w:lang w:val="sr-Latn-CS"/>
        </w:rPr>
        <w:t>j</w:t>
      </w:r>
      <w:r w:rsidR="00971BFD" w:rsidRPr="00016704">
        <w:rPr>
          <w:sz w:val="22"/>
          <w:szCs w:val="22"/>
          <w:lang w:val="sr-Latn-CS"/>
        </w:rPr>
        <w:t>enjuje za liječenje niza bakterijskih infekcija. Sadrži dv</w:t>
      </w:r>
      <w:r w:rsidR="002B27F3" w:rsidRPr="00016704">
        <w:rPr>
          <w:sz w:val="22"/>
          <w:szCs w:val="22"/>
          <w:lang w:val="sr-Latn-CS"/>
        </w:rPr>
        <w:t>ij</w:t>
      </w:r>
      <w:r w:rsidR="00971BFD" w:rsidRPr="00016704">
        <w:rPr>
          <w:sz w:val="22"/>
          <w:szCs w:val="22"/>
          <w:lang w:val="sr-Latn-CS"/>
        </w:rPr>
        <w:t>e aktivne supstance:</w:t>
      </w:r>
    </w:p>
    <w:p w14:paraId="330E5976" w14:textId="5DEAF8F0" w:rsidR="00971BFD" w:rsidRPr="00016704" w:rsidRDefault="00971BFD" w:rsidP="00016704">
      <w:pPr>
        <w:jc w:val="both"/>
        <w:rPr>
          <w:sz w:val="22"/>
          <w:szCs w:val="22"/>
          <w:lang w:val="sr-Latn-CS"/>
        </w:rPr>
      </w:pPr>
      <w:r w:rsidRPr="00016704">
        <w:rPr>
          <w:sz w:val="22"/>
          <w:szCs w:val="22"/>
          <w:lang w:val="sr-Latn-CS"/>
        </w:rPr>
        <w:t>-</w:t>
      </w:r>
      <w:r w:rsidR="00DE41C7" w:rsidRPr="00016704">
        <w:rPr>
          <w:sz w:val="22"/>
          <w:szCs w:val="22"/>
          <w:lang w:val="sr-Latn-CS"/>
        </w:rPr>
        <w:t xml:space="preserve"> </w:t>
      </w:r>
      <w:r w:rsidRPr="00016704">
        <w:rPr>
          <w:sz w:val="22"/>
          <w:szCs w:val="22"/>
          <w:lang w:val="sr-Latn-CS"/>
        </w:rPr>
        <w:t>ceftolozan, antibiotik koji pripada grupi „cefalosporina“ i koji može da uništi određene bakterije koje mogu uzrokovati infekciju;</w:t>
      </w:r>
    </w:p>
    <w:p w14:paraId="488ADED4" w14:textId="369EB386" w:rsidR="00971BFD" w:rsidRPr="00016704" w:rsidRDefault="00971BFD" w:rsidP="00016704">
      <w:pPr>
        <w:jc w:val="both"/>
        <w:rPr>
          <w:sz w:val="22"/>
          <w:szCs w:val="22"/>
          <w:lang w:val="sr-Latn-CS"/>
        </w:rPr>
      </w:pPr>
      <w:r w:rsidRPr="00016704">
        <w:rPr>
          <w:sz w:val="22"/>
          <w:szCs w:val="22"/>
          <w:lang w:val="sr-Latn-CS"/>
        </w:rPr>
        <w:t>-</w:t>
      </w:r>
      <w:r w:rsidR="00DE41C7" w:rsidRPr="00016704">
        <w:rPr>
          <w:sz w:val="22"/>
          <w:szCs w:val="22"/>
          <w:lang w:val="sr-Latn-CS"/>
        </w:rPr>
        <w:t xml:space="preserve"> </w:t>
      </w:r>
      <w:r w:rsidRPr="00016704">
        <w:rPr>
          <w:sz w:val="22"/>
          <w:szCs w:val="22"/>
          <w:lang w:val="sr-Latn-CS"/>
        </w:rPr>
        <w:t>tazobaktam, koji blokira djelovanje određenih enzima koji se zovu beta</w:t>
      </w:r>
      <w:r w:rsidR="00C82354" w:rsidRPr="00016704">
        <w:rPr>
          <w:sz w:val="22"/>
          <w:szCs w:val="22"/>
          <w:lang w:val="sr-Latn-CS"/>
        </w:rPr>
        <w:t>-</w:t>
      </w:r>
      <w:r w:rsidRPr="00016704">
        <w:rPr>
          <w:sz w:val="22"/>
          <w:szCs w:val="22"/>
          <w:lang w:val="sr-Latn-CS"/>
        </w:rPr>
        <w:t>laktamaze. Ovi enzimi razgrađuju antibiotik pr</w:t>
      </w:r>
      <w:r w:rsidR="002B27F3" w:rsidRPr="00016704">
        <w:rPr>
          <w:sz w:val="22"/>
          <w:szCs w:val="22"/>
          <w:lang w:val="sr-Latn-CS"/>
        </w:rPr>
        <w:t>ij</w:t>
      </w:r>
      <w:r w:rsidRPr="00016704">
        <w:rPr>
          <w:sz w:val="22"/>
          <w:szCs w:val="22"/>
          <w:lang w:val="sr-Latn-CS"/>
        </w:rPr>
        <w:t>e nego što ispolji dejstvo i zbog njih su bakterije rezistentne na ceftolozan. Blokiranjem njihovog d</w:t>
      </w:r>
      <w:r w:rsidR="00437810" w:rsidRPr="00016704">
        <w:rPr>
          <w:sz w:val="22"/>
          <w:szCs w:val="22"/>
          <w:lang w:val="sr-Latn-CS"/>
        </w:rPr>
        <w:t>j</w:t>
      </w:r>
      <w:r w:rsidRPr="00016704">
        <w:rPr>
          <w:sz w:val="22"/>
          <w:szCs w:val="22"/>
          <w:lang w:val="sr-Latn-CS"/>
        </w:rPr>
        <w:t>elovanja, tazobaktam povećava efektivnost ceftolozana pri uništavanju bakterija.</w:t>
      </w:r>
    </w:p>
    <w:p w14:paraId="1293587D" w14:textId="77777777" w:rsidR="00971BFD" w:rsidRPr="00016704" w:rsidRDefault="00971BFD" w:rsidP="00016704">
      <w:pPr>
        <w:jc w:val="both"/>
        <w:rPr>
          <w:sz w:val="22"/>
          <w:szCs w:val="22"/>
          <w:lang w:val="sr-Latn-CS"/>
        </w:rPr>
      </w:pPr>
    </w:p>
    <w:p w14:paraId="59824807" w14:textId="73955DF4" w:rsidR="00F22B28" w:rsidRPr="00016704" w:rsidRDefault="00F22B28" w:rsidP="00016704">
      <w:pPr>
        <w:jc w:val="both"/>
        <w:rPr>
          <w:sz w:val="22"/>
          <w:szCs w:val="22"/>
          <w:lang w:val="hr-HR"/>
        </w:rPr>
      </w:pPr>
      <w:r w:rsidRPr="00016704">
        <w:rPr>
          <w:sz w:val="22"/>
          <w:szCs w:val="22"/>
          <w:lang w:val="hr-HR"/>
        </w:rPr>
        <w:t xml:space="preserve">Lijek ZERBAXA se primjenjuje kod pacijenata svih uzrasta za liječenje komplikovanih infekcija u abdomenu i infekcija bubrega i mokraćnog sistema. </w:t>
      </w:r>
    </w:p>
    <w:p w14:paraId="27C0AB2E" w14:textId="77777777" w:rsidR="00971BFD" w:rsidRPr="00016704" w:rsidRDefault="00971BFD" w:rsidP="00016704">
      <w:pPr>
        <w:jc w:val="both"/>
        <w:rPr>
          <w:sz w:val="22"/>
          <w:szCs w:val="22"/>
          <w:lang w:val="sr-Latn-CS"/>
        </w:rPr>
      </w:pPr>
    </w:p>
    <w:p w14:paraId="36C6013D" w14:textId="154144BD" w:rsidR="00971BFD" w:rsidRPr="00016704" w:rsidRDefault="00201374" w:rsidP="00016704">
      <w:pPr>
        <w:tabs>
          <w:tab w:val="left" w:pos="540"/>
          <w:tab w:val="left" w:pos="569"/>
        </w:tabs>
        <w:jc w:val="both"/>
        <w:rPr>
          <w:sz w:val="22"/>
          <w:szCs w:val="22"/>
          <w:lang w:val="sr-Latn-CS"/>
        </w:rPr>
      </w:pPr>
      <w:r w:rsidRPr="00016704">
        <w:rPr>
          <w:sz w:val="22"/>
          <w:szCs w:val="22"/>
          <w:lang w:val="sr-Latn-CS"/>
        </w:rPr>
        <w:t>Lijek ZERBAXA se takođe primjenjuje kod odraslih za liječenje infekcije pluća koja se naziva „pneumonija“.</w:t>
      </w:r>
    </w:p>
    <w:p w14:paraId="03F6C7DB" w14:textId="77777777" w:rsidR="00C82354" w:rsidRPr="00016704" w:rsidRDefault="00C82354" w:rsidP="00854BF0">
      <w:pPr>
        <w:tabs>
          <w:tab w:val="left" w:pos="540"/>
          <w:tab w:val="left" w:pos="569"/>
        </w:tabs>
        <w:jc w:val="both"/>
        <w:rPr>
          <w:sz w:val="22"/>
          <w:szCs w:val="22"/>
          <w:lang w:val="sr-Latn-CS"/>
        </w:rPr>
      </w:pPr>
    </w:p>
    <w:p w14:paraId="6D5AF2B9" w14:textId="77777777" w:rsidR="00201374" w:rsidRPr="00016704" w:rsidRDefault="00201374" w:rsidP="00854BF0">
      <w:pPr>
        <w:tabs>
          <w:tab w:val="left" w:pos="540"/>
          <w:tab w:val="left" w:pos="569"/>
        </w:tabs>
        <w:jc w:val="both"/>
        <w:rPr>
          <w:b/>
          <w:bCs/>
          <w:sz w:val="22"/>
          <w:szCs w:val="22"/>
          <w:lang w:val="ru-RU"/>
        </w:rPr>
      </w:pPr>
    </w:p>
    <w:p w14:paraId="5704B112" w14:textId="036C410F" w:rsidR="00A32113" w:rsidRPr="00016704" w:rsidRDefault="00A32113" w:rsidP="00854BF0">
      <w:pPr>
        <w:tabs>
          <w:tab w:val="left" w:pos="540"/>
          <w:tab w:val="left" w:pos="569"/>
        </w:tabs>
        <w:jc w:val="both"/>
        <w:rPr>
          <w:b/>
          <w:caps/>
          <w:sz w:val="22"/>
          <w:szCs w:val="22"/>
          <w:lang w:val="sr-Latn-CS"/>
        </w:rPr>
      </w:pPr>
      <w:r w:rsidRPr="00016704">
        <w:rPr>
          <w:b/>
          <w:bCs/>
          <w:sz w:val="22"/>
          <w:szCs w:val="22"/>
          <w:lang w:val="ru-RU"/>
        </w:rPr>
        <w:t xml:space="preserve">2. </w:t>
      </w:r>
      <w:r w:rsidR="00FB6603" w:rsidRPr="00016704">
        <w:rPr>
          <w:b/>
          <w:bCs/>
          <w:sz w:val="22"/>
          <w:szCs w:val="22"/>
          <w:lang w:val="sr-Latn-CS"/>
        </w:rPr>
        <w:tab/>
      </w:r>
      <w:r w:rsidRPr="00016704">
        <w:rPr>
          <w:b/>
          <w:caps/>
          <w:sz w:val="22"/>
          <w:szCs w:val="22"/>
          <w:lang w:val="sr-Latn-CS"/>
        </w:rPr>
        <w:t xml:space="preserve">Šta treba da znate prIJe nego što uzmete lIJek </w:t>
      </w:r>
      <w:r w:rsidR="00437810" w:rsidRPr="00016704">
        <w:rPr>
          <w:b/>
          <w:caps/>
          <w:sz w:val="22"/>
          <w:szCs w:val="22"/>
          <w:lang w:val="sr-Latn-CS"/>
        </w:rPr>
        <w:t>ZERBAXA</w:t>
      </w:r>
    </w:p>
    <w:p w14:paraId="6A09E43E" w14:textId="77777777" w:rsidR="00445D8F" w:rsidRPr="00016704" w:rsidRDefault="00445D8F" w:rsidP="00854BF0">
      <w:pPr>
        <w:widowControl w:val="0"/>
        <w:autoSpaceDE w:val="0"/>
        <w:autoSpaceDN w:val="0"/>
        <w:jc w:val="both"/>
        <w:rPr>
          <w:caps/>
          <w:sz w:val="22"/>
          <w:szCs w:val="22"/>
          <w:lang w:val="sr-Latn-CS"/>
        </w:rPr>
      </w:pPr>
    </w:p>
    <w:p w14:paraId="1885FD29" w14:textId="280BF006" w:rsidR="00A32113" w:rsidRPr="00016704" w:rsidRDefault="00A32113" w:rsidP="00854BF0">
      <w:pPr>
        <w:jc w:val="both"/>
        <w:rPr>
          <w:b/>
          <w:sz w:val="22"/>
          <w:szCs w:val="22"/>
          <w:lang w:val="ru-RU"/>
        </w:rPr>
      </w:pPr>
      <w:r w:rsidRPr="00016704">
        <w:rPr>
          <w:b/>
          <w:sz w:val="22"/>
          <w:szCs w:val="22"/>
          <w:lang w:val="ru-RU"/>
        </w:rPr>
        <w:t>L</w:t>
      </w:r>
      <w:r w:rsidRPr="00016704">
        <w:rPr>
          <w:b/>
          <w:sz w:val="22"/>
          <w:szCs w:val="22"/>
          <w:lang w:val="sr-Latn-CS"/>
        </w:rPr>
        <w:t>ij</w:t>
      </w:r>
      <w:r w:rsidRPr="00016704">
        <w:rPr>
          <w:b/>
          <w:sz w:val="22"/>
          <w:szCs w:val="22"/>
          <w:lang w:val="ru-RU"/>
        </w:rPr>
        <w:t xml:space="preserve">ek </w:t>
      </w:r>
      <w:r w:rsidR="00437810" w:rsidRPr="00016704">
        <w:rPr>
          <w:b/>
          <w:sz w:val="22"/>
          <w:szCs w:val="22"/>
          <w:lang w:val="sr-Latn-CS"/>
        </w:rPr>
        <w:t>ZERBAXA</w:t>
      </w:r>
      <w:r w:rsidRPr="00016704">
        <w:rPr>
          <w:b/>
          <w:sz w:val="22"/>
          <w:szCs w:val="22"/>
          <w:lang w:val="ru-RU"/>
        </w:rPr>
        <w:t xml:space="preserve"> ne sm</w:t>
      </w:r>
      <w:r w:rsidRPr="00016704">
        <w:rPr>
          <w:b/>
          <w:sz w:val="22"/>
          <w:szCs w:val="22"/>
          <w:lang w:val="sr-Latn-CS"/>
        </w:rPr>
        <w:t>ij</w:t>
      </w:r>
      <w:r w:rsidRPr="00016704">
        <w:rPr>
          <w:b/>
          <w:sz w:val="22"/>
          <w:szCs w:val="22"/>
          <w:lang w:val="ru-RU"/>
        </w:rPr>
        <w:t>ete koristiti:</w:t>
      </w:r>
    </w:p>
    <w:p w14:paraId="0C5AA738" w14:textId="0159ED95" w:rsidR="00437810" w:rsidRPr="00016704" w:rsidRDefault="00437810" w:rsidP="00854BF0">
      <w:pPr>
        <w:tabs>
          <w:tab w:val="left" w:pos="567"/>
        </w:tabs>
        <w:ind w:left="142" w:hanging="142"/>
        <w:jc w:val="both"/>
        <w:rPr>
          <w:bCs/>
          <w:sz w:val="22"/>
          <w:szCs w:val="22"/>
          <w:lang w:val="sr-Latn-CS"/>
        </w:rPr>
      </w:pPr>
      <w:r w:rsidRPr="00016704">
        <w:rPr>
          <w:b/>
          <w:sz w:val="22"/>
          <w:szCs w:val="22"/>
          <w:lang w:val="sr-Latn-CS"/>
        </w:rPr>
        <w:t xml:space="preserve">-  </w:t>
      </w:r>
      <w:r w:rsidRPr="00016704">
        <w:rPr>
          <w:bCs/>
          <w:sz w:val="22"/>
          <w:szCs w:val="22"/>
          <w:lang w:val="sr-Latn-CS"/>
        </w:rPr>
        <w:t>ukoliko ste alergični (preos</w:t>
      </w:r>
      <w:r w:rsidR="002B27F3" w:rsidRPr="00016704">
        <w:rPr>
          <w:bCs/>
          <w:sz w:val="22"/>
          <w:szCs w:val="22"/>
          <w:lang w:val="sr-Latn-CS"/>
        </w:rPr>
        <w:t>j</w:t>
      </w:r>
      <w:r w:rsidRPr="00016704">
        <w:rPr>
          <w:bCs/>
          <w:sz w:val="22"/>
          <w:szCs w:val="22"/>
          <w:lang w:val="sr-Latn-CS"/>
        </w:rPr>
        <w:t>etljivi) na ceftolozan, tazobaktam ili na bilo koju od pomoćnih supstanci  ovog lijeka (navedene u dijelu 6);</w:t>
      </w:r>
    </w:p>
    <w:p w14:paraId="0CCDB51C" w14:textId="2290E474" w:rsidR="00437810" w:rsidRPr="00016704" w:rsidRDefault="00437810" w:rsidP="00854BF0">
      <w:pPr>
        <w:jc w:val="both"/>
        <w:rPr>
          <w:bCs/>
          <w:sz w:val="22"/>
          <w:szCs w:val="22"/>
          <w:lang w:val="sr-Latn-CS"/>
        </w:rPr>
      </w:pPr>
      <w:r w:rsidRPr="00016704">
        <w:rPr>
          <w:bCs/>
          <w:sz w:val="22"/>
          <w:szCs w:val="22"/>
          <w:lang w:val="sr-Latn-CS"/>
        </w:rPr>
        <w:t>-  ukoliko ste alergični na ljekove koji se nazivaju „cefalosporini“;</w:t>
      </w:r>
    </w:p>
    <w:p w14:paraId="6D03CBE7" w14:textId="2D05A900" w:rsidR="00437810" w:rsidRPr="00016704" w:rsidRDefault="00437810" w:rsidP="00854BF0">
      <w:pPr>
        <w:ind w:left="142" w:hanging="142"/>
        <w:jc w:val="both"/>
        <w:rPr>
          <w:bCs/>
          <w:sz w:val="22"/>
          <w:szCs w:val="22"/>
          <w:lang w:val="sr-Latn-CS"/>
        </w:rPr>
      </w:pPr>
      <w:r w:rsidRPr="00016704">
        <w:rPr>
          <w:bCs/>
          <w:sz w:val="22"/>
          <w:szCs w:val="22"/>
          <w:lang w:val="sr-Latn-CS"/>
        </w:rPr>
        <w:t>-  ukoliko ste imali tešku alergijsku reakciju (npr. teško ljuštenje kože, oticanje lica, šaka, stopala, usana, jezika ili grla; ili otežano gutanje ili disanje) na neke druge antibiotike (npr. peniciline ili karbapeneme).</w:t>
      </w:r>
    </w:p>
    <w:p w14:paraId="674DD12E" w14:textId="77777777" w:rsidR="00445D8F" w:rsidRPr="00016704" w:rsidRDefault="00445D8F" w:rsidP="00854BF0">
      <w:pPr>
        <w:jc w:val="both"/>
        <w:rPr>
          <w:sz w:val="22"/>
          <w:szCs w:val="22"/>
          <w:lang w:val="sr-Latn-CS"/>
        </w:rPr>
      </w:pPr>
    </w:p>
    <w:p w14:paraId="2F5EAFE6" w14:textId="49CDC388" w:rsidR="00A02C42" w:rsidRPr="00016704" w:rsidRDefault="00F47B6C" w:rsidP="00854BF0">
      <w:pPr>
        <w:jc w:val="both"/>
        <w:rPr>
          <w:b/>
          <w:bCs/>
          <w:sz w:val="22"/>
          <w:szCs w:val="22"/>
          <w:lang w:val="sr-Latn-CS"/>
        </w:rPr>
      </w:pPr>
      <w:r w:rsidRPr="00016704">
        <w:rPr>
          <w:b/>
          <w:bCs/>
          <w:sz w:val="22"/>
          <w:szCs w:val="22"/>
          <w:lang w:val="sr-Latn-CS"/>
        </w:rPr>
        <w:t>Upozorenja i mjere opreza:</w:t>
      </w:r>
    </w:p>
    <w:p w14:paraId="181CC0C8" w14:textId="2FF04BE2" w:rsidR="00437810" w:rsidRPr="00016704" w:rsidRDefault="00437810" w:rsidP="00854BF0">
      <w:pPr>
        <w:jc w:val="both"/>
        <w:rPr>
          <w:bCs/>
          <w:sz w:val="22"/>
          <w:szCs w:val="22"/>
          <w:lang w:val="sr-Latn-CS"/>
        </w:rPr>
      </w:pPr>
      <w:r w:rsidRPr="00016704">
        <w:rPr>
          <w:bCs/>
          <w:sz w:val="22"/>
          <w:szCs w:val="22"/>
          <w:lang w:val="sr-Latn-CS"/>
        </w:rPr>
        <w:t>Razgovarajte sa svojim ljekarom ili farmaceutom pr</w:t>
      </w:r>
      <w:r w:rsidR="002B27F3" w:rsidRPr="00016704">
        <w:rPr>
          <w:bCs/>
          <w:sz w:val="22"/>
          <w:szCs w:val="22"/>
          <w:lang w:val="sr-Latn-CS"/>
        </w:rPr>
        <w:t>ij</w:t>
      </w:r>
      <w:r w:rsidRPr="00016704">
        <w:rPr>
          <w:bCs/>
          <w:sz w:val="22"/>
          <w:szCs w:val="22"/>
          <w:lang w:val="sr-Latn-CS"/>
        </w:rPr>
        <w:t>e nego što primite lijek ZERBAXA ako znate da ste alergični ili ste bili alergični na cefalosporine, peniciline ili druge antibiotike.</w:t>
      </w:r>
    </w:p>
    <w:p w14:paraId="221C6996" w14:textId="77777777" w:rsidR="00437810" w:rsidRPr="00016704" w:rsidRDefault="00437810" w:rsidP="00854BF0">
      <w:pPr>
        <w:jc w:val="both"/>
        <w:rPr>
          <w:bCs/>
          <w:sz w:val="22"/>
          <w:szCs w:val="22"/>
          <w:lang w:val="sr-Latn-CS"/>
        </w:rPr>
      </w:pPr>
    </w:p>
    <w:p w14:paraId="370B6A6C" w14:textId="309BF6B8" w:rsidR="00437810" w:rsidRPr="00016704" w:rsidRDefault="00437810" w:rsidP="00854BF0">
      <w:pPr>
        <w:jc w:val="both"/>
        <w:rPr>
          <w:bCs/>
          <w:sz w:val="22"/>
          <w:szCs w:val="22"/>
          <w:lang w:val="sr-Latn-CS"/>
        </w:rPr>
      </w:pPr>
      <w:r w:rsidRPr="00016704">
        <w:rPr>
          <w:bCs/>
          <w:sz w:val="22"/>
          <w:szCs w:val="22"/>
          <w:lang w:val="sr-Latn-CS"/>
        </w:rPr>
        <w:t>Obratite se svom ljekaru ili farmaceutu ako dobijete proliv tokom prim</w:t>
      </w:r>
      <w:r w:rsidR="002B27F3" w:rsidRPr="00016704">
        <w:rPr>
          <w:bCs/>
          <w:sz w:val="22"/>
          <w:szCs w:val="22"/>
          <w:lang w:val="sr-Latn-CS"/>
        </w:rPr>
        <w:t>j</w:t>
      </w:r>
      <w:r w:rsidRPr="00016704">
        <w:rPr>
          <w:bCs/>
          <w:sz w:val="22"/>
          <w:szCs w:val="22"/>
          <w:lang w:val="sr-Latn-CS"/>
        </w:rPr>
        <w:t>ene l</w:t>
      </w:r>
      <w:r w:rsidR="00FF1F92" w:rsidRPr="00016704">
        <w:rPr>
          <w:bCs/>
          <w:sz w:val="22"/>
          <w:szCs w:val="22"/>
          <w:lang w:val="sr-Latn-CS"/>
        </w:rPr>
        <w:t>ij</w:t>
      </w:r>
      <w:r w:rsidRPr="00016704">
        <w:rPr>
          <w:bCs/>
          <w:sz w:val="22"/>
          <w:szCs w:val="22"/>
          <w:lang w:val="sr-Latn-CS"/>
        </w:rPr>
        <w:t>eka ZERBAXA.</w:t>
      </w:r>
    </w:p>
    <w:p w14:paraId="4BFE7D49" w14:textId="77777777" w:rsidR="00437810" w:rsidRPr="00016704" w:rsidRDefault="00437810" w:rsidP="00854BF0">
      <w:pPr>
        <w:jc w:val="both"/>
        <w:rPr>
          <w:bCs/>
          <w:sz w:val="22"/>
          <w:szCs w:val="22"/>
          <w:lang w:val="sr-Latn-CS"/>
        </w:rPr>
      </w:pPr>
    </w:p>
    <w:p w14:paraId="7D19415E" w14:textId="16B3C567" w:rsidR="00437810" w:rsidRPr="00016704" w:rsidRDefault="00437810" w:rsidP="00854BF0">
      <w:pPr>
        <w:jc w:val="both"/>
        <w:rPr>
          <w:bCs/>
          <w:sz w:val="22"/>
          <w:szCs w:val="22"/>
          <w:lang w:val="sr-Latn-CS"/>
        </w:rPr>
      </w:pPr>
      <w:r w:rsidRPr="00016704">
        <w:rPr>
          <w:bCs/>
          <w:sz w:val="22"/>
          <w:szCs w:val="22"/>
          <w:lang w:val="sr-Latn-CS"/>
        </w:rPr>
        <w:t>Tokom ili nakon l</w:t>
      </w:r>
      <w:r w:rsidR="00FF1F92" w:rsidRPr="00016704">
        <w:rPr>
          <w:bCs/>
          <w:sz w:val="22"/>
          <w:szCs w:val="22"/>
          <w:lang w:val="sr-Latn-CS"/>
        </w:rPr>
        <w:t>ij</w:t>
      </w:r>
      <w:r w:rsidRPr="00016704">
        <w:rPr>
          <w:bCs/>
          <w:sz w:val="22"/>
          <w:szCs w:val="22"/>
          <w:lang w:val="sr-Latn-CS"/>
        </w:rPr>
        <w:t>ečenja l</w:t>
      </w:r>
      <w:r w:rsidR="00FF1F92" w:rsidRPr="00016704">
        <w:rPr>
          <w:bCs/>
          <w:sz w:val="22"/>
          <w:szCs w:val="22"/>
          <w:lang w:val="sr-Latn-CS"/>
        </w:rPr>
        <w:t>ij</w:t>
      </w:r>
      <w:r w:rsidRPr="00016704">
        <w:rPr>
          <w:bCs/>
          <w:sz w:val="22"/>
          <w:szCs w:val="22"/>
          <w:lang w:val="sr-Latn-CS"/>
        </w:rPr>
        <w:t>ekom ZERBAXA može doći do infekcija koje uzrokuju bakterije koje ni</w:t>
      </w:r>
      <w:r w:rsidR="002B27F3" w:rsidRPr="00016704">
        <w:rPr>
          <w:bCs/>
          <w:sz w:val="22"/>
          <w:szCs w:val="22"/>
          <w:lang w:val="sr-Latn-CS"/>
        </w:rPr>
        <w:t>je</w:t>
      </w:r>
      <w:r w:rsidRPr="00016704">
        <w:rPr>
          <w:bCs/>
          <w:sz w:val="22"/>
          <w:szCs w:val="22"/>
          <w:lang w:val="sr-Latn-CS"/>
        </w:rPr>
        <w:t>su os</w:t>
      </w:r>
      <w:r w:rsidR="002B27F3" w:rsidRPr="00016704">
        <w:rPr>
          <w:bCs/>
          <w:sz w:val="22"/>
          <w:szCs w:val="22"/>
          <w:lang w:val="sr-Latn-CS"/>
        </w:rPr>
        <w:t>j</w:t>
      </w:r>
      <w:r w:rsidRPr="00016704">
        <w:rPr>
          <w:bCs/>
          <w:sz w:val="22"/>
          <w:szCs w:val="22"/>
          <w:lang w:val="sr-Latn-CS"/>
        </w:rPr>
        <w:t>etljive na l</w:t>
      </w:r>
      <w:r w:rsidR="00FF1F92" w:rsidRPr="00016704">
        <w:rPr>
          <w:bCs/>
          <w:sz w:val="22"/>
          <w:szCs w:val="22"/>
          <w:lang w:val="sr-Latn-CS"/>
        </w:rPr>
        <w:t>ij</w:t>
      </w:r>
      <w:r w:rsidRPr="00016704">
        <w:rPr>
          <w:bCs/>
          <w:sz w:val="22"/>
          <w:szCs w:val="22"/>
          <w:lang w:val="sr-Latn-CS"/>
        </w:rPr>
        <w:t>ek ZERBAXA ili infekcija koje uzrokuju gljivice. Obav</w:t>
      </w:r>
      <w:r w:rsidR="002B27F3" w:rsidRPr="00016704">
        <w:rPr>
          <w:bCs/>
          <w:sz w:val="22"/>
          <w:szCs w:val="22"/>
          <w:lang w:val="sr-Latn-CS"/>
        </w:rPr>
        <w:t>ij</w:t>
      </w:r>
      <w:r w:rsidRPr="00016704">
        <w:rPr>
          <w:bCs/>
          <w:sz w:val="22"/>
          <w:szCs w:val="22"/>
          <w:lang w:val="sr-Latn-CS"/>
        </w:rPr>
        <w:t>estite svog l</w:t>
      </w:r>
      <w:r w:rsidR="00FF1F92" w:rsidRPr="00016704">
        <w:rPr>
          <w:bCs/>
          <w:sz w:val="22"/>
          <w:szCs w:val="22"/>
          <w:lang w:val="sr-Latn-CS"/>
        </w:rPr>
        <w:t>j</w:t>
      </w:r>
      <w:r w:rsidRPr="00016704">
        <w:rPr>
          <w:bCs/>
          <w:sz w:val="22"/>
          <w:szCs w:val="22"/>
          <w:lang w:val="sr-Latn-CS"/>
        </w:rPr>
        <w:t>ekara ukoliko mislite da biste mogli imati neku drugu infekciju.</w:t>
      </w:r>
    </w:p>
    <w:p w14:paraId="4CEDA9E9" w14:textId="77777777" w:rsidR="00437810" w:rsidRPr="00016704" w:rsidRDefault="00437810" w:rsidP="00854BF0">
      <w:pPr>
        <w:jc w:val="both"/>
        <w:rPr>
          <w:bCs/>
          <w:sz w:val="22"/>
          <w:szCs w:val="22"/>
          <w:lang w:val="sr-Latn-CS"/>
        </w:rPr>
      </w:pPr>
    </w:p>
    <w:p w14:paraId="5E8ECA64" w14:textId="48804BAA" w:rsidR="00445D8F" w:rsidRPr="00016704" w:rsidRDefault="00437810" w:rsidP="00854BF0">
      <w:pPr>
        <w:jc w:val="both"/>
        <w:rPr>
          <w:bCs/>
          <w:sz w:val="22"/>
          <w:szCs w:val="22"/>
          <w:lang w:val="sr-Latn-CS"/>
        </w:rPr>
      </w:pPr>
      <w:r w:rsidRPr="00016704">
        <w:rPr>
          <w:bCs/>
          <w:sz w:val="22"/>
          <w:szCs w:val="22"/>
          <w:lang w:val="sr-Latn-CS"/>
        </w:rPr>
        <w:t>L</w:t>
      </w:r>
      <w:r w:rsidR="00FF1F92" w:rsidRPr="00016704">
        <w:rPr>
          <w:bCs/>
          <w:sz w:val="22"/>
          <w:szCs w:val="22"/>
          <w:lang w:val="sr-Latn-CS"/>
        </w:rPr>
        <w:t>ij</w:t>
      </w:r>
      <w:r w:rsidRPr="00016704">
        <w:rPr>
          <w:bCs/>
          <w:sz w:val="22"/>
          <w:szCs w:val="22"/>
          <w:lang w:val="sr-Latn-CS"/>
        </w:rPr>
        <w:t>ečenje l</w:t>
      </w:r>
      <w:r w:rsidR="00FF1F92" w:rsidRPr="00016704">
        <w:rPr>
          <w:bCs/>
          <w:sz w:val="22"/>
          <w:szCs w:val="22"/>
          <w:lang w:val="sr-Latn-CS"/>
        </w:rPr>
        <w:t>ij</w:t>
      </w:r>
      <w:r w:rsidRPr="00016704">
        <w:rPr>
          <w:bCs/>
          <w:sz w:val="22"/>
          <w:szCs w:val="22"/>
          <w:lang w:val="sr-Latn-CS"/>
        </w:rPr>
        <w:t>ekom ZERBAXA ponekad uzrokuje stvaranje antit</w:t>
      </w:r>
      <w:r w:rsidR="002B27F3" w:rsidRPr="00016704">
        <w:rPr>
          <w:bCs/>
          <w:sz w:val="22"/>
          <w:szCs w:val="22"/>
          <w:lang w:val="sr-Latn-CS"/>
        </w:rPr>
        <w:t>ij</w:t>
      </w:r>
      <w:r w:rsidRPr="00016704">
        <w:rPr>
          <w:bCs/>
          <w:sz w:val="22"/>
          <w:szCs w:val="22"/>
          <w:lang w:val="sr-Latn-CS"/>
        </w:rPr>
        <w:t>ela koja reaguju sa crvenim krvnim ćelijama. Ako Vam je rečeno da imate izm</w:t>
      </w:r>
      <w:r w:rsidR="002B27F3" w:rsidRPr="00016704">
        <w:rPr>
          <w:bCs/>
          <w:sz w:val="22"/>
          <w:szCs w:val="22"/>
          <w:lang w:val="sr-Latn-CS"/>
        </w:rPr>
        <w:t>i</w:t>
      </w:r>
      <w:r w:rsidR="00FF1F92" w:rsidRPr="00016704">
        <w:rPr>
          <w:bCs/>
          <w:sz w:val="22"/>
          <w:szCs w:val="22"/>
          <w:lang w:val="sr-Latn-CS"/>
        </w:rPr>
        <w:t>j</w:t>
      </w:r>
      <w:r w:rsidRPr="00016704">
        <w:rPr>
          <w:bCs/>
          <w:sz w:val="22"/>
          <w:szCs w:val="22"/>
          <w:lang w:val="sr-Latn-CS"/>
        </w:rPr>
        <w:t xml:space="preserve">enjen nalaz analize krvi (koji se naziva </w:t>
      </w:r>
      <w:r w:rsidRPr="00016704">
        <w:rPr>
          <w:bCs/>
          <w:i/>
          <w:iCs/>
          <w:sz w:val="22"/>
          <w:szCs w:val="22"/>
          <w:lang w:val="sr-Latn-CS"/>
        </w:rPr>
        <w:t>Coombs</w:t>
      </w:r>
      <w:r w:rsidRPr="00016704">
        <w:rPr>
          <w:bCs/>
          <w:sz w:val="22"/>
          <w:szCs w:val="22"/>
          <w:lang w:val="sr-Latn-CS"/>
        </w:rPr>
        <w:t>-ov test) obav</w:t>
      </w:r>
      <w:r w:rsidR="002B27F3" w:rsidRPr="00016704">
        <w:rPr>
          <w:bCs/>
          <w:sz w:val="22"/>
          <w:szCs w:val="22"/>
          <w:lang w:val="sr-Latn-CS"/>
        </w:rPr>
        <w:t>ij</w:t>
      </w:r>
      <w:r w:rsidRPr="00016704">
        <w:rPr>
          <w:bCs/>
          <w:sz w:val="22"/>
          <w:szCs w:val="22"/>
          <w:lang w:val="sr-Latn-CS"/>
        </w:rPr>
        <w:t>estite svog l</w:t>
      </w:r>
      <w:r w:rsidR="00FF1F92" w:rsidRPr="00016704">
        <w:rPr>
          <w:bCs/>
          <w:sz w:val="22"/>
          <w:szCs w:val="22"/>
          <w:lang w:val="sr-Latn-CS"/>
        </w:rPr>
        <w:t>ij</w:t>
      </w:r>
      <w:r w:rsidRPr="00016704">
        <w:rPr>
          <w:bCs/>
          <w:sz w:val="22"/>
          <w:szCs w:val="22"/>
          <w:lang w:val="sr-Latn-CS"/>
        </w:rPr>
        <w:t>ekara da primate ili ste donedavno primali l</w:t>
      </w:r>
      <w:r w:rsidR="00FF1F92" w:rsidRPr="00016704">
        <w:rPr>
          <w:bCs/>
          <w:sz w:val="22"/>
          <w:szCs w:val="22"/>
          <w:lang w:val="sr-Latn-CS"/>
        </w:rPr>
        <w:t>ij</w:t>
      </w:r>
      <w:r w:rsidRPr="00016704">
        <w:rPr>
          <w:bCs/>
          <w:sz w:val="22"/>
          <w:szCs w:val="22"/>
          <w:lang w:val="sr-Latn-CS"/>
        </w:rPr>
        <w:t>ek ZERBAXA.</w:t>
      </w:r>
    </w:p>
    <w:p w14:paraId="5F45FC59" w14:textId="77777777" w:rsidR="00DE41C7" w:rsidRPr="00016704" w:rsidRDefault="00DE41C7" w:rsidP="00854BF0">
      <w:pPr>
        <w:jc w:val="both"/>
        <w:rPr>
          <w:bCs/>
          <w:sz w:val="22"/>
          <w:szCs w:val="22"/>
          <w:lang w:val="sr-Latn-CS"/>
        </w:rPr>
      </w:pPr>
    </w:p>
    <w:p w14:paraId="26F7553E" w14:textId="2EA2C732" w:rsidR="00C77D13" w:rsidRPr="00016704" w:rsidRDefault="00C77D13" w:rsidP="00854BF0">
      <w:pPr>
        <w:jc w:val="both"/>
        <w:rPr>
          <w:b/>
          <w:bCs/>
          <w:sz w:val="22"/>
          <w:szCs w:val="22"/>
          <w:lang w:val="sr-Latn-CS"/>
        </w:rPr>
      </w:pPr>
      <w:r w:rsidRPr="00016704">
        <w:rPr>
          <w:b/>
          <w:bCs/>
          <w:sz w:val="22"/>
          <w:szCs w:val="22"/>
          <w:lang w:val="sr-Latn-CS"/>
        </w:rPr>
        <w:t>Djeca i adolescenti</w:t>
      </w:r>
    </w:p>
    <w:p w14:paraId="798DE91C" w14:textId="43F9EC8B" w:rsidR="00C77D13" w:rsidRPr="00016704" w:rsidRDefault="00FF1F92" w:rsidP="00854BF0">
      <w:pPr>
        <w:jc w:val="both"/>
        <w:rPr>
          <w:bCs/>
          <w:sz w:val="22"/>
          <w:szCs w:val="22"/>
          <w:lang w:val="sr-Latn-CS"/>
        </w:rPr>
      </w:pPr>
      <w:r w:rsidRPr="00016704">
        <w:rPr>
          <w:bCs/>
          <w:sz w:val="22"/>
          <w:szCs w:val="22"/>
          <w:lang w:val="sr-Latn-CS"/>
        </w:rPr>
        <w:t>Ovaj lijek ne treba prim</w:t>
      </w:r>
      <w:r w:rsidR="002B27F3" w:rsidRPr="00016704">
        <w:rPr>
          <w:bCs/>
          <w:sz w:val="22"/>
          <w:szCs w:val="22"/>
          <w:lang w:val="sr-Latn-CS"/>
        </w:rPr>
        <w:t>j</w:t>
      </w:r>
      <w:r w:rsidRPr="00016704">
        <w:rPr>
          <w:bCs/>
          <w:sz w:val="22"/>
          <w:szCs w:val="22"/>
          <w:lang w:val="sr-Latn-CS"/>
        </w:rPr>
        <w:t>enjivati kod djece mlađe od 18 godina za liječenje pneumonije jer nema dovoljno informacija o njegovoj prim</w:t>
      </w:r>
      <w:r w:rsidR="002B27F3" w:rsidRPr="00016704">
        <w:rPr>
          <w:bCs/>
          <w:sz w:val="22"/>
          <w:szCs w:val="22"/>
          <w:lang w:val="sr-Latn-CS"/>
        </w:rPr>
        <w:t>j</w:t>
      </w:r>
      <w:r w:rsidRPr="00016704">
        <w:rPr>
          <w:bCs/>
          <w:sz w:val="22"/>
          <w:szCs w:val="22"/>
          <w:lang w:val="sr-Latn-CS"/>
        </w:rPr>
        <w:t>eni u ovoj uzrasnoj grupi za liječenje ove infekcije.</w:t>
      </w:r>
    </w:p>
    <w:p w14:paraId="4B72A3F4" w14:textId="77777777" w:rsidR="00FF1F92" w:rsidRPr="00016704" w:rsidRDefault="00FF1F92" w:rsidP="00854BF0">
      <w:pPr>
        <w:jc w:val="both"/>
        <w:rPr>
          <w:b/>
          <w:sz w:val="22"/>
          <w:szCs w:val="22"/>
          <w:lang w:val="sr-Latn-CS"/>
        </w:rPr>
      </w:pPr>
    </w:p>
    <w:p w14:paraId="5434E336" w14:textId="08089545" w:rsidR="00A32113" w:rsidRPr="00016704" w:rsidRDefault="00A32113" w:rsidP="00854BF0">
      <w:pPr>
        <w:jc w:val="both"/>
        <w:rPr>
          <w:b/>
          <w:sz w:val="22"/>
          <w:szCs w:val="22"/>
          <w:lang w:val="sr-Latn-CS"/>
        </w:rPr>
      </w:pPr>
      <w:r w:rsidRPr="00016704">
        <w:rPr>
          <w:b/>
          <w:sz w:val="22"/>
          <w:szCs w:val="22"/>
          <w:lang w:val="sr-Latn-CS"/>
        </w:rPr>
        <w:t xml:space="preserve">Primjena drugih </w:t>
      </w:r>
      <w:r w:rsidR="001B03B0" w:rsidRPr="00016704">
        <w:rPr>
          <w:b/>
          <w:sz w:val="22"/>
          <w:szCs w:val="22"/>
          <w:lang w:val="sr-Latn-CS"/>
        </w:rPr>
        <w:t>l</w:t>
      </w:r>
      <w:r w:rsidRPr="00016704">
        <w:rPr>
          <w:b/>
          <w:sz w:val="22"/>
          <w:szCs w:val="22"/>
          <w:lang w:val="sr-Latn-CS"/>
        </w:rPr>
        <w:t>jekova</w:t>
      </w:r>
    </w:p>
    <w:p w14:paraId="0491AC1F" w14:textId="5D355086" w:rsidR="00FF1F92" w:rsidRPr="00016704" w:rsidRDefault="00FF1F92" w:rsidP="00854BF0">
      <w:pPr>
        <w:jc w:val="both"/>
        <w:rPr>
          <w:bCs/>
          <w:sz w:val="22"/>
          <w:szCs w:val="22"/>
          <w:lang w:val="sr-Latn-CS"/>
        </w:rPr>
      </w:pPr>
      <w:r w:rsidRPr="00016704">
        <w:rPr>
          <w:bCs/>
          <w:sz w:val="22"/>
          <w:szCs w:val="22"/>
          <w:lang w:val="sr-Latn-CS"/>
        </w:rPr>
        <w:t>Obav</w:t>
      </w:r>
      <w:r w:rsidR="002B27F3" w:rsidRPr="00016704">
        <w:rPr>
          <w:bCs/>
          <w:sz w:val="22"/>
          <w:szCs w:val="22"/>
          <w:lang w:val="sr-Latn-CS"/>
        </w:rPr>
        <w:t>ij</w:t>
      </w:r>
      <w:r w:rsidRPr="00016704">
        <w:rPr>
          <w:bCs/>
          <w:sz w:val="22"/>
          <w:szCs w:val="22"/>
          <w:lang w:val="sr-Latn-CS"/>
        </w:rPr>
        <w:t>estite Vašeg lijekara ili farmaceuta ukoliko uzimate, donedavno ste uzimali ili ćete možda uzimati bilo koje druge ljekove.</w:t>
      </w:r>
    </w:p>
    <w:p w14:paraId="6384C97F" w14:textId="77777777" w:rsidR="00FF1F92" w:rsidRPr="00016704" w:rsidRDefault="00FF1F92" w:rsidP="00854BF0">
      <w:pPr>
        <w:jc w:val="both"/>
        <w:rPr>
          <w:bCs/>
          <w:sz w:val="22"/>
          <w:szCs w:val="22"/>
          <w:lang w:val="sr-Latn-CS"/>
        </w:rPr>
      </w:pPr>
    </w:p>
    <w:p w14:paraId="7832FBBA" w14:textId="5CEEBFFE" w:rsidR="00FF1F92" w:rsidRPr="00016704" w:rsidRDefault="00FF1F92" w:rsidP="00854BF0">
      <w:pPr>
        <w:jc w:val="both"/>
        <w:rPr>
          <w:bCs/>
          <w:sz w:val="22"/>
          <w:szCs w:val="22"/>
          <w:lang w:val="sr-Latn-CS"/>
        </w:rPr>
      </w:pPr>
      <w:r w:rsidRPr="00016704">
        <w:rPr>
          <w:bCs/>
          <w:sz w:val="22"/>
          <w:szCs w:val="22"/>
          <w:lang w:val="sr-Latn-CS"/>
        </w:rPr>
        <w:t>Neki ljekovi mogu ući u interakciju sa ceftolozanom i tazobaktamom. Ovo uključuje:</w:t>
      </w:r>
    </w:p>
    <w:p w14:paraId="4C53326F" w14:textId="0D0CBDC7" w:rsidR="00FF1F92" w:rsidRPr="00016704" w:rsidRDefault="00104023" w:rsidP="00854BF0">
      <w:pPr>
        <w:pStyle w:val="ListParagraph"/>
        <w:numPr>
          <w:ilvl w:val="0"/>
          <w:numId w:val="18"/>
        </w:numPr>
        <w:ind w:left="426" w:hanging="426"/>
        <w:jc w:val="both"/>
        <w:rPr>
          <w:bCs/>
          <w:sz w:val="22"/>
          <w:szCs w:val="22"/>
          <w:lang w:val="sr-Latn-CS"/>
        </w:rPr>
      </w:pPr>
      <w:r w:rsidRPr="00016704">
        <w:rPr>
          <w:bCs/>
          <w:sz w:val="22"/>
          <w:szCs w:val="22"/>
          <w:lang w:val="sr-Latn-CS"/>
        </w:rPr>
        <w:t>P</w:t>
      </w:r>
      <w:r w:rsidR="00FF1F92" w:rsidRPr="00016704">
        <w:rPr>
          <w:bCs/>
          <w:sz w:val="22"/>
          <w:szCs w:val="22"/>
          <w:lang w:val="sr-Latn-CS"/>
        </w:rPr>
        <w:t>robenecid (za liječenje gihta). On može produžiti vrijeme koje je tazobaktamu potrebno da se izluči iz Vašeg organizma.</w:t>
      </w:r>
    </w:p>
    <w:p w14:paraId="3EF85A67" w14:textId="77777777" w:rsidR="00445D8F" w:rsidRPr="00016704" w:rsidRDefault="00445D8F" w:rsidP="00854BF0">
      <w:pPr>
        <w:jc w:val="both"/>
        <w:rPr>
          <w:bCs/>
          <w:sz w:val="22"/>
          <w:szCs w:val="22"/>
          <w:lang w:val="sr-Latn-CS"/>
        </w:rPr>
      </w:pPr>
    </w:p>
    <w:p w14:paraId="4AEC9315" w14:textId="77777777" w:rsidR="00CD7D15" w:rsidRPr="00016704" w:rsidRDefault="00CD7D15" w:rsidP="00854BF0">
      <w:pPr>
        <w:jc w:val="both"/>
        <w:rPr>
          <w:b/>
          <w:sz w:val="22"/>
          <w:szCs w:val="22"/>
          <w:lang w:val="sr-Latn-CS"/>
        </w:rPr>
      </w:pPr>
    </w:p>
    <w:p w14:paraId="2BD96B0B" w14:textId="77777777" w:rsidR="00CD7D15" w:rsidRPr="00016704" w:rsidRDefault="00CD7D15" w:rsidP="00854BF0">
      <w:pPr>
        <w:jc w:val="both"/>
        <w:rPr>
          <w:b/>
          <w:sz w:val="22"/>
          <w:szCs w:val="22"/>
          <w:lang w:val="sr-Latn-CS"/>
        </w:rPr>
      </w:pPr>
    </w:p>
    <w:p w14:paraId="1A8B7002" w14:textId="77777777" w:rsidR="00CD7D15" w:rsidRPr="00016704" w:rsidRDefault="00CD7D15" w:rsidP="00854BF0">
      <w:pPr>
        <w:jc w:val="both"/>
        <w:rPr>
          <w:b/>
          <w:sz w:val="22"/>
          <w:szCs w:val="22"/>
          <w:lang w:val="sr-Latn-CS"/>
        </w:rPr>
      </w:pPr>
    </w:p>
    <w:p w14:paraId="057A3307" w14:textId="42859AAB" w:rsidR="00744EAE" w:rsidRPr="00016704" w:rsidRDefault="00744EAE" w:rsidP="00854BF0">
      <w:pPr>
        <w:jc w:val="both"/>
        <w:rPr>
          <w:b/>
          <w:sz w:val="22"/>
          <w:szCs w:val="22"/>
          <w:lang w:val="sr-Latn-CS"/>
        </w:rPr>
      </w:pPr>
      <w:r w:rsidRPr="00016704">
        <w:rPr>
          <w:b/>
          <w:sz w:val="22"/>
          <w:szCs w:val="22"/>
          <w:lang w:val="sr-Latn-CS"/>
        </w:rPr>
        <w:lastRenderedPageBreak/>
        <w:t>Plodnost, trudnoća i dojenje</w:t>
      </w:r>
    </w:p>
    <w:p w14:paraId="77239C4F" w14:textId="22562315" w:rsidR="00FF1F92" w:rsidRPr="00016704" w:rsidRDefault="00FF1F92" w:rsidP="00854BF0">
      <w:pPr>
        <w:jc w:val="both"/>
        <w:rPr>
          <w:bCs/>
          <w:sz w:val="22"/>
          <w:szCs w:val="22"/>
          <w:lang w:val="sr-Latn-CS"/>
        </w:rPr>
      </w:pPr>
      <w:r w:rsidRPr="00016704">
        <w:rPr>
          <w:bCs/>
          <w:sz w:val="22"/>
          <w:szCs w:val="22"/>
          <w:lang w:val="sr-Latn-CS"/>
        </w:rPr>
        <w:t>Ukoliko ste trudni ili dojite, mislite da ste trudni ili planirate trudnoću, obratite se Vašem ljekaru ili farmaceutu za savjet pr</w:t>
      </w:r>
      <w:r w:rsidR="00D64AE6" w:rsidRPr="00016704">
        <w:rPr>
          <w:bCs/>
          <w:sz w:val="22"/>
          <w:szCs w:val="22"/>
          <w:lang w:val="sr-Latn-CS"/>
        </w:rPr>
        <w:t>ij</w:t>
      </w:r>
      <w:r w:rsidRPr="00016704">
        <w:rPr>
          <w:bCs/>
          <w:sz w:val="22"/>
          <w:szCs w:val="22"/>
          <w:lang w:val="sr-Latn-CS"/>
        </w:rPr>
        <w:t>e nego što uzmete ovaj l</w:t>
      </w:r>
      <w:r w:rsidR="00B8710A" w:rsidRPr="00016704">
        <w:rPr>
          <w:bCs/>
          <w:sz w:val="22"/>
          <w:szCs w:val="22"/>
          <w:lang w:val="sr-Latn-CS"/>
        </w:rPr>
        <w:t>ij</w:t>
      </w:r>
      <w:r w:rsidRPr="00016704">
        <w:rPr>
          <w:bCs/>
          <w:sz w:val="22"/>
          <w:szCs w:val="22"/>
          <w:lang w:val="sr-Latn-CS"/>
        </w:rPr>
        <w:t>ek. L</w:t>
      </w:r>
      <w:r w:rsidR="00B8710A" w:rsidRPr="00016704">
        <w:rPr>
          <w:bCs/>
          <w:sz w:val="22"/>
          <w:szCs w:val="22"/>
          <w:lang w:val="sr-Latn-CS"/>
        </w:rPr>
        <w:t>j</w:t>
      </w:r>
      <w:r w:rsidRPr="00016704">
        <w:rPr>
          <w:bCs/>
          <w:sz w:val="22"/>
          <w:szCs w:val="22"/>
          <w:lang w:val="sr-Latn-CS"/>
        </w:rPr>
        <w:t>ekar će Vas sav</w:t>
      </w:r>
      <w:r w:rsidR="00B8710A" w:rsidRPr="00016704">
        <w:rPr>
          <w:bCs/>
          <w:sz w:val="22"/>
          <w:szCs w:val="22"/>
          <w:lang w:val="sr-Latn-CS"/>
        </w:rPr>
        <w:t>j</w:t>
      </w:r>
      <w:r w:rsidRPr="00016704">
        <w:rPr>
          <w:bCs/>
          <w:sz w:val="22"/>
          <w:szCs w:val="22"/>
          <w:lang w:val="sr-Latn-CS"/>
        </w:rPr>
        <w:t>etovati da li možete da primate l</w:t>
      </w:r>
      <w:r w:rsidR="00B8710A" w:rsidRPr="00016704">
        <w:rPr>
          <w:bCs/>
          <w:sz w:val="22"/>
          <w:szCs w:val="22"/>
          <w:lang w:val="sr-Latn-CS"/>
        </w:rPr>
        <w:t>ij</w:t>
      </w:r>
      <w:r w:rsidRPr="00016704">
        <w:rPr>
          <w:bCs/>
          <w:sz w:val="22"/>
          <w:szCs w:val="22"/>
          <w:lang w:val="sr-Latn-CS"/>
        </w:rPr>
        <w:t>ek ZERBAXA tokom trudnoće.</w:t>
      </w:r>
    </w:p>
    <w:p w14:paraId="2C307724" w14:textId="77777777" w:rsidR="00FF1F92" w:rsidRPr="00016704" w:rsidRDefault="00FF1F92" w:rsidP="00854BF0">
      <w:pPr>
        <w:jc w:val="both"/>
        <w:rPr>
          <w:bCs/>
          <w:sz w:val="22"/>
          <w:szCs w:val="22"/>
          <w:lang w:val="sr-Latn-CS"/>
        </w:rPr>
      </w:pPr>
    </w:p>
    <w:p w14:paraId="196FFB78" w14:textId="59267E4A" w:rsidR="00A92C66" w:rsidRPr="00016704" w:rsidRDefault="00FF1F92" w:rsidP="00854BF0">
      <w:pPr>
        <w:jc w:val="both"/>
        <w:rPr>
          <w:bCs/>
          <w:sz w:val="22"/>
          <w:szCs w:val="22"/>
          <w:lang w:val="sr-Latn-CS"/>
        </w:rPr>
      </w:pPr>
      <w:r w:rsidRPr="00016704">
        <w:rPr>
          <w:bCs/>
          <w:sz w:val="22"/>
          <w:szCs w:val="22"/>
          <w:lang w:val="sr-Latn-CS"/>
        </w:rPr>
        <w:t>Ukoliko dojite, l</w:t>
      </w:r>
      <w:r w:rsidR="00B8710A" w:rsidRPr="00016704">
        <w:rPr>
          <w:bCs/>
          <w:sz w:val="22"/>
          <w:szCs w:val="22"/>
          <w:lang w:val="sr-Latn-CS"/>
        </w:rPr>
        <w:t>j</w:t>
      </w:r>
      <w:r w:rsidRPr="00016704">
        <w:rPr>
          <w:bCs/>
          <w:sz w:val="22"/>
          <w:szCs w:val="22"/>
          <w:lang w:val="sr-Latn-CS"/>
        </w:rPr>
        <w:t>ekar će Vas posav</w:t>
      </w:r>
      <w:r w:rsidR="00B8710A" w:rsidRPr="00016704">
        <w:rPr>
          <w:bCs/>
          <w:sz w:val="22"/>
          <w:szCs w:val="22"/>
          <w:lang w:val="sr-Latn-CS"/>
        </w:rPr>
        <w:t>j</w:t>
      </w:r>
      <w:r w:rsidRPr="00016704">
        <w:rPr>
          <w:bCs/>
          <w:sz w:val="22"/>
          <w:szCs w:val="22"/>
          <w:lang w:val="sr-Latn-CS"/>
        </w:rPr>
        <w:t>etovati da li treba da prekinete dojenje ili da prestanete ili odložite l</w:t>
      </w:r>
      <w:r w:rsidR="00B8710A" w:rsidRPr="00016704">
        <w:rPr>
          <w:bCs/>
          <w:sz w:val="22"/>
          <w:szCs w:val="22"/>
          <w:lang w:val="sr-Latn-CS"/>
        </w:rPr>
        <w:t>ij</w:t>
      </w:r>
      <w:r w:rsidRPr="00016704">
        <w:rPr>
          <w:bCs/>
          <w:sz w:val="22"/>
          <w:szCs w:val="22"/>
          <w:lang w:val="sr-Latn-CS"/>
        </w:rPr>
        <w:t>ečenje l</w:t>
      </w:r>
      <w:r w:rsidR="00B8710A" w:rsidRPr="00016704">
        <w:rPr>
          <w:bCs/>
          <w:sz w:val="22"/>
          <w:szCs w:val="22"/>
          <w:lang w:val="sr-Latn-CS"/>
        </w:rPr>
        <w:t>ij</w:t>
      </w:r>
      <w:r w:rsidRPr="00016704">
        <w:rPr>
          <w:bCs/>
          <w:sz w:val="22"/>
          <w:szCs w:val="22"/>
          <w:lang w:val="sr-Latn-CS"/>
        </w:rPr>
        <w:t>ekom ZERBAXA, uzimajući u obzir korist od dojenja za d</w:t>
      </w:r>
      <w:r w:rsidR="00B8710A" w:rsidRPr="00016704">
        <w:rPr>
          <w:bCs/>
          <w:sz w:val="22"/>
          <w:szCs w:val="22"/>
          <w:lang w:val="sr-Latn-CS"/>
        </w:rPr>
        <w:t>ij</w:t>
      </w:r>
      <w:r w:rsidRPr="00016704">
        <w:rPr>
          <w:bCs/>
          <w:sz w:val="22"/>
          <w:szCs w:val="22"/>
          <w:lang w:val="sr-Latn-CS"/>
        </w:rPr>
        <w:t>ete i korist od l</w:t>
      </w:r>
      <w:r w:rsidR="00B8710A" w:rsidRPr="00016704">
        <w:rPr>
          <w:bCs/>
          <w:sz w:val="22"/>
          <w:szCs w:val="22"/>
          <w:lang w:val="sr-Latn-CS"/>
        </w:rPr>
        <w:t>ij</w:t>
      </w:r>
      <w:r w:rsidRPr="00016704">
        <w:rPr>
          <w:bCs/>
          <w:sz w:val="22"/>
          <w:szCs w:val="22"/>
          <w:lang w:val="sr-Latn-CS"/>
        </w:rPr>
        <w:t>ečenja za Vas.</w:t>
      </w:r>
    </w:p>
    <w:p w14:paraId="3FAEDBA3" w14:textId="77777777" w:rsidR="00B8710A" w:rsidRPr="00016704" w:rsidRDefault="00B8710A" w:rsidP="00854BF0">
      <w:pPr>
        <w:jc w:val="both"/>
        <w:rPr>
          <w:b/>
          <w:sz w:val="22"/>
          <w:szCs w:val="22"/>
          <w:lang w:val="sr-Latn-CS"/>
        </w:rPr>
      </w:pPr>
    </w:p>
    <w:p w14:paraId="780EEBEE" w14:textId="38DD5656" w:rsidR="00A32113" w:rsidRPr="00016704" w:rsidRDefault="00A32113" w:rsidP="00854BF0">
      <w:pPr>
        <w:jc w:val="both"/>
        <w:rPr>
          <w:b/>
          <w:bCs/>
          <w:sz w:val="22"/>
          <w:szCs w:val="22"/>
          <w:lang w:val="sr-Latn-CS"/>
        </w:rPr>
      </w:pPr>
      <w:r w:rsidRPr="00016704">
        <w:rPr>
          <w:b/>
          <w:sz w:val="22"/>
          <w:szCs w:val="22"/>
          <w:lang w:val="sr-Latn-CS"/>
        </w:rPr>
        <w:t xml:space="preserve">Uticaj lijeka </w:t>
      </w:r>
      <w:bookmarkStart w:id="1" w:name="_Hlk118368508"/>
      <w:r w:rsidR="00B8710A" w:rsidRPr="00016704">
        <w:rPr>
          <w:b/>
          <w:sz w:val="22"/>
          <w:szCs w:val="22"/>
          <w:lang w:val="sr-Latn-CS"/>
        </w:rPr>
        <w:t>ZERBAXA</w:t>
      </w:r>
      <w:bookmarkEnd w:id="1"/>
      <w:r w:rsidRPr="00016704">
        <w:rPr>
          <w:b/>
          <w:sz w:val="22"/>
          <w:szCs w:val="22"/>
          <w:lang w:val="sr-Latn-CS"/>
        </w:rPr>
        <w:t xml:space="preserve"> na </w:t>
      </w:r>
      <w:r w:rsidR="00F47B6C" w:rsidRPr="00016704">
        <w:rPr>
          <w:b/>
          <w:sz w:val="22"/>
          <w:szCs w:val="22"/>
          <w:lang w:val="sr-Latn-CS"/>
        </w:rPr>
        <w:t xml:space="preserve">sposobnost upravljanja </w:t>
      </w:r>
      <w:r w:rsidRPr="00016704">
        <w:rPr>
          <w:b/>
          <w:sz w:val="22"/>
          <w:szCs w:val="22"/>
          <w:lang w:val="sr-Latn-CS"/>
        </w:rPr>
        <w:t>vozilima i rukovanje mašinama</w:t>
      </w:r>
      <w:r w:rsidRPr="00016704">
        <w:rPr>
          <w:b/>
          <w:bCs/>
          <w:sz w:val="22"/>
          <w:szCs w:val="22"/>
          <w:lang w:val="sr-Latn-CS"/>
        </w:rPr>
        <w:t xml:space="preserve"> </w:t>
      </w:r>
    </w:p>
    <w:p w14:paraId="2D7EF08E" w14:textId="77777777" w:rsidR="00F202FB" w:rsidRPr="00016704" w:rsidRDefault="00B8710A" w:rsidP="00854BF0">
      <w:pPr>
        <w:widowControl w:val="0"/>
        <w:autoSpaceDE w:val="0"/>
        <w:autoSpaceDN w:val="0"/>
        <w:jc w:val="both"/>
        <w:rPr>
          <w:sz w:val="22"/>
          <w:szCs w:val="22"/>
          <w:lang w:val="sr-Latn-CS"/>
        </w:rPr>
      </w:pPr>
      <w:r w:rsidRPr="00016704">
        <w:rPr>
          <w:sz w:val="22"/>
          <w:szCs w:val="22"/>
          <w:lang w:val="sr-Latn-CS"/>
        </w:rPr>
        <w:t>Lijek ZERBAXA može uzrokovati vrtoglavicu, što može uticati na Vašu sposobnost upravljanja vozilima i rukovanja mašinama.</w:t>
      </w:r>
    </w:p>
    <w:p w14:paraId="3B8DDD1F" w14:textId="77777777" w:rsidR="00F202FB" w:rsidRPr="00016704" w:rsidRDefault="00F202FB" w:rsidP="00854BF0">
      <w:pPr>
        <w:widowControl w:val="0"/>
        <w:autoSpaceDE w:val="0"/>
        <w:autoSpaceDN w:val="0"/>
        <w:jc w:val="both"/>
        <w:rPr>
          <w:sz w:val="22"/>
          <w:szCs w:val="22"/>
          <w:lang w:val="sr-Latn-CS"/>
        </w:rPr>
      </w:pPr>
    </w:p>
    <w:p w14:paraId="59EA354C" w14:textId="589086BD" w:rsidR="00B8710A" w:rsidRPr="00016704" w:rsidRDefault="00744EAE" w:rsidP="00854BF0">
      <w:pPr>
        <w:widowControl w:val="0"/>
        <w:autoSpaceDE w:val="0"/>
        <w:autoSpaceDN w:val="0"/>
        <w:jc w:val="both"/>
        <w:rPr>
          <w:b/>
          <w:sz w:val="22"/>
          <w:szCs w:val="22"/>
          <w:lang w:val="sr-Latn-CS"/>
        </w:rPr>
      </w:pPr>
      <w:r w:rsidRPr="00016704">
        <w:rPr>
          <w:b/>
          <w:sz w:val="22"/>
          <w:szCs w:val="22"/>
          <w:lang w:val="sr-Latn-CS"/>
        </w:rPr>
        <w:t>Važne informacije o nekim sastojcima lijeka ZERBAXA</w:t>
      </w:r>
    </w:p>
    <w:p w14:paraId="44026FA4" w14:textId="0A8EA8AA" w:rsidR="00B8710A" w:rsidRPr="00016704" w:rsidRDefault="00B8710A" w:rsidP="00854BF0">
      <w:pPr>
        <w:widowControl w:val="0"/>
        <w:autoSpaceDE w:val="0"/>
        <w:autoSpaceDN w:val="0"/>
        <w:jc w:val="both"/>
        <w:rPr>
          <w:b/>
          <w:bCs/>
          <w:sz w:val="22"/>
          <w:szCs w:val="22"/>
          <w:lang w:val="sr-Latn-CS"/>
        </w:rPr>
      </w:pPr>
      <w:r w:rsidRPr="00016704">
        <w:rPr>
          <w:b/>
          <w:bCs/>
          <w:sz w:val="22"/>
          <w:szCs w:val="22"/>
          <w:lang w:val="sr-Latn-CS"/>
        </w:rPr>
        <w:t>Lijek ZERBAXA sadrži natrijum</w:t>
      </w:r>
      <w:r w:rsidR="00744EAE" w:rsidRPr="00016704">
        <w:rPr>
          <w:b/>
          <w:bCs/>
          <w:sz w:val="22"/>
          <w:szCs w:val="22"/>
          <w:lang w:val="sr-Latn-CS"/>
        </w:rPr>
        <w:t>.</w:t>
      </w:r>
    </w:p>
    <w:p w14:paraId="0EF4776A" w14:textId="71FC0EB2" w:rsidR="00445D8F" w:rsidRPr="00016704" w:rsidRDefault="00B8710A" w:rsidP="00854BF0">
      <w:pPr>
        <w:widowControl w:val="0"/>
        <w:autoSpaceDE w:val="0"/>
        <w:autoSpaceDN w:val="0"/>
        <w:jc w:val="both"/>
        <w:rPr>
          <w:sz w:val="22"/>
          <w:szCs w:val="22"/>
          <w:lang w:val="sr-Latn-CS"/>
        </w:rPr>
      </w:pPr>
      <w:r w:rsidRPr="00016704">
        <w:rPr>
          <w:sz w:val="22"/>
          <w:szCs w:val="22"/>
          <w:lang w:val="sr-Latn-CS"/>
        </w:rPr>
        <w:t>Ovaj lijek sadrži 230 mg natrijuma (glavni sastojak kuhinjske soli) u jednoj bočici. Ova količina odgovara 11,5% preporučenog maksimalnog dnevnog unosa soli za odraslu osobu. Sadržaj bočice rekonstituisan sa 10</w:t>
      </w:r>
      <w:r w:rsidR="004166C4" w:rsidRPr="00016704">
        <w:rPr>
          <w:sz w:val="22"/>
          <w:szCs w:val="22"/>
          <w:lang w:val="sr-Latn-CS"/>
        </w:rPr>
        <w:t xml:space="preserve"> ml </w:t>
      </w:r>
      <w:r w:rsidRPr="00016704">
        <w:rPr>
          <w:sz w:val="22"/>
          <w:szCs w:val="22"/>
          <w:lang w:val="sr-Latn-CS"/>
        </w:rPr>
        <w:t>0,9% tnog rastvora za injekcije natrijum</w:t>
      </w:r>
      <w:r w:rsidR="007C79AF" w:rsidRPr="00016704">
        <w:rPr>
          <w:sz w:val="22"/>
          <w:szCs w:val="22"/>
          <w:lang w:val="sr-Latn-CS"/>
        </w:rPr>
        <w:t xml:space="preserve"> </w:t>
      </w:r>
      <w:r w:rsidRPr="00016704">
        <w:rPr>
          <w:sz w:val="22"/>
          <w:szCs w:val="22"/>
          <w:lang w:val="sr-Latn-CS"/>
        </w:rPr>
        <w:t>hlorida (fiziološkog rastvora) sadrži 265 mg natrijuma u svakoj bočici. Ova količina odgovara 13,3% preporučenog maksimalnog dnevnog unosa soli za odraslu osobu.</w:t>
      </w:r>
    </w:p>
    <w:p w14:paraId="5395C66B" w14:textId="74409D81" w:rsidR="00445D8F" w:rsidRPr="00016704" w:rsidRDefault="00445D8F" w:rsidP="00854BF0">
      <w:pPr>
        <w:jc w:val="both"/>
        <w:rPr>
          <w:sz w:val="22"/>
          <w:szCs w:val="22"/>
          <w:lang w:val="sr-Latn-CS"/>
        </w:rPr>
      </w:pPr>
    </w:p>
    <w:p w14:paraId="6DE75A64" w14:textId="77777777" w:rsidR="00CD7D15" w:rsidRPr="00016704" w:rsidRDefault="00CD7D15" w:rsidP="00854BF0">
      <w:pPr>
        <w:jc w:val="both"/>
        <w:rPr>
          <w:sz w:val="22"/>
          <w:szCs w:val="22"/>
          <w:lang w:val="sr-Latn-CS"/>
        </w:rPr>
      </w:pPr>
    </w:p>
    <w:p w14:paraId="33E9D774" w14:textId="67D3ED42" w:rsidR="00A32113" w:rsidRPr="00016704" w:rsidRDefault="00A32113" w:rsidP="00854BF0">
      <w:pPr>
        <w:tabs>
          <w:tab w:val="left" w:pos="540"/>
          <w:tab w:val="left" w:pos="569"/>
        </w:tabs>
        <w:jc w:val="both"/>
        <w:rPr>
          <w:b/>
          <w:bCs/>
          <w:sz w:val="22"/>
          <w:szCs w:val="22"/>
          <w:lang w:val="ru-RU"/>
        </w:rPr>
      </w:pPr>
      <w:r w:rsidRPr="00016704">
        <w:rPr>
          <w:b/>
          <w:bCs/>
          <w:sz w:val="22"/>
          <w:szCs w:val="22"/>
          <w:lang w:val="ru-RU"/>
        </w:rPr>
        <w:t xml:space="preserve">3. </w:t>
      </w:r>
      <w:r w:rsidR="00291DAD" w:rsidRPr="00016704">
        <w:rPr>
          <w:b/>
          <w:bCs/>
          <w:sz w:val="22"/>
          <w:szCs w:val="22"/>
          <w:lang w:val="sr-Latn-CS"/>
        </w:rPr>
        <w:tab/>
      </w:r>
      <w:r w:rsidR="00291DAD" w:rsidRPr="00016704">
        <w:rPr>
          <w:b/>
          <w:bCs/>
          <w:sz w:val="22"/>
          <w:szCs w:val="22"/>
          <w:lang w:val="ru-RU"/>
        </w:rPr>
        <w:t xml:space="preserve">KAKO SE UPOTREBLJAVA LIJEK </w:t>
      </w:r>
      <w:r w:rsidR="00B8710A" w:rsidRPr="00016704">
        <w:rPr>
          <w:b/>
          <w:bCs/>
          <w:sz w:val="22"/>
          <w:szCs w:val="22"/>
          <w:lang w:val="ru-RU"/>
        </w:rPr>
        <w:t>ZERBAXA</w:t>
      </w:r>
    </w:p>
    <w:p w14:paraId="2CFB5C27" w14:textId="63DAC835" w:rsidR="00445D8F" w:rsidRPr="00016704" w:rsidRDefault="00445D8F" w:rsidP="00854BF0">
      <w:pPr>
        <w:jc w:val="both"/>
        <w:rPr>
          <w:bCs/>
          <w:caps/>
          <w:sz w:val="22"/>
          <w:szCs w:val="22"/>
          <w:lang w:val="sr-Latn-CS"/>
        </w:rPr>
      </w:pPr>
    </w:p>
    <w:p w14:paraId="5B3F8E84" w14:textId="11B21B59" w:rsidR="00755903" w:rsidRPr="00016704" w:rsidRDefault="00755903" w:rsidP="00854BF0">
      <w:pPr>
        <w:jc w:val="both"/>
        <w:rPr>
          <w:bCs/>
          <w:caps/>
          <w:sz w:val="22"/>
          <w:szCs w:val="22"/>
          <w:lang w:val="sr-Latn-RS"/>
        </w:rPr>
      </w:pPr>
      <w:r w:rsidRPr="00016704">
        <w:rPr>
          <w:sz w:val="22"/>
          <w:szCs w:val="22"/>
          <w:lang w:val="sr-Latn-RS"/>
        </w:rPr>
        <w:t>Uvijek uzimajte ovaj lijek tačno onako kako Vam je rekao Vaš ljekar ili farmaceut. Provjerite sa ljekarom ili farmaceutom ako ni</w:t>
      </w:r>
      <w:r w:rsidR="007C79AF" w:rsidRPr="00016704">
        <w:rPr>
          <w:sz w:val="22"/>
          <w:szCs w:val="22"/>
          <w:lang w:val="sr-Latn-RS"/>
        </w:rPr>
        <w:t>je</w:t>
      </w:r>
      <w:r w:rsidRPr="00016704">
        <w:rPr>
          <w:sz w:val="22"/>
          <w:szCs w:val="22"/>
          <w:lang w:val="sr-Latn-RS"/>
        </w:rPr>
        <w:t>ste sigurni kako da koristite ovaj lijek.</w:t>
      </w:r>
    </w:p>
    <w:p w14:paraId="01FBFEC2" w14:textId="77777777" w:rsidR="00B8710A" w:rsidRPr="00016704" w:rsidRDefault="00B8710A" w:rsidP="00854BF0">
      <w:pPr>
        <w:pStyle w:val="Header"/>
        <w:tabs>
          <w:tab w:val="left" w:pos="0"/>
        </w:tabs>
        <w:jc w:val="both"/>
        <w:rPr>
          <w:i/>
          <w:iCs/>
          <w:sz w:val="22"/>
          <w:szCs w:val="22"/>
          <w:lang w:val="sr-Latn-RS"/>
        </w:rPr>
      </w:pPr>
    </w:p>
    <w:p w14:paraId="1427D3E0" w14:textId="085A7828" w:rsidR="00B8710A" w:rsidRPr="00016704" w:rsidRDefault="00B8710A" w:rsidP="00854BF0">
      <w:pPr>
        <w:numPr>
          <w:ilvl w:val="12"/>
          <w:numId w:val="0"/>
        </w:numPr>
        <w:tabs>
          <w:tab w:val="left" w:pos="720"/>
        </w:tabs>
        <w:ind w:right="-2"/>
        <w:jc w:val="both"/>
        <w:rPr>
          <w:sz w:val="22"/>
          <w:szCs w:val="22"/>
          <w:lang w:val="sr-Latn-RS"/>
        </w:rPr>
      </w:pPr>
      <w:r w:rsidRPr="00016704">
        <w:rPr>
          <w:sz w:val="22"/>
          <w:szCs w:val="22"/>
          <w:lang w:val="sr-Latn-RS"/>
        </w:rPr>
        <w:t>Ovaj lijek će Vam dati ljekar ili drugi zdravstveni radnik u jednu od vena putem intravenske infuzije u trajanju od jednog sata. Doza lijeka koju će Vam dati zavisi od toga da li imate problema sa bubrezima.</w:t>
      </w:r>
    </w:p>
    <w:p w14:paraId="56F7FB6F" w14:textId="77777777" w:rsidR="00B8710A" w:rsidRPr="00016704" w:rsidRDefault="00B8710A" w:rsidP="00854BF0">
      <w:pPr>
        <w:numPr>
          <w:ilvl w:val="12"/>
          <w:numId w:val="0"/>
        </w:numPr>
        <w:tabs>
          <w:tab w:val="left" w:pos="720"/>
        </w:tabs>
        <w:ind w:right="-2"/>
        <w:jc w:val="both"/>
        <w:rPr>
          <w:sz w:val="22"/>
          <w:szCs w:val="22"/>
          <w:lang w:val="sr-Latn-RS"/>
        </w:rPr>
      </w:pPr>
    </w:p>
    <w:p w14:paraId="7A78B64B" w14:textId="11C05D57" w:rsidR="00B8710A" w:rsidRPr="00016704" w:rsidRDefault="00B8710A" w:rsidP="00854BF0">
      <w:pPr>
        <w:numPr>
          <w:ilvl w:val="12"/>
          <w:numId w:val="0"/>
        </w:numPr>
        <w:tabs>
          <w:tab w:val="left" w:pos="720"/>
        </w:tabs>
        <w:ind w:right="-2"/>
        <w:jc w:val="both"/>
        <w:rPr>
          <w:sz w:val="22"/>
          <w:szCs w:val="22"/>
          <w:lang w:val="sr-Latn-RS"/>
        </w:rPr>
      </w:pPr>
      <w:r w:rsidRPr="00016704">
        <w:rPr>
          <w:sz w:val="22"/>
          <w:szCs w:val="22"/>
          <w:lang w:val="sr-Latn-RS"/>
        </w:rPr>
        <w:t>Doza zavisi od vrste infekcije koju imate, mjesta infekcije u Vašem tijelu i stepena ozbiljnosti infekcije. Vaš l</w:t>
      </w:r>
      <w:r w:rsidR="00003631" w:rsidRPr="00016704">
        <w:rPr>
          <w:sz w:val="22"/>
          <w:szCs w:val="22"/>
          <w:lang w:val="sr-Latn-RS"/>
        </w:rPr>
        <w:t>j</w:t>
      </w:r>
      <w:r w:rsidRPr="00016704">
        <w:rPr>
          <w:sz w:val="22"/>
          <w:szCs w:val="22"/>
          <w:lang w:val="sr-Latn-RS"/>
        </w:rPr>
        <w:t>ekar će odrediti koja je doza potrebna za Vas.</w:t>
      </w:r>
    </w:p>
    <w:p w14:paraId="03F6510A" w14:textId="77777777" w:rsidR="00B8710A" w:rsidRPr="00016704" w:rsidRDefault="00B8710A" w:rsidP="00854BF0">
      <w:pPr>
        <w:numPr>
          <w:ilvl w:val="12"/>
          <w:numId w:val="0"/>
        </w:numPr>
        <w:tabs>
          <w:tab w:val="left" w:pos="720"/>
        </w:tabs>
        <w:ind w:right="-2"/>
        <w:jc w:val="both"/>
        <w:rPr>
          <w:sz w:val="22"/>
          <w:szCs w:val="22"/>
          <w:lang w:val="sr-Latn-RS"/>
        </w:rPr>
      </w:pPr>
    </w:p>
    <w:p w14:paraId="1B8FA582" w14:textId="5BBD7996" w:rsidR="00B8710A" w:rsidRPr="00016704" w:rsidRDefault="00B97CA7" w:rsidP="00854BF0">
      <w:pPr>
        <w:numPr>
          <w:ilvl w:val="12"/>
          <w:numId w:val="0"/>
        </w:numPr>
        <w:tabs>
          <w:tab w:val="left" w:pos="720"/>
        </w:tabs>
        <w:ind w:right="-2"/>
        <w:jc w:val="both"/>
        <w:rPr>
          <w:b/>
          <w:bCs/>
          <w:sz w:val="22"/>
          <w:szCs w:val="22"/>
          <w:lang w:val="sr-Latn-RS"/>
        </w:rPr>
      </w:pPr>
      <w:r w:rsidRPr="00016704">
        <w:rPr>
          <w:b/>
          <w:bCs/>
          <w:sz w:val="22"/>
          <w:szCs w:val="22"/>
          <w:lang w:val="sr-Latn-RS"/>
        </w:rPr>
        <w:t xml:space="preserve">Primjena </w:t>
      </w:r>
      <w:r w:rsidR="00B8710A" w:rsidRPr="00016704">
        <w:rPr>
          <w:b/>
          <w:bCs/>
          <w:sz w:val="22"/>
          <w:szCs w:val="22"/>
          <w:lang w:val="sr-Latn-RS"/>
        </w:rPr>
        <w:t xml:space="preserve">kod odraslih </w:t>
      </w:r>
    </w:p>
    <w:p w14:paraId="70CD1A88" w14:textId="5CA69EEB" w:rsidR="00B8710A" w:rsidRPr="00016704" w:rsidRDefault="00B8710A" w:rsidP="00854BF0">
      <w:pPr>
        <w:numPr>
          <w:ilvl w:val="12"/>
          <w:numId w:val="0"/>
        </w:numPr>
        <w:tabs>
          <w:tab w:val="left" w:pos="720"/>
        </w:tabs>
        <w:ind w:right="-2"/>
        <w:jc w:val="both"/>
        <w:rPr>
          <w:sz w:val="22"/>
          <w:szCs w:val="22"/>
          <w:lang w:val="sr-Latn-RS"/>
        </w:rPr>
      </w:pPr>
      <w:r w:rsidRPr="00016704">
        <w:rPr>
          <w:sz w:val="22"/>
          <w:szCs w:val="22"/>
          <w:lang w:val="sr-Latn-RS"/>
        </w:rPr>
        <w:t>Preporučena doza l</w:t>
      </w:r>
      <w:r w:rsidR="00003631" w:rsidRPr="00016704">
        <w:rPr>
          <w:sz w:val="22"/>
          <w:szCs w:val="22"/>
          <w:lang w:val="sr-Latn-RS"/>
        </w:rPr>
        <w:t>ij</w:t>
      </w:r>
      <w:r w:rsidRPr="00016704">
        <w:rPr>
          <w:sz w:val="22"/>
          <w:szCs w:val="22"/>
          <w:lang w:val="sr-Latn-RS"/>
        </w:rPr>
        <w:t>eka ZERBAXA je 1 g ceftolozana i 0,5 g tazobaktama ili 2 g ceftolozana i 1 g tazobaktama svakih 8 sati, koja se daje u jednu od vena (direktno u krvotok).</w:t>
      </w:r>
    </w:p>
    <w:p w14:paraId="077FB6FD" w14:textId="77777777" w:rsidR="00B8710A" w:rsidRPr="00016704" w:rsidRDefault="00B8710A" w:rsidP="00854BF0">
      <w:pPr>
        <w:numPr>
          <w:ilvl w:val="12"/>
          <w:numId w:val="0"/>
        </w:numPr>
        <w:tabs>
          <w:tab w:val="left" w:pos="720"/>
        </w:tabs>
        <w:ind w:right="-2"/>
        <w:jc w:val="both"/>
        <w:rPr>
          <w:sz w:val="22"/>
          <w:szCs w:val="22"/>
          <w:lang w:val="sr-Latn-RS"/>
        </w:rPr>
      </w:pPr>
    </w:p>
    <w:p w14:paraId="3BA2B168" w14:textId="25B5997D" w:rsidR="00C77D13" w:rsidRPr="00016704" w:rsidRDefault="00B8710A" w:rsidP="00854BF0">
      <w:pPr>
        <w:numPr>
          <w:ilvl w:val="12"/>
          <w:numId w:val="0"/>
        </w:numPr>
        <w:tabs>
          <w:tab w:val="left" w:pos="720"/>
        </w:tabs>
        <w:ind w:right="-2"/>
        <w:jc w:val="both"/>
        <w:rPr>
          <w:sz w:val="22"/>
          <w:szCs w:val="22"/>
          <w:lang w:val="sr-Latn-RS"/>
        </w:rPr>
      </w:pPr>
      <w:r w:rsidRPr="00016704">
        <w:rPr>
          <w:sz w:val="22"/>
          <w:szCs w:val="22"/>
          <w:lang w:val="sr-Latn-RS"/>
        </w:rPr>
        <w:t>L</w:t>
      </w:r>
      <w:r w:rsidR="00003631" w:rsidRPr="00016704">
        <w:rPr>
          <w:sz w:val="22"/>
          <w:szCs w:val="22"/>
          <w:lang w:val="sr-Latn-RS"/>
        </w:rPr>
        <w:t>ij</w:t>
      </w:r>
      <w:r w:rsidRPr="00016704">
        <w:rPr>
          <w:sz w:val="22"/>
          <w:szCs w:val="22"/>
          <w:lang w:val="sr-Latn-RS"/>
        </w:rPr>
        <w:t>ečenje l</w:t>
      </w:r>
      <w:r w:rsidR="00003631" w:rsidRPr="00016704">
        <w:rPr>
          <w:sz w:val="22"/>
          <w:szCs w:val="22"/>
          <w:lang w:val="sr-Latn-RS"/>
        </w:rPr>
        <w:t>ij</w:t>
      </w:r>
      <w:r w:rsidRPr="00016704">
        <w:rPr>
          <w:sz w:val="22"/>
          <w:szCs w:val="22"/>
          <w:lang w:val="sr-Latn-RS"/>
        </w:rPr>
        <w:t>ekom ZERBAXA obično traje između 4 i 14 dana, zavisno od težine i m</w:t>
      </w:r>
      <w:r w:rsidR="00D64AE6" w:rsidRPr="00016704">
        <w:rPr>
          <w:sz w:val="22"/>
          <w:szCs w:val="22"/>
          <w:lang w:val="sr-Latn-RS"/>
        </w:rPr>
        <w:t>j</w:t>
      </w:r>
      <w:r w:rsidRPr="00016704">
        <w:rPr>
          <w:sz w:val="22"/>
          <w:szCs w:val="22"/>
          <w:lang w:val="sr-Latn-RS"/>
        </w:rPr>
        <w:t>esta infekcije i od toga kako Vaš organizam odgovori na terapiju.</w:t>
      </w:r>
    </w:p>
    <w:p w14:paraId="27BF5B14" w14:textId="77777777" w:rsidR="00C77D13" w:rsidRPr="00016704" w:rsidRDefault="00C77D13" w:rsidP="00854BF0">
      <w:pPr>
        <w:jc w:val="both"/>
        <w:rPr>
          <w:bCs/>
          <w:caps/>
          <w:sz w:val="22"/>
          <w:szCs w:val="22"/>
          <w:lang w:val="sr-Latn-RS"/>
        </w:rPr>
      </w:pPr>
    </w:p>
    <w:p w14:paraId="7315D7EB" w14:textId="4C670908" w:rsidR="00D0580B" w:rsidRPr="00016704" w:rsidRDefault="00D0580B" w:rsidP="00854BF0">
      <w:pPr>
        <w:jc w:val="both"/>
        <w:rPr>
          <w:b/>
          <w:sz w:val="22"/>
          <w:szCs w:val="22"/>
          <w:lang w:val="sr-Latn-CS"/>
        </w:rPr>
      </w:pPr>
      <w:bookmarkStart w:id="2" w:name="_Hlk144714717"/>
      <w:r w:rsidRPr="00016704">
        <w:rPr>
          <w:b/>
          <w:sz w:val="22"/>
          <w:szCs w:val="22"/>
          <w:lang w:val="sr-Latn-CS"/>
        </w:rPr>
        <w:t xml:space="preserve">Primjena </w:t>
      </w:r>
      <w:bookmarkEnd w:id="2"/>
      <w:r w:rsidRPr="00016704">
        <w:rPr>
          <w:b/>
          <w:sz w:val="22"/>
          <w:szCs w:val="22"/>
          <w:lang w:val="sr-Latn-CS"/>
        </w:rPr>
        <w:t>kod djece</w:t>
      </w:r>
      <w:r w:rsidR="002B301E" w:rsidRPr="00016704">
        <w:rPr>
          <w:b/>
          <w:sz w:val="22"/>
          <w:szCs w:val="22"/>
          <w:lang w:val="sr-Latn-CS"/>
        </w:rPr>
        <w:t xml:space="preserve"> i adolescenata</w:t>
      </w:r>
    </w:p>
    <w:p w14:paraId="43E558AB" w14:textId="4CE0EBFE" w:rsidR="00003631" w:rsidRPr="00016704" w:rsidRDefault="00003631" w:rsidP="00854BF0">
      <w:pPr>
        <w:jc w:val="both"/>
        <w:rPr>
          <w:bCs/>
          <w:sz w:val="22"/>
          <w:szCs w:val="22"/>
          <w:lang w:val="sr-Latn-CS"/>
        </w:rPr>
      </w:pPr>
      <w:r w:rsidRPr="00016704">
        <w:rPr>
          <w:bCs/>
          <w:sz w:val="22"/>
          <w:szCs w:val="22"/>
          <w:lang w:val="sr-Latn-CS"/>
        </w:rPr>
        <w:t xml:space="preserve">Preporučena doza lijeka ZERBAXA je 20 mg/kg ceftolozana i 10 mg/kg tazobaktama svakih 8 sati, koji se daje u jednu od vena (direktno u krvotok). </w:t>
      </w:r>
      <w:r w:rsidR="00135822" w:rsidRPr="00016704">
        <w:rPr>
          <w:bCs/>
          <w:sz w:val="22"/>
          <w:szCs w:val="22"/>
          <w:lang w:val="sr-Latn-CS"/>
        </w:rPr>
        <w:t>Doza ne smije da sadrži više od 1 g ceftolozana i 0,5 g tazobaktama.</w:t>
      </w:r>
    </w:p>
    <w:p w14:paraId="5087813F" w14:textId="77777777" w:rsidR="00003631" w:rsidRPr="00016704" w:rsidRDefault="00003631" w:rsidP="00854BF0">
      <w:pPr>
        <w:jc w:val="both"/>
        <w:rPr>
          <w:bCs/>
          <w:sz w:val="22"/>
          <w:szCs w:val="22"/>
          <w:lang w:val="sr-Latn-CS"/>
        </w:rPr>
      </w:pPr>
    </w:p>
    <w:p w14:paraId="35F749A9" w14:textId="296FC47E" w:rsidR="00003631" w:rsidRPr="00016704" w:rsidRDefault="00003631" w:rsidP="00854BF0">
      <w:pPr>
        <w:jc w:val="both"/>
        <w:rPr>
          <w:bCs/>
          <w:sz w:val="22"/>
          <w:szCs w:val="22"/>
          <w:lang w:val="sr-Latn-CS"/>
        </w:rPr>
      </w:pPr>
      <w:r w:rsidRPr="00016704">
        <w:rPr>
          <w:bCs/>
          <w:sz w:val="22"/>
          <w:szCs w:val="22"/>
          <w:lang w:val="sr-Latn-CS"/>
        </w:rPr>
        <w:t>Liječenje lijekom ZERBAXA obično traje između 5 i 14 dana, u zavisnosti od težine i m</w:t>
      </w:r>
      <w:r w:rsidR="00D64AE6" w:rsidRPr="00016704">
        <w:rPr>
          <w:bCs/>
          <w:sz w:val="22"/>
          <w:szCs w:val="22"/>
          <w:lang w:val="sr-Latn-CS"/>
        </w:rPr>
        <w:t>j</w:t>
      </w:r>
      <w:r w:rsidRPr="00016704">
        <w:rPr>
          <w:bCs/>
          <w:sz w:val="22"/>
          <w:szCs w:val="22"/>
          <w:lang w:val="sr-Latn-CS"/>
        </w:rPr>
        <w:t>esta infekcije i kako vaše tijelo reaguje na liječenje.</w:t>
      </w:r>
    </w:p>
    <w:p w14:paraId="051F47F2" w14:textId="77777777" w:rsidR="00003631" w:rsidRPr="00016704" w:rsidRDefault="00003631" w:rsidP="00854BF0">
      <w:pPr>
        <w:jc w:val="both"/>
        <w:rPr>
          <w:bCs/>
          <w:sz w:val="22"/>
          <w:szCs w:val="22"/>
          <w:u w:val="single"/>
          <w:lang w:val="sr-Latn-CS"/>
        </w:rPr>
      </w:pPr>
    </w:p>
    <w:p w14:paraId="4AF162C1" w14:textId="77777777" w:rsidR="00003631" w:rsidRPr="00016704" w:rsidRDefault="00003631" w:rsidP="00854BF0">
      <w:pPr>
        <w:jc w:val="both"/>
        <w:rPr>
          <w:sz w:val="22"/>
          <w:szCs w:val="22"/>
          <w:u w:val="single"/>
          <w:lang w:val="sr-Latn-CS"/>
        </w:rPr>
      </w:pPr>
      <w:r w:rsidRPr="00016704">
        <w:rPr>
          <w:sz w:val="22"/>
          <w:szCs w:val="22"/>
          <w:u w:val="single"/>
          <w:lang w:val="sr-Latn-CS"/>
        </w:rPr>
        <w:t>Pacijenti sa bubrežnim problemima</w:t>
      </w:r>
    </w:p>
    <w:p w14:paraId="2809416B" w14:textId="1FEAD400" w:rsidR="00D0580B" w:rsidRPr="00016704" w:rsidRDefault="00003631" w:rsidP="00854BF0">
      <w:pPr>
        <w:jc w:val="both"/>
        <w:rPr>
          <w:sz w:val="22"/>
          <w:szCs w:val="22"/>
          <w:lang w:val="sr-Latn-CS"/>
        </w:rPr>
      </w:pPr>
      <w:r w:rsidRPr="00016704">
        <w:rPr>
          <w:sz w:val="22"/>
          <w:szCs w:val="22"/>
          <w:lang w:val="sr-Latn-CS"/>
        </w:rPr>
        <w:t>Možda će biti potrebno da Vam lijekar smanji dozu ili odluči koliko ćete često primati lijek ZERBAXA. Lijekar će Vam takođe možda tražiti da uradite analize krvi kako bi bio siguran da primate odgovarajuću dozu, naročito ako morate da primate ovaj lijek tokom dužeg vremenskog perioda.</w:t>
      </w:r>
    </w:p>
    <w:p w14:paraId="6D2C7E3A" w14:textId="77777777" w:rsidR="00003631" w:rsidRPr="00016704" w:rsidRDefault="00003631" w:rsidP="00854BF0">
      <w:pPr>
        <w:jc w:val="both"/>
        <w:rPr>
          <w:b/>
          <w:sz w:val="22"/>
          <w:szCs w:val="22"/>
          <w:lang w:val="sr-Latn-CS"/>
        </w:rPr>
      </w:pPr>
    </w:p>
    <w:p w14:paraId="061F60D8" w14:textId="0ED3C4AB" w:rsidR="00A32113" w:rsidRPr="00016704" w:rsidRDefault="00A32113" w:rsidP="00854BF0">
      <w:pPr>
        <w:jc w:val="both"/>
        <w:rPr>
          <w:b/>
          <w:sz w:val="22"/>
          <w:szCs w:val="22"/>
          <w:lang w:val="sr-Latn-CS"/>
        </w:rPr>
      </w:pPr>
      <w:r w:rsidRPr="00016704">
        <w:rPr>
          <w:b/>
          <w:sz w:val="22"/>
          <w:szCs w:val="22"/>
          <w:lang w:val="sr-Latn-CS"/>
        </w:rPr>
        <w:t xml:space="preserve">Ako ste uzeli više lijeka </w:t>
      </w:r>
      <w:bookmarkStart w:id="3" w:name="_Hlk118369244"/>
      <w:r w:rsidR="00003631" w:rsidRPr="00016704">
        <w:rPr>
          <w:b/>
          <w:sz w:val="22"/>
          <w:szCs w:val="22"/>
          <w:lang w:val="sr-Latn-CS"/>
        </w:rPr>
        <w:t>ZERBAXA</w:t>
      </w:r>
      <w:bookmarkEnd w:id="3"/>
      <w:r w:rsidRPr="00016704">
        <w:rPr>
          <w:b/>
          <w:sz w:val="22"/>
          <w:szCs w:val="22"/>
          <w:lang w:val="sr-Latn-CS"/>
        </w:rPr>
        <w:t xml:space="preserve"> nego što je trebalo</w:t>
      </w:r>
    </w:p>
    <w:p w14:paraId="690F5276" w14:textId="362B3E67" w:rsidR="00003631" w:rsidRPr="00016704" w:rsidRDefault="00003631" w:rsidP="00854BF0">
      <w:pPr>
        <w:jc w:val="both"/>
        <w:rPr>
          <w:bCs/>
          <w:sz w:val="22"/>
          <w:szCs w:val="22"/>
          <w:lang w:val="sr-Latn-CS"/>
        </w:rPr>
      </w:pPr>
      <w:r w:rsidRPr="00016704">
        <w:rPr>
          <w:bCs/>
          <w:sz w:val="22"/>
          <w:szCs w:val="22"/>
          <w:lang w:val="sr-Latn-CS"/>
        </w:rPr>
        <w:t>Budući da će Vam ovaj lijek davati ljekar ili drugi zdravstveni radnik, malo je vjerovatno da ćete primiti previše lijeka ZERBAXA. Međutim, ukoliko imate bilo kakvu sumnju odmah obav</w:t>
      </w:r>
      <w:r w:rsidR="00D64AE6" w:rsidRPr="00016704">
        <w:rPr>
          <w:bCs/>
          <w:sz w:val="22"/>
          <w:szCs w:val="22"/>
          <w:lang w:val="sr-Latn-CS"/>
        </w:rPr>
        <w:t>ij</w:t>
      </w:r>
      <w:r w:rsidRPr="00016704">
        <w:rPr>
          <w:bCs/>
          <w:sz w:val="22"/>
          <w:szCs w:val="22"/>
          <w:lang w:val="sr-Latn-CS"/>
        </w:rPr>
        <w:t>estite svog ljekara, medicinsku sestru ili farmaceuta.</w:t>
      </w:r>
    </w:p>
    <w:p w14:paraId="0CC1D6B2" w14:textId="77777777" w:rsidR="00445D8F" w:rsidRPr="00016704" w:rsidRDefault="00445D8F" w:rsidP="00854BF0">
      <w:pPr>
        <w:jc w:val="both"/>
        <w:rPr>
          <w:sz w:val="22"/>
          <w:szCs w:val="22"/>
          <w:lang w:val="sr-Latn-CS"/>
        </w:rPr>
      </w:pPr>
    </w:p>
    <w:p w14:paraId="60282CFD" w14:textId="77777777" w:rsidR="007C79AF" w:rsidRPr="00016704" w:rsidRDefault="007C79AF" w:rsidP="00854BF0">
      <w:pPr>
        <w:jc w:val="both"/>
        <w:rPr>
          <w:b/>
          <w:sz w:val="22"/>
          <w:szCs w:val="22"/>
          <w:lang w:val="sr-Latn-CS"/>
        </w:rPr>
      </w:pPr>
    </w:p>
    <w:p w14:paraId="0BCD422B" w14:textId="77777777" w:rsidR="007C79AF" w:rsidRPr="00016704" w:rsidRDefault="007C79AF" w:rsidP="00854BF0">
      <w:pPr>
        <w:jc w:val="both"/>
        <w:rPr>
          <w:b/>
          <w:sz w:val="22"/>
          <w:szCs w:val="22"/>
          <w:lang w:val="sr-Latn-CS"/>
        </w:rPr>
      </w:pPr>
    </w:p>
    <w:p w14:paraId="267D1026" w14:textId="06D09ABF" w:rsidR="00003631" w:rsidRPr="00016704" w:rsidRDefault="00A32113" w:rsidP="00854BF0">
      <w:pPr>
        <w:jc w:val="both"/>
        <w:rPr>
          <w:b/>
          <w:sz w:val="22"/>
          <w:szCs w:val="22"/>
          <w:lang w:val="sr-Latn-CS"/>
        </w:rPr>
      </w:pPr>
      <w:r w:rsidRPr="00016704">
        <w:rPr>
          <w:b/>
          <w:sz w:val="22"/>
          <w:szCs w:val="22"/>
          <w:lang w:val="sr-Latn-CS"/>
        </w:rPr>
        <w:t xml:space="preserve">Ako prestanete da uzimate lijek </w:t>
      </w:r>
      <w:r w:rsidR="00003631" w:rsidRPr="00016704">
        <w:rPr>
          <w:b/>
          <w:sz w:val="22"/>
          <w:szCs w:val="22"/>
          <w:lang w:val="sr-Latn-CS"/>
        </w:rPr>
        <w:t>ZERBAXA</w:t>
      </w:r>
    </w:p>
    <w:p w14:paraId="004C85A6" w14:textId="3CD936F0" w:rsidR="00003631" w:rsidRPr="00016704" w:rsidRDefault="00003631" w:rsidP="00854BF0">
      <w:pPr>
        <w:jc w:val="both"/>
        <w:rPr>
          <w:b/>
          <w:sz w:val="22"/>
          <w:szCs w:val="22"/>
          <w:lang w:val="sr-Latn-CS"/>
        </w:rPr>
      </w:pPr>
      <w:r w:rsidRPr="00016704">
        <w:rPr>
          <w:bCs/>
          <w:sz w:val="22"/>
          <w:szCs w:val="22"/>
          <w:lang w:val="sr-Latn-CS"/>
        </w:rPr>
        <w:t>Ako mislite da ni</w:t>
      </w:r>
      <w:r w:rsidR="00D64AE6" w:rsidRPr="00016704">
        <w:rPr>
          <w:bCs/>
          <w:sz w:val="22"/>
          <w:szCs w:val="22"/>
          <w:lang w:val="sr-Latn-CS"/>
        </w:rPr>
        <w:t>je</w:t>
      </w:r>
      <w:r w:rsidRPr="00016704">
        <w:rPr>
          <w:bCs/>
          <w:sz w:val="22"/>
          <w:szCs w:val="22"/>
          <w:lang w:val="sr-Latn-CS"/>
        </w:rPr>
        <w:t xml:space="preserve">ste primili dozu lijeka </w:t>
      </w:r>
      <w:bookmarkStart w:id="4" w:name="_Hlk118369421"/>
      <w:r w:rsidRPr="00016704">
        <w:rPr>
          <w:bCs/>
          <w:sz w:val="22"/>
          <w:szCs w:val="22"/>
          <w:lang w:val="sr-Latn-CS"/>
        </w:rPr>
        <w:t>ZERBAXA</w:t>
      </w:r>
      <w:bookmarkEnd w:id="4"/>
      <w:r w:rsidRPr="00016704">
        <w:rPr>
          <w:bCs/>
          <w:sz w:val="22"/>
          <w:szCs w:val="22"/>
          <w:lang w:val="sr-Latn-CS"/>
        </w:rPr>
        <w:t>, odmah o tome obav</w:t>
      </w:r>
      <w:r w:rsidR="00D64AE6" w:rsidRPr="00016704">
        <w:rPr>
          <w:bCs/>
          <w:sz w:val="22"/>
          <w:szCs w:val="22"/>
          <w:lang w:val="sr-Latn-CS"/>
        </w:rPr>
        <w:t>ij</w:t>
      </w:r>
      <w:r w:rsidRPr="00016704">
        <w:rPr>
          <w:bCs/>
          <w:sz w:val="22"/>
          <w:szCs w:val="22"/>
          <w:lang w:val="sr-Latn-CS"/>
        </w:rPr>
        <w:t>estite ljekara ili drugog zdravstvenog radnika.</w:t>
      </w:r>
    </w:p>
    <w:p w14:paraId="12AFF4AB" w14:textId="77777777" w:rsidR="00003631" w:rsidRPr="00016704" w:rsidRDefault="00003631" w:rsidP="00854BF0">
      <w:pPr>
        <w:jc w:val="both"/>
        <w:rPr>
          <w:bCs/>
          <w:sz w:val="22"/>
          <w:szCs w:val="22"/>
          <w:lang w:val="sr-Latn-CS"/>
        </w:rPr>
      </w:pPr>
    </w:p>
    <w:p w14:paraId="17B594F0" w14:textId="5554DA0E" w:rsidR="00445D8F" w:rsidRPr="00016704" w:rsidRDefault="00003631" w:rsidP="00854BF0">
      <w:pPr>
        <w:jc w:val="both"/>
        <w:rPr>
          <w:bCs/>
          <w:sz w:val="22"/>
          <w:szCs w:val="22"/>
          <w:lang w:val="sr-Latn-CS"/>
        </w:rPr>
      </w:pPr>
      <w:r w:rsidRPr="00016704">
        <w:rPr>
          <w:bCs/>
          <w:sz w:val="22"/>
          <w:szCs w:val="22"/>
          <w:lang w:val="sr-Latn-CS"/>
        </w:rPr>
        <w:t>Ako imate dodatnih pitanja o prim</w:t>
      </w:r>
      <w:r w:rsidR="00D64AE6" w:rsidRPr="00016704">
        <w:rPr>
          <w:bCs/>
          <w:sz w:val="22"/>
          <w:szCs w:val="22"/>
          <w:lang w:val="sr-Latn-CS"/>
        </w:rPr>
        <w:t>j</w:t>
      </w:r>
      <w:r w:rsidRPr="00016704">
        <w:rPr>
          <w:bCs/>
          <w:sz w:val="22"/>
          <w:szCs w:val="22"/>
          <w:lang w:val="sr-Latn-CS"/>
        </w:rPr>
        <w:t>eni ovog lijeka, obratite se svom ljekaru ili farmaceutu.</w:t>
      </w:r>
    </w:p>
    <w:p w14:paraId="333E2454" w14:textId="77777777" w:rsidR="007C79AF" w:rsidRPr="00016704" w:rsidRDefault="007C79AF" w:rsidP="00854BF0">
      <w:pPr>
        <w:jc w:val="both"/>
        <w:rPr>
          <w:bCs/>
          <w:sz w:val="22"/>
          <w:szCs w:val="22"/>
          <w:lang w:val="sr-Latn-CS"/>
        </w:rPr>
      </w:pPr>
    </w:p>
    <w:p w14:paraId="2C1F7196" w14:textId="77777777" w:rsidR="00396B66" w:rsidRPr="00016704" w:rsidRDefault="00396B66" w:rsidP="00A32113">
      <w:pPr>
        <w:rPr>
          <w:sz w:val="22"/>
          <w:szCs w:val="22"/>
          <w:lang w:val="pt-PT"/>
        </w:rPr>
      </w:pPr>
    </w:p>
    <w:p w14:paraId="4D555C63" w14:textId="77777777" w:rsidR="00A32113" w:rsidRPr="00016704" w:rsidRDefault="00A32113" w:rsidP="00854BF0">
      <w:pPr>
        <w:tabs>
          <w:tab w:val="left" w:pos="540"/>
          <w:tab w:val="left" w:pos="569"/>
        </w:tabs>
        <w:jc w:val="both"/>
        <w:rPr>
          <w:b/>
          <w:bCs/>
          <w:sz w:val="22"/>
          <w:szCs w:val="22"/>
          <w:lang w:val="ru-RU"/>
        </w:rPr>
      </w:pPr>
      <w:r w:rsidRPr="00016704">
        <w:rPr>
          <w:b/>
          <w:bCs/>
          <w:sz w:val="22"/>
          <w:szCs w:val="22"/>
          <w:lang w:val="ru-RU"/>
        </w:rPr>
        <w:t xml:space="preserve">4. </w:t>
      </w:r>
      <w:r w:rsidR="00291DAD" w:rsidRPr="00016704">
        <w:rPr>
          <w:b/>
          <w:bCs/>
          <w:sz w:val="22"/>
          <w:szCs w:val="22"/>
          <w:lang w:val="sr-Latn-CS"/>
        </w:rPr>
        <w:tab/>
      </w:r>
      <w:r w:rsidRPr="00016704">
        <w:rPr>
          <w:b/>
          <w:bCs/>
          <w:sz w:val="22"/>
          <w:szCs w:val="22"/>
          <w:lang w:val="ru-RU"/>
        </w:rPr>
        <w:t>MOGUĆA NEŽELJENA DEJSTVA</w:t>
      </w:r>
    </w:p>
    <w:p w14:paraId="5EC61416" w14:textId="77777777" w:rsidR="00445D8F" w:rsidRPr="00016704" w:rsidRDefault="00445D8F" w:rsidP="00854BF0">
      <w:pPr>
        <w:jc w:val="both"/>
        <w:rPr>
          <w:sz w:val="22"/>
          <w:szCs w:val="22"/>
          <w:lang w:val="sr-Latn-CS"/>
        </w:rPr>
      </w:pPr>
    </w:p>
    <w:p w14:paraId="6FFD6CD3" w14:textId="6997CD5F" w:rsidR="006D5C11" w:rsidRPr="00016704" w:rsidRDefault="006D5C11" w:rsidP="00854BF0">
      <w:pPr>
        <w:numPr>
          <w:ilvl w:val="12"/>
          <w:numId w:val="0"/>
        </w:numPr>
        <w:tabs>
          <w:tab w:val="left" w:pos="720"/>
        </w:tabs>
        <w:ind w:right="-29"/>
        <w:jc w:val="both"/>
        <w:rPr>
          <w:sz w:val="22"/>
          <w:szCs w:val="22"/>
        </w:rPr>
      </w:pPr>
      <w:r w:rsidRPr="00016704">
        <w:rPr>
          <w:sz w:val="22"/>
          <w:szCs w:val="22"/>
        </w:rPr>
        <w:t xml:space="preserve">Kao i svi ljekovi i lijek </w:t>
      </w:r>
      <w:r w:rsidR="00003631" w:rsidRPr="00016704">
        <w:rPr>
          <w:sz w:val="22"/>
          <w:szCs w:val="22"/>
        </w:rPr>
        <w:t>ZERBAXA</w:t>
      </w:r>
      <w:r w:rsidRPr="00016704">
        <w:rPr>
          <w:sz w:val="22"/>
          <w:szCs w:val="22"/>
        </w:rPr>
        <w:t xml:space="preserve"> može izazvati neželjena dejstva, iako se ona ne moraju javiti kod svakoga.</w:t>
      </w:r>
    </w:p>
    <w:p w14:paraId="7FAEA4B4" w14:textId="77777777" w:rsidR="009D3392" w:rsidRPr="00016704" w:rsidRDefault="009D3392" w:rsidP="00854BF0">
      <w:pPr>
        <w:numPr>
          <w:ilvl w:val="12"/>
          <w:numId w:val="0"/>
        </w:numPr>
        <w:tabs>
          <w:tab w:val="left" w:pos="720"/>
        </w:tabs>
        <w:ind w:right="-29"/>
        <w:jc w:val="both"/>
        <w:rPr>
          <w:sz w:val="22"/>
          <w:szCs w:val="22"/>
        </w:rPr>
      </w:pPr>
    </w:p>
    <w:p w14:paraId="5812D41D" w14:textId="41F34013" w:rsidR="009D3392" w:rsidRPr="00016704" w:rsidRDefault="009D3392" w:rsidP="00DF55F5">
      <w:pPr>
        <w:pStyle w:val="NoSpacing"/>
        <w:jc w:val="both"/>
        <w:rPr>
          <w:rFonts w:eastAsia="Calibri"/>
          <w:b/>
          <w:bCs/>
          <w:spacing w:val="-5"/>
          <w:sz w:val="22"/>
          <w:szCs w:val="22"/>
          <w:u w:val="single"/>
          <w:lang w:val="sr-Latn-RS"/>
        </w:rPr>
      </w:pPr>
      <w:r w:rsidRPr="00016704">
        <w:rPr>
          <w:rFonts w:eastAsia="Calibri"/>
          <w:b/>
          <w:bCs/>
          <w:spacing w:val="-5"/>
          <w:sz w:val="22"/>
          <w:szCs w:val="22"/>
          <w:lang w:val="sr-Latn-RS"/>
        </w:rPr>
        <w:t>Odmah obav</w:t>
      </w:r>
      <w:r w:rsidR="00D64AE6" w:rsidRPr="00016704">
        <w:rPr>
          <w:rFonts w:eastAsia="Calibri"/>
          <w:b/>
          <w:bCs/>
          <w:spacing w:val="-5"/>
          <w:sz w:val="22"/>
          <w:szCs w:val="22"/>
          <w:lang w:val="sr-Latn-RS"/>
        </w:rPr>
        <w:t>ij</w:t>
      </w:r>
      <w:r w:rsidRPr="00016704">
        <w:rPr>
          <w:rFonts w:eastAsia="Calibri"/>
          <w:b/>
          <w:bCs/>
          <w:spacing w:val="-5"/>
          <w:sz w:val="22"/>
          <w:szCs w:val="22"/>
          <w:lang w:val="sr-Latn-RS"/>
        </w:rPr>
        <w:t>estite svog ljekara ukoliko dobijete sljedeće simptome jer će Vam možda biti potrebna hitna medicinska pomoć:</w:t>
      </w:r>
    </w:p>
    <w:p w14:paraId="729EA1FE" w14:textId="77777777" w:rsidR="009D3392" w:rsidRPr="00016704" w:rsidRDefault="009D3392">
      <w:pPr>
        <w:pStyle w:val="NoSpacing"/>
        <w:jc w:val="both"/>
        <w:rPr>
          <w:rFonts w:eastAsia="Calibri"/>
          <w:spacing w:val="-5"/>
          <w:sz w:val="22"/>
          <w:szCs w:val="22"/>
          <w:u w:val="single"/>
          <w:lang w:val="sr-Latn-RS"/>
        </w:rPr>
      </w:pPr>
    </w:p>
    <w:p w14:paraId="65603267" w14:textId="0EEE49A2" w:rsidR="009D3392" w:rsidRPr="00016704" w:rsidRDefault="009D3392" w:rsidP="00854BF0">
      <w:pPr>
        <w:pStyle w:val="NoSpacing"/>
        <w:numPr>
          <w:ilvl w:val="0"/>
          <w:numId w:val="29"/>
        </w:numPr>
        <w:ind w:left="540" w:hanging="540"/>
        <w:jc w:val="both"/>
        <w:rPr>
          <w:rFonts w:eastAsia="Calibri"/>
          <w:spacing w:val="-5"/>
          <w:sz w:val="22"/>
          <w:szCs w:val="22"/>
          <w:lang w:val="sr-Latn-RS"/>
        </w:rPr>
      </w:pPr>
      <w:r w:rsidRPr="00016704">
        <w:rPr>
          <w:rFonts w:eastAsia="Calibri"/>
          <w:spacing w:val="-5"/>
          <w:sz w:val="22"/>
          <w:szCs w:val="22"/>
          <w:lang w:val="sr-Latn-RS"/>
        </w:rPr>
        <w:t>naglo oticanje usana, lica, grla ili jezika; težak osip; i tegobe sa gutanjem ili disanjem. Ovo mogu biti znaci teške alergijske reakcije (anafilakse) i mogu biti opasni po život.</w:t>
      </w:r>
    </w:p>
    <w:p w14:paraId="367A7967" w14:textId="668B9308" w:rsidR="009D3392" w:rsidRPr="00016704" w:rsidRDefault="009D3392" w:rsidP="00854BF0">
      <w:pPr>
        <w:pStyle w:val="NoSpacing"/>
        <w:numPr>
          <w:ilvl w:val="0"/>
          <w:numId w:val="29"/>
        </w:numPr>
        <w:ind w:left="540" w:hanging="540"/>
        <w:jc w:val="both"/>
        <w:rPr>
          <w:rFonts w:eastAsia="Calibri"/>
          <w:spacing w:val="-5"/>
          <w:sz w:val="22"/>
          <w:szCs w:val="22"/>
          <w:lang w:val="sr-Latn-RS"/>
        </w:rPr>
      </w:pPr>
      <w:r w:rsidRPr="00016704">
        <w:rPr>
          <w:rFonts w:eastAsia="Calibri"/>
          <w:spacing w:val="-5"/>
          <w:sz w:val="22"/>
          <w:szCs w:val="22"/>
          <w:lang w:val="sr-Latn-RS"/>
        </w:rPr>
        <w:t>proliv koji se razvije u teški ili koji ne prestaje ili stolica koja sadrži krv ili sluz tokom ili nakon liječenja lijekom ZERBAXA. U tom slučaju, ne sm</w:t>
      </w:r>
      <w:r w:rsidR="00D64AE6" w:rsidRPr="00016704">
        <w:rPr>
          <w:rFonts w:eastAsia="Calibri"/>
          <w:spacing w:val="-5"/>
          <w:sz w:val="22"/>
          <w:szCs w:val="22"/>
          <w:lang w:val="sr-Latn-RS"/>
        </w:rPr>
        <w:t>ij</w:t>
      </w:r>
      <w:r w:rsidRPr="00016704">
        <w:rPr>
          <w:rFonts w:eastAsia="Calibri"/>
          <w:spacing w:val="-5"/>
          <w:sz w:val="22"/>
          <w:szCs w:val="22"/>
          <w:lang w:val="sr-Latn-RS"/>
        </w:rPr>
        <w:t>ete uzimati ljekove koji zaustavljaju ili usporavaju rad cr</w:t>
      </w:r>
      <w:r w:rsidR="00D64AE6" w:rsidRPr="00016704">
        <w:rPr>
          <w:rFonts w:eastAsia="Calibri"/>
          <w:spacing w:val="-5"/>
          <w:sz w:val="22"/>
          <w:szCs w:val="22"/>
          <w:lang w:val="sr-Latn-RS"/>
        </w:rPr>
        <w:t>ij</w:t>
      </w:r>
      <w:r w:rsidRPr="00016704">
        <w:rPr>
          <w:rFonts w:eastAsia="Calibri"/>
          <w:spacing w:val="-5"/>
          <w:sz w:val="22"/>
          <w:szCs w:val="22"/>
          <w:lang w:val="sr-Latn-RS"/>
        </w:rPr>
        <w:t>eva.</w:t>
      </w:r>
    </w:p>
    <w:p w14:paraId="1390320C" w14:textId="77777777" w:rsidR="009D3392" w:rsidRPr="00016704" w:rsidRDefault="009D3392" w:rsidP="00854BF0">
      <w:pPr>
        <w:pStyle w:val="NoSpacing"/>
        <w:jc w:val="both"/>
        <w:rPr>
          <w:rFonts w:eastAsia="Calibri"/>
          <w:spacing w:val="-5"/>
          <w:sz w:val="22"/>
          <w:szCs w:val="22"/>
          <w:u w:val="single"/>
          <w:lang w:val="sr-Latn-RS"/>
        </w:rPr>
      </w:pPr>
    </w:p>
    <w:p w14:paraId="1DDCB0BB" w14:textId="0DC6AB17" w:rsidR="009D3392" w:rsidRPr="00016704" w:rsidRDefault="009D3392" w:rsidP="00DF55F5">
      <w:pPr>
        <w:pStyle w:val="NoSpacing"/>
        <w:jc w:val="both"/>
        <w:rPr>
          <w:rFonts w:eastAsia="Calibri"/>
          <w:spacing w:val="-5"/>
          <w:sz w:val="22"/>
          <w:szCs w:val="22"/>
          <w:u w:val="single"/>
          <w:lang w:val="sr-Latn-RS"/>
        </w:rPr>
      </w:pPr>
      <w:r w:rsidRPr="00016704">
        <w:rPr>
          <w:rFonts w:eastAsia="Calibri"/>
          <w:spacing w:val="-5"/>
          <w:sz w:val="22"/>
          <w:szCs w:val="22"/>
          <w:u w:val="single"/>
          <w:lang w:val="sr-Latn-RS"/>
        </w:rPr>
        <w:t>Odrasli koji primaju terapiju zbog komplikovanih infekcija u abdomenu, bubregu i mokraćnom sistemu</w:t>
      </w:r>
    </w:p>
    <w:p w14:paraId="3674BC84" w14:textId="0B0D9B0B" w:rsidR="009D3392" w:rsidRPr="00016704" w:rsidRDefault="009D3392">
      <w:pPr>
        <w:pStyle w:val="NoSpacing"/>
        <w:jc w:val="both"/>
        <w:rPr>
          <w:rFonts w:eastAsia="Calibri"/>
          <w:spacing w:val="-5"/>
          <w:sz w:val="22"/>
          <w:szCs w:val="22"/>
          <w:lang w:val="sr-Latn-RS"/>
        </w:rPr>
      </w:pPr>
      <w:r w:rsidRPr="00016704">
        <w:rPr>
          <w:rFonts w:eastAsia="Calibri"/>
          <w:b/>
          <w:bCs/>
          <w:spacing w:val="-5"/>
          <w:sz w:val="22"/>
          <w:szCs w:val="22"/>
          <w:lang w:val="sr-Latn-RS"/>
        </w:rPr>
        <w:t>Česta</w:t>
      </w:r>
      <w:r w:rsidRPr="00016704">
        <w:rPr>
          <w:rFonts w:eastAsia="Calibri"/>
          <w:spacing w:val="-5"/>
          <w:sz w:val="22"/>
          <w:szCs w:val="22"/>
          <w:lang w:val="sr-Latn-RS"/>
        </w:rPr>
        <w:t xml:space="preserve"> neželjena dejstva (mogu da se jave kod najviše 1 na 10 pacijenata koji uzimaju lijek):</w:t>
      </w:r>
    </w:p>
    <w:p w14:paraId="3770F1D7" w14:textId="5ADDD5F8" w:rsidR="009D3392" w:rsidRPr="00016704" w:rsidRDefault="009D3392">
      <w:pPr>
        <w:pStyle w:val="NoSpacing"/>
        <w:ind w:left="720"/>
        <w:jc w:val="both"/>
        <w:rPr>
          <w:rFonts w:eastAsia="Calibri"/>
          <w:spacing w:val="-5"/>
          <w:sz w:val="22"/>
          <w:szCs w:val="22"/>
          <w:lang w:val="sr-Latn-RS"/>
        </w:rPr>
      </w:pPr>
      <w:r w:rsidRPr="00016704">
        <w:rPr>
          <w:rFonts w:eastAsia="Calibri"/>
          <w:spacing w:val="-5"/>
          <w:sz w:val="22"/>
          <w:szCs w:val="22"/>
          <w:lang w:val="sr-Latn-RS"/>
        </w:rPr>
        <w:t xml:space="preserve">glavobolja, bol u stomaku, </w:t>
      </w:r>
      <w:r w:rsidR="002E5FDD" w:rsidRPr="00016704">
        <w:rPr>
          <w:rFonts w:eastAsia="Calibri"/>
          <w:spacing w:val="-5"/>
          <w:sz w:val="22"/>
          <w:szCs w:val="22"/>
          <w:lang w:val="sr-Latn-RS"/>
        </w:rPr>
        <w:t>zatvor</w:t>
      </w:r>
      <w:r w:rsidRPr="00016704">
        <w:rPr>
          <w:rFonts w:eastAsia="Calibri"/>
          <w:spacing w:val="-5"/>
          <w:sz w:val="22"/>
          <w:szCs w:val="22"/>
          <w:lang w:val="sr-Latn-RS"/>
        </w:rPr>
        <w:t>, proliv, mučnina, povraćanje, povećane vr</w:t>
      </w:r>
      <w:r w:rsidR="00D64AE6" w:rsidRPr="00016704">
        <w:rPr>
          <w:rFonts w:eastAsia="Calibri"/>
          <w:spacing w:val="-5"/>
          <w:sz w:val="22"/>
          <w:szCs w:val="22"/>
          <w:lang w:val="sr-Latn-RS"/>
        </w:rPr>
        <w:t>ij</w:t>
      </w:r>
      <w:r w:rsidRPr="00016704">
        <w:rPr>
          <w:rFonts w:eastAsia="Calibri"/>
          <w:spacing w:val="-5"/>
          <w:sz w:val="22"/>
          <w:szCs w:val="22"/>
          <w:lang w:val="sr-Latn-RS"/>
        </w:rPr>
        <w:t>ednosti enzima jetre (u analizama krvi), osip, groznica (povišena t</w:t>
      </w:r>
      <w:r w:rsidR="00D64AE6" w:rsidRPr="00016704">
        <w:rPr>
          <w:rFonts w:eastAsia="Calibri"/>
          <w:spacing w:val="-5"/>
          <w:sz w:val="22"/>
          <w:szCs w:val="22"/>
          <w:lang w:val="sr-Latn-RS"/>
        </w:rPr>
        <w:t>j</w:t>
      </w:r>
      <w:r w:rsidRPr="00016704">
        <w:rPr>
          <w:rFonts w:eastAsia="Calibri"/>
          <w:spacing w:val="-5"/>
          <w:sz w:val="22"/>
          <w:szCs w:val="22"/>
          <w:lang w:val="sr-Latn-RS"/>
        </w:rPr>
        <w:t>elesna temperatura), nizak krvni pritisak, smanjenje vr</w:t>
      </w:r>
      <w:r w:rsidR="00D64AE6" w:rsidRPr="00016704">
        <w:rPr>
          <w:rFonts w:eastAsia="Calibri"/>
          <w:spacing w:val="-5"/>
          <w:sz w:val="22"/>
          <w:szCs w:val="22"/>
          <w:lang w:val="sr-Latn-RS"/>
        </w:rPr>
        <w:t>ij</w:t>
      </w:r>
      <w:r w:rsidRPr="00016704">
        <w:rPr>
          <w:rFonts w:eastAsia="Calibri"/>
          <w:spacing w:val="-5"/>
          <w:sz w:val="22"/>
          <w:szCs w:val="22"/>
          <w:lang w:val="sr-Latn-RS"/>
        </w:rPr>
        <w:t>ednosti kalijuma (u analizama krvi), povećanje broja jedne vrste krvnih ćelija koje se zovu krvne pločice, vrtoglavica, uznemirenost, tegobe sa spavanjem, reakcije na m</w:t>
      </w:r>
      <w:r w:rsidR="00D64AE6" w:rsidRPr="00016704">
        <w:rPr>
          <w:rFonts w:eastAsia="Calibri"/>
          <w:spacing w:val="-5"/>
          <w:sz w:val="22"/>
          <w:szCs w:val="22"/>
          <w:lang w:val="sr-Latn-RS"/>
        </w:rPr>
        <w:t>j</w:t>
      </w:r>
      <w:r w:rsidRPr="00016704">
        <w:rPr>
          <w:rFonts w:eastAsia="Calibri"/>
          <w:spacing w:val="-5"/>
          <w:sz w:val="22"/>
          <w:szCs w:val="22"/>
          <w:lang w:val="sr-Latn-RS"/>
        </w:rPr>
        <w:t>estu prim</w:t>
      </w:r>
      <w:r w:rsidR="00D64AE6" w:rsidRPr="00016704">
        <w:rPr>
          <w:rFonts w:eastAsia="Calibri"/>
          <w:spacing w:val="-5"/>
          <w:sz w:val="22"/>
          <w:szCs w:val="22"/>
          <w:lang w:val="sr-Latn-RS"/>
        </w:rPr>
        <w:t>j</w:t>
      </w:r>
      <w:r w:rsidRPr="00016704">
        <w:rPr>
          <w:rFonts w:eastAsia="Calibri"/>
          <w:spacing w:val="-5"/>
          <w:sz w:val="22"/>
          <w:szCs w:val="22"/>
          <w:lang w:val="sr-Latn-RS"/>
        </w:rPr>
        <w:t>ene infuzije.</w:t>
      </w:r>
    </w:p>
    <w:p w14:paraId="02FA8F70" w14:textId="1394892E" w:rsidR="009D3392" w:rsidRPr="00016704" w:rsidRDefault="009D3392">
      <w:pPr>
        <w:pStyle w:val="NoSpacing"/>
        <w:jc w:val="both"/>
        <w:rPr>
          <w:rFonts w:eastAsia="Calibri"/>
          <w:spacing w:val="-5"/>
          <w:sz w:val="22"/>
          <w:szCs w:val="22"/>
          <w:lang w:val="sr-Latn-RS"/>
        </w:rPr>
      </w:pPr>
    </w:p>
    <w:p w14:paraId="615D765B" w14:textId="6CDFF030" w:rsidR="009D3392" w:rsidRPr="00016704" w:rsidRDefault="009D3392">
      <w:pPr>
        <w:pStyle w:val="NoSpacing"/>
        <w:jc w:val="both"/>
        <w:rPr>
          <w:rFonts w:eastAsia="Calibri"/>
          <w:spacing w:val="-5"/>
          <w:sz w:val="22"/>
          <w:szCs w:val="22"/>
          <w:lang w:val="sr-Latn-RS"/>
        </w:rPr>
      </w:pPr>
      <w:r w:rsidRPr="00016704">
        <w:rPr>
          <w:rFonts w:eastAsia="Calibri"/>
          <w:b/>
          <w:bCs/>
          <w:spacing w:val="-5"/>
          <w:sz w:val="22"/>
          <w:szCs w:val="22"/>
          <w:lang w:val="sr-Latn-RS"/>
        </w:rPr>
        <w:t>Povremena</w:t>
      </w:r>
      <w:r w:rsidRPr="00016704">
        <w:rPr>
          <w:rFonts w:eastAsia="Calibri"/>
          <w:spacing w:val="-5"/>
          <w:sz w:val="22"/>
          <w:szCs w:val="22"/>
          <w:lang w:val="sr-Latn-RS"/>
        </w:rPr>
        <w:t xml:space="preserve"> neželjena dejstva (mogu da se jave kod najviše 1 na 100 pacijenata koji uzimaju lijek):</w:t>
      </w:r>
    </w:p>
    <w:p w14:paraId="59926384" w14:textId="76AA7A6A" w:rsidR="009D3392" w:rsidRPr="00016704" w:rsidRDefault="009D3392">
      <w:pPr>
        <w:pStyle w:val="NoSpacing"/>
        <w:ind w:left="720"/>
        <w:jc w:val="both"/>
        <w:rPr>
          <w:rFonts w:eastAsia="Calibri"/>
          <w:spacing w:val="-5"/>
          <w:sz w:val="22"/>
          <w:szCs w:val="22"/>
          <w:lang w:val="sr-Latn-RS"/>
        </w:rPr>
      </w:pPr>
      <w:r w:rsidRPr="00016704">
        <w:rPr>
          <w:rFonts w:eastAsia="Calibri"/>
          <w:spacing w:val="-5"/>
          <w:sz w:val="22"/>
          <w:szCs w:val="22"/>
          <w:lang w:val="sr-Latn-RS"/>
        </w:rPr>
        <w:t>zapaljenje debelog cr</w:t>
      </w:r>
      <w:r w:rsidR="00D64AE6" w:rsidRPr="00016704">
        <w:rPr>
          <w:rFonts w:eastAsia="Calibri"/>
          <w:spacing w:val="-5"/>
          <w:sz w:val="22"/>
          <w:szCs w:val="22"/>
          <w:lang w:val="sr-Latn-RS"/>
        </w:rPr>
        <w:t>ij</w:t>
      </w:r>
      <w:r w:rsidRPr="00016704">
        <w:rPr>
          <w:rFonts w:eastAsia="Calibri"/>
          <w:spacing w:val="-5"/>
          <w:sz w:val="22"/>
          <w:szCs w:val="22"/>
          <w:lang w:val="sr-Latn-RS"/>
        </w:rPr>
        <w:t>eva uzrokovano bakterijom C. difficile, zapaljenje želuca, nadimanje trbuha, otežano varenje, prekom</w:t>
      </w:r>
      <w:r w:rsidR="00D64AE6" w:rsidRPr="00016704">
        <w:rPr>
          <w:rFonts w:eastAsia="Calibri"/>
          <w:spacing w:val="-5"/>
          <w:sz w:val="22"/>
          <w:szCs w:val="22"/>
          <w:lang w:val="sr-Latn-RS"/>
        </w:rPr>
        <w:t>j</w:t>
      </w:r>
      <w:r w:rsidRPr="00016704">
        <w:rPr>
          <w:rFonts w:eastAsia="Calibri"/>
          <w:spacing w:val="-5"/>
          <w:sz w:val="22"/>
          <w:szCs w:val="22"/>
          <w:lang w:val="sr-Latn-RS"/>
        </w:rPr>
        <w:t>erno skupljanje gasova u želucu ili cr</w:t>
      </w:r>
      <w:r w:rsidR="00D64AE6" w:rsidRPr="00016704">
        <w:rPr>
          <w:rFonts w:eastAsia="Calibri"/>
          <w:spacing w:val="-5"/>
          <w:sz w:val="22"/>
          <w:szCs w:val="22"/>
          <w:lang w:val="sr-Latn-RS"/>
        </w:rPr>
        <w:t>ij</w:t>
      </w:r>
      <w:r w:rsidRPr="00016704">
        <w:rPr>
          <w:rFonts w:eastAsia="Calibri"/>
          <w:spacing w:val="-5"/>
          <w:sz w:val="22"/>
          <w:szCs w:val="22"/>
          <w:lang w:val="sr-Latn-RS"/>
        </w:rPr>
        <w:t>evima, opstrukcija cr</w:t>
      </w:r>
      <w:r w:rsidR="00D64AE6" w:rsidRPr="00016704">
        <w:rPr>
          <w:rFonts w:eastAsia="Calibri"/>
          <w:spacing w:val="-5"/>
          <w:sz w:val="22"/>
          <w:szCs w:val="22"/>
          <w:lang w:val="sr-Latn-RS"/>
        </w:rPr>
        <w:t>ij</w:t>
      </w:r>
      <w:r w:rsidRPr="00016704">
        <w:rPr>
          <w:rFonts w:eastAsia="Calibri"/>
          <w:spacing w:val="-5"/>
          <w:sz w:val="22"/>
          <w:szCs w:val="22"/>
          <w:lang w:val="sr-Latn-RS"/>
        </w:rPr>
        <w:t>eva, gljivična infekcija kandidom u usnoj duplji, gljivična infekcija ženskih polnih organa, gljivična infekcija mokraćnog sistema, povećane vr</w:t>
      </w:r>
      <w:r w:rsidR="00D64AE6" w:rsidRPr="00016704">
        <w:rPr>
          <w:rFonts w:eastAsia="Calibri"/>
          <w:spacing w:val="-5"/>
          <w:sz w:val="22"/>
          <w:szCs w:val="22"/>
          <w:lang w:val="sr-Latn-RS"/>
        </w:rPr>
        <w:t>ij</w:t>
      </w:r>
      <w:r w:rsidRPr="00016704">
        <w:rPr>
          <w:rFonts w:eastAsia="Calibri"/>
          <w:spacing w:val="-5"/>
          <w:sz w:val="22"/>
          <w:szCs w:val="22"/>
          <w:lang w:val="sr-Latn-RS"/>
        </w:rPr>
        <w:t>ednosti šećera (glukoze) (u analizama krvi), smanjene vr</w:t>
      </w:r>
      <w:r w:rsidR="00D64AE6" w:rsidRPr="00016704">
        <w:rPr>
          <w:rFonts w:eastAsia="Calibri"/>
          <w:spacing w:val="-5"/>
          <w:sz w:val="22"/>
          <w:szCs w:val="22"/>
          <w:lang w:val="sr-Latn-RS"/>
        </w:rPr>
        <w:t>ij</w:t>
      </w:r>
      <w:r w:rsidRPr="00016704">
        <w:rPr>
          <w:rFonts w:eastAsia="Calibri"/>
          <w:spacing w:val="-5"/>
          <w:sz w:val="22"/>
          <w:szCs w:val="22"/>
          <w:lang w:val="sr-Latn-RS"/>
        </w:rPr>
        <w:t>ednosti magnezijuma (u analizama krvi), smanjene vr</w:t>
      </w:r>
      <w:r w:rsidR="00D64AE6" w:rsidRPr="00016704">
        <w:rPr>
          <w:rFonts w:eastAsia="Calibri"/>
          <w:spacing w:val="-5"/>
          <w:sz w:val="22"/>
          <w:szCs w:val="22"/>
          <w:lang w:val="sr-Latn-RS"/>
        </w:rPr>
        <w:t>ij</w:t>
      </w:r>
      <w:r w:rsidRPr="00016704">
        <w:rPr>
          <w:rFonts w:eastAsia="Calibri"/>
          <w:spacing w:val="-5"/>
          <w:sz w:val="22"/>
          <w:szCs w:val="22"/>
          <w:lang w:val="sr-Latn-RS"/>
        </w:rPr>
        <w:t>ednosti fosfata (u analizama krvi), ishemijski moždani udar (moždani udar uzrokovan smanjenim protokom krvi u mozgu), nadraženost ili zapaljenje vene na m</w:t>
      </w:r>
      <w:r w:rsidR="00D64AE6" w:rsidRPr="00016704">
        <w:rPr>
          <w:rFonts w:eastAsia="Calibri"/>
          <w:spacing w:val="-5"/>
          <w:sz w:val="22"/>
          <w:szCs w:val="22"/>
          <w:lang w:val="sr-Latn-RS"/>
        </w:rPr>
        <w:t>j</w:t>
      </w:r>
      <w:r w:rsidRPr="00016704">
        <w:rPr>
          <w:rFonts w:eastAsia="Calibri"/>
          <w:spacing w:val="-5"/>
          <w:sz w:val="22"/>
          <w:szCs w:val="22"/>
          <w:lang w:val="sr-Latn-RS"/>
        </w:rPr>
        <w:t>estu prim</w:t>
      </w:r>
      <w:r w:rsidR="00D64AE6" w:rsidRPr="00016704">
        <w:rPr>
          <w:rFonts w:eastAsia="Calibri"/>
          <w:spacing w:val="-5"/>
          <w:sz w:val="22"/>
          <w:szCs w:val="22"/>
          <w:lang w:val="sr-Latn-RS"/>
        </w:rPr>
        <w:t>j</w:t>
      </w:r>
      <w:r w:rsidRPr="00016704">
        <w:rPr>
          <w:rFonts w:eastAsia="Calibri"/>
          <w:spacing w:val="-5"/>
          <w:sz w:val="22"/>
          <w:szCs w:val="22"/>
          <w:lang w:val="sr-Latn-RS"/>
        </w:rPr>
        <w:t>ene lijeka, venska tromboza (krvni ugrušak u veni), smanjen broj crvenih krvnih ćelija, atrijalna fibrilacija (ubrzani ili nepravilni otkucaji srca), brzi otkucaji srca, angina pektoris (bol u grudnom košu ili os</w:t>
      </w:r>
      <w:r w:rsidR="00D64AE6" w:rsidRPr="00016704">
        <w:rPr>
          <w:rFonts w:eastAsia="Calibri"/>
          <w:spacing w:val="-5"/>
          <w:sz w:val="22"/>
          <w:szCs w:val="22"/>
          <w:lang w:val="sr-Latn-RS"/>
        </w:rPr>
        <w:t>j</w:t>
      </w:r>
      <w:r w:rsidRPr="00016704">
        <w:rPr>
          <w:rFonts w:eastAsia="Calibri"/>
          <w:spacing w:val="-5"/>
          <w:sz w:val="22"/>
          <w:szCs w:val="22"/>
          <w:lang w:val="sr-Latn-RS"/>
        </w:rPr>
        <w:t xml:space="preserve">ećaj stezanja, pritiska ili težine u grudnom košu), osip ili otoci na koži koji svrbe, koprivnjača, pozitivan </w:t>
      </w:r>
      <w:r w:rsidRPr="00016704">
        <w:rPr>
          <w:rFonts w:eastAsia="Calibri"/>
          <w:i/>
          <w:iCs/>
          <w:spacing w:val="-5"/>
          <w:sz w:val="22"/>
          <w:szCs w:val="22"/>
          <w:lang w:val="sr-Latn-RS"/>
        </w:rPr>
        <w:t>Coombs</w:t>
      </w:r>
      <w:r w:rsidRPr="00016704">
        <w:rPr>
          <w:rFonts w:eastAsia="Calibri"/>
          <w:spacing w:val="-5"/>
          <w:sz w:val="22"/>
          <w:szCs w:val="22"/>
          <w:lang w:val="sr-Latn-RS"/>
        </w:rPr>
        <w:t>-ov test (test krvi kojim se ispituju antit</w:t>
      </w:r>
      <w:r w:rsidR="00D64AE6" w:rsidRPr="00016704">
        <w:rPr>
          <w:rFonts w:eastAsia="Calibri"/>
          <w:spacing w:val="-5"/>
          <w:sz w:val="22"/>
          <w:szCs w:val="22"/>
          <w:lang w:val="sr-Latn-RS"/>
        </w:rPr>
        <w:t>ij</w:t>
      </w:r>
      <w:r w:rsidRPr="00016704">
        <w:rPr>
          <w:rFonts w:eastAsia="Calibri"/>
          <w:spacing w:val="-5"/>
          <w:sz w:val="22"/>
          <w:szCs w:val="22"/>
          <w:lang w:val="sr-Latn-RS"/>
        </w:rPr>
        <w:t xml:space="preserve">ela koja mogu napasti Vaše crvene krvne ćelije), problemi sa bubrezima, bolest bubrega, nedostatak </w:t>
      </w:r>
      <w:r w:rsidR="002E5FDD" w:rsidRPr="00016704">
        <w:rPr>
          <w:rFonts w:eastAsia="Calibri"/>
          <w:spacing w:val="-5"/>
          <w:sz w:val="22"/>
          <w:szCs w:val="22"/>
          <w:lang w:val="sr-Latn-RS"/>
        </w:rPr>
        <w:t>vazduha</w:t>
      </w:r>
      <w:r w:rsidRPr="00016704">
        <w:rPr>
          <w:rFonts w:eastAsia="Calibri"/>
          <w:spacing w:val="-5"/>
          <w:sz w:val="22"/>
          <w:szCs w:val="22"/>
          <w:lang w:val="sr-Latn-RS"/>
        </w:rPr>
        <w:t>.</w:t>
      </w:r>
    </w:p>
    <w:p w14:paraId="6000A35B" w14:textId="77777777" w:rsidR="009D3392" w:rsidRPr="00016704" w:rsidRDefault="009D3392">
      <w:pPr>
        <w:pStyle w:val="NoSpacing"/>
        <w:jc w:val="both"/>
        <w:rPr>
          <w:rFonts w:eastAsia="Calibri"/>
          <w:spacing w:val="-5"/>
          <w:sz w:val="22"/>
          <w:szCs w:val="22"/>
          <w:lang w:val="sr-Latn-RS"/>
        </w:rPr>
      </w:pPr>
    </w:p>
    <w:p w14:paraId="5A57B5D8" w14:textId="10A43F11" w:rsidR="009D3392" w:rsidRPr="00016704" w:rsidRDefault="009D3392">
      <w:pPr>
        <w:pStyle w:val="NoSpacing"/>
        <w:jc w:val="both"/>
        <w:rPr>
          <w:rFonts w:eastAsia="Calibri"/>
          <w:spacing w:val="-5"/>
          <w:sz w:val="22"/>
          <w:szCs w:val="22"/>
          <w:u w:val="single"/>
          <w:lang w:val="sr-Latn-RS"/>
        </w:rPr>
      </w:pPr>
      <w:r w:rsidRPr="00016704">
        <w:rPr>
          <w:rFonts w:eastAsia="Calibri"/>
          <w:spacing w:val="-5"/>
          <w:sz w:val="22"/>
          <w:szCs w:val="22"/>
          <w:u w:val="single"/>
          <w:lang w:val="sr-Latn-RS"/>
        </w:rPr>
        <w:t>Dodatni neželjeni efekti prim</w:t>
      </w:r>
      <w:r w:rsidR="00C74333" w:rsidRPr="00016704">
        <w:rPr>
          <w:rFonts w:eastAsia="Calibri"/>
          <w:spacing w:val="-5"/>
          <w:sz w:val="22"/>
          <w:szCs w:val="22"/>
          <w:u w:val="single"/>
          <w:lang w:val="sr-Latn-RS"/>
        </w:rPr>
        <w:t>ij</w:t>
      </w:r>
      <w:r w:rsidRPr="00016704">
        <w:rPr>
          <w:rFonts w:eastAsia="Calibri"/>
          <w:spacing w:val="-5"/>
          <w:sz w:val="22"/>
          <w:szCs w:val="22"/>
          <w:u w:val="single"/>
          <w:lang w:val="sr-Latn-RS"/>
        </w:rPr>
        <w:t xml:space="preserve">ećeni kod djece i adolescenata liječenih od komplikovanih infekcija abdomena, bubrega i urinarnog sistema. </w:t>
      </w:r>
    </w:p>
    <w:p w14:paraId="71E7FC27" w14:textId="445F5312" w:rsidR="009D3392" w:rsidRPr="00016704" w:rsidRDefault="009D3392">
      <w:pPr>
        <w:pStyle w:val="NoSpacing"/>
        <w:jc w:val="both"/>
        <w:rPr>
          <w:rFonts w:eastAsia="Calibri"/>
          <w:spacing w:val="-5"/>
          <w:sz w:val="22"/>
          <w:szCs w:val="22"/>
          <w:lang w:val="sr-Latn-RS"/>
        </w:rPr>
      </w:pPr>
      <w:r w:rsidRPr="00016704">
        <w:rPr>
          <w:rFonts w:eastAsia="Calibri"/>
          <w:b/>
          <w:bCs/>
          <w:spacing w:val="-5"/>
          <w:sz w:val="22"/>
          <w:szCs w:val="22"/>
          <w:lang w:val="sr-Latn-RS"/>
        </w:rPr>
        <w:t xml:space="preserve">Česta </w:t>
      </w:r>
      <w:r w:rsidRPr="00016704">
        <w:rPr>
          <w:rFonts w:eastAsia="Calibri"/>
          <w:spacing w:val="-5"/>
          <w:sz w:val="22"/>
          <w:szCs w:val="22"/>
          <w:lang w:val="sr-Latn-RS"/>
        </w:rPr>
        <w:t>neželjena dejstva (mogu da se jave kod najviše 1 na 10 pacijenata koji uzimaju l</w:t>
      </w:r>
      <w:r w:rsidR="008D6168" w:rsidRPr="00016704">
        <w:rPr>
          <w:rFonts w:eastAsia="Calibri"/>
          <w:spacing w:val="-5"/>
          <w:sz w:val="22"/>
          <w:szCs w:val="22"/>
          <w:lang w:val="sr-Latn-RS"/>
        </w:rPr>
        <w:t>ij</w:t>
      </w:r>
      <w:r w:rsidRPr="00016704">
        <w:rPr>
          <w:rFonts w:eastAsia="Calibri"/>
          <w:spacing w:val="-5"/>
          <w:sz w:val="22"/>
          <w:szCs w:val="22"/>
          <w:lang w:val="sr-Latn-RS"/>
        </w:rPr>
        <w:t>ek</w:t>
      </w:r>
      <w:r w:rsidR="008D6168" w:rsidRPr="00016704">
        <w:rPr>
          <w:rFonts w:eastAsia="Calibri"/>
          <w:spacing w:val="-5"/>
          <w:sz w:val="22"/>
          <w:szCs w:val="22"/>
          <w:lang w:val="sr-Latn-RS"/>
        </w:rPr>
        <w:t>)</w:t>
      </w:r>
      <w:r w:rsidR="004B29EB" w:rsidRPr="00016704">
        <w:rPr>
          <w:rFonts w:eastAsia="Calibri"/>
          <w:spacing w:val="-5"/>
          <w:sz w:val="22"/>
          <w:szCs w:val="22"/>
          <w:lang w:val="sr-Latn-RS"/>
        </w:rPr>
        <w:t>:</w:t>
      </w:r>
    </w:p>
    <w:p w14:paraId="6BC15874" w14:textId="1802BD92" w:rsidR="009D3392" w:rsidRPr="00016704" w:rsidRDefault="004D6EBE" w:rsidP="00854BF0">
      <w:pPr>
        <w:pStyle w:val="NoSpacing"/>
        <w:tabs>
          <w:tab w:val="left" w:pos="567"/>
        </w:tabs>
        <w:jc w:val="both"/>
        <w:rPr>
          <w:rFonts w:eastAsia="Calibri"/>
          <w:spacing w:val="-5"/>
          <w:sz w:val="22"/>
          <w:szCs w:val="22"/>
          <w:lang w:val="sr-Latn-RS"/>
        </w:rPr>
      </w:pPr>
      <w:r w:rsidRPr="00016704">
        <w:rPr>
          <w:rFonts w:eastAsia="Calibri"/>
          <w:spacing w:val="-5"/>
          <w:sz w:val="22"/>
          <w:szCs w:val="22"/>
          <w:lang w:val="sr-Latn-RS"/>
        </w:rPr>
        <w:tab/>
      </w:r>
      <w:r w:rsidR="009D3392" w:rsidRPr="00016704">
        <w:rPr>
          <w:rFonts w:eastAsia="Calibri"/>
          <w:spacing w:val="-5"/>
          <w:sz w:val="22"/>
          <w:szCs w:val="22"/>
          <w:lang w:val="sr-Latn-RS"/>
        </w:rPr>
        <w:t>Povećani apetit, nizak broj b</w:t>
      </w:r>
      <w:r w:rsidR="008D6168" w:rsidRPr="00016704">
        <w:rPr>
          <w:rFonts w:eastAsia="Calibri"/>
          <w:spacing w:val="-5"/>
          <w:sz w:val="22"/>
          <w:szCs w:val="22"/>
          <w:lang w:val="sr-Latn-RS"/>
        </w:rPr>
        <w:t>ij</w:t>
      </w:r>
      <w:r w:rsidR="009D3392" w:rsidRPr="00016704">
        <w:rPr>
          <w:rFonts w:eastAsia="Calibri"/>
          <w:spacing w:val="-5"/>
          <w:sz w:val="22"/>
          <w:szCs w:val="22"/>
          <w:lang w:val="sr-Latn-RS"/>
        </w:rPr>
        <w:t xml:space="preserve">elih krvnih zrnaca, izmenjen ukus. </w:t>
      </w:r>
    </w:p>
    <w:p w14:paraId="736B56BE" w14:textId="77777777" w:rsidR="009D3392" w:rsidRPr="00016704" w:rsidRDefault="009D3392" w:rsidP="00F0212A">
      <w:pPr>
        <w:pStyle w:val="NoSpacing"/>
        <w:jc w:val="both"/>
        <w:rPr>
          <w:rFonts w:eastAsia="Calibri"/>
          <w:spacing w:val="-5"/>
          <w:sz w:val="22"/>
          <w:szCs w:val="22"/>
          <w:u w:val="single"/>
          <w:lang w:val="sr-Latn-RS"/>
        </w:rPr>
      </w:pPr>
    </w:p>
    <w:p w14:paraId="77EBB9EC" w14:textId="3DD4B6AF" w:rsidR="009D3392" w:rsidRPr="00016704" w:rsidRDefault="009D3392">
      <w:pPr>
        <w:pStyle w:val="NoSpacing"/>
        <w:jc w:val="both"/>
        <w:rPr>
          <w:rFonts w:eastAsia="Calibri"/>
          <w:spacing w:val="-5"/>
          <w:sz w:val="22"/>
          <w:szCs w:val="22"/>
          <w:lang w:val="sr-Latn-RS"/>
        </w:rPr>
      </w:pPr>
      <w:r w:rsidRPr="00016704">
        <w:rPr>
          <w:rFonts w:eastAsia="Calibri"/>
          <w:spacing w:val="-5"/>
          <w:sz w:val="22"/>
          <w:szCs w:val="22"/>
          <w:u w:val="single"/>
          <w:lang w:val="sr-Latn-RS"/>
        </w:rPr>
        <w:t>Odrasli koji su na terapiji zbog infekcije pluća koja se naziva „pneumonija</w:t>
      </w:r>
      <w:r w:rsidRPr="00016704">
        <w:rPr>
          <w:rFonts w:eastAsia="Calibri"/>
          <w:spacing w:val="-5"/>
          <w:sz w:val="22"/>
          <w:szCs w:val="22"/>
          <w:lang w:val="sr-Latn-RS"/>
        </w:rPr>
        <w:t>“</w:t>
      </w:r>
    </w:p>
    <w:p w14:paraId="2948792A" w14:textId="2775AAAE" w:rsidR="009D3392" w:rsidRPr="00016704" w:rsidRDefault="009D3392">
      <w:pPr>
        <w:pStyle w:val="NoSpacing"/>
        <w:jc w:val="both"/>
        <w:rPr>
          <w:rFonts w:eastAsia="Calibri"/>
          <w:spacing w:val="-5"/>
          <w:sz w:val="22"/>
          <w:szCs w:val="22"/>
          <w:lang w:val="sr-Latn-RS"/>
        </w:rPr>
      </w:pPr>
      <w:r w:rsidRPr="00016704">
        <w:rPr>
          <w:rFonts w:eastAsia="Calibri"/>
          <w:b/>
          <w:bCs/>
          <w:spacing w:val="-5"/>
          <w:sz w:val="22"/>
          <w:szCs w:val="22"/>
          <w:lang w:val="sr-Latn-RS"/>
        </w:rPr>
        <w:t xml:space="preserve">Česta </w:t>
      </w:r>
      <w:r w:rsidRPr="00016704">
        <w:rPr>
          <w:rFonts w:eastAsia="Calibri"/>
          <w:spacing w:val="-5"/>
          <w:sz w:val="22"/>
          <w:szCs w:val="22"/>
          <w:lang w:val="sr-Latn-RS"/>
        </w:rPr>
        <w:t>neželjena dejstva (mogu da se jave kod najviše 1 na 10 pacijenata koji uzimaju l</w:t>
      </w:r>
      <w:r w:rsidR="008D6168" w:rsidRPr="00016704">
        <w:rPr>
          <w:rFonts w:eastAsia="Calibri"/>
          <w:spacing w:val="-5"/>
          <w:sz w:val="22"/>
          <w:szCs w:val="22"/>
          <w:lang w:val="sr-Latn-RS"/>
        </w:rPr>
        <w:t>ij</w:t>
      </w:r>
      <w:r w:rsidRPr="00016704">
        <w:rPr>
          <w:rFonts w:eastAsia="Calibri"/>
          <w:spacing w:val="-5"/>
          <w:sz w:val="22"/>
          <w:szCs w:val="22"/>
          <w:lang w:val="sr-Latn-RS"/>
        </w:rPr>
        <w:t>ek):</w:t>
      </w:r>
    </w:p>
    <w:p w14:paraId="5C5CFF6C" w14:textId="287292F4" w:rsidR="009D3392" w:rsidRPr="00016704" w:rsidRDefault="009D3392" w:rsidP="00854BF0">
      <w:pPr>
        <w:pStyle w:val="NoSpacing"/>
        <w:ind w:left="567"/>
        <w:jc w:val="both"/>
        <w:rPr>
          <w:rFonts w:eastAsia="Calibri"/>
          <w:spacing w:val="-5"/>
          <w:sz w:val="22"/>
          <w:szCs w:val="22"/>
          <w:lang w:val="sr-Latn-RS"/>
        </w:rPr>
      </w:pPr>
      <w:r w:rsidRPr="00016704">
        <w:rPr>
          <w:rFonts w:eastAsia="Calibri"/>
          <w:spacing w:val="-5"/>
          <w:sz w:val="22"/>
          <w:szCs w:val="22"/>
          <w:lang w:val="sr-Latn-RS"/>
        </w:rPr>
        <w:t>Zapaljenje debelog cr</w:t>
      </w:r>
      <w:r w:rsidR="00F0212A" w:rsidRPr="00016704">
        <w:rPr>
          <w:rFonts w:eastAsia="Calibri"/>
          <w:spacing w:val="-5"/>
          <w:sz w:val="22"/>
          <w:szCs w:val="22"/>
          <w:lang w:val="sr-Latn-RS"/>
        </w:rPr>
        <w:t>ij</w:t>
      </w:r>
      <w:r w:rsidRPr="00016704">
        <w:rPr>
          <w:rFonts w:eastAsia="Calibri"/>
          <w:spacing w:val="-5"/>
          <w:sz w:val="22"/>
          <w:szCs w:val="22"/>
          <w:lang w:val="sr-Latn-RS"/>
        </w:rPr>
        <w:t xml:space="preserve">eva uzrokovano bakterijom C. </w:t>
      </w:r>
      <w:r w:rsidRPr="00016704">
        <w:rPr>
          <w:rFonts w:eastAsia="Calibri"/>
          <w:i/>
          <w:iCs/>
          <w:spacing w:val="-5"/>
          <w:sz w:val="22"/>
          <w:szCs w:val="22"/>
          <w:lang w:val="sr-Latn-RS"/>
        </w:rPr>
        <w:t>difficile</w:t>
      </w:r>
      <w:r w:rsidRPr="00016704">
        <w:rPr>
          <w:rFonts w:eastAsia="Calibri"/>
          <w:spacing w:val="-5"/>
          <w:sz w:val="22"/>
          <w:szCs w:val="22"/>
          <w:lang w:val="sr-Latn-RS"/>
        </w:rPr>
        <w:t>, proliv, povraćanje, povećane vr</w:t>
      </w:r>
      <w:r w:rsidR="008D6168" w:rsidRPr="00016704">
        <w:rPr>
          <w:rFonts w:eastAsia="Calibri"/>
          <w:spacing w:val="-5"/>
          <w:sz w:val="22"/>
          <w:szCs w:val="22"/>
          <w:lang w:val="sr-Latn-RS"/>
        </w:rPr>
        <w:t>ij</w:t>
      </w:r>
      <w:r w:rsidRPr="00016704">
        <w:rPr>
          <w:rFonts w:eastAsia="Calibri"/>
          <w:spacing w:val="-5"/>
          <w:sz w:val="22"/>
          <w:szCs w:val="22"/>
          <w:lang w:val="sr-Latn-RS"/>
        </w:rPr>
        <w:t>ednosti enzima jetre (u analizama krvi).</w:t>
      </w:r>
    </w:p>
    <w:p w14:paraId="76BFB0CA" w14:textId="7F367657" w:rsidR="009D3392" w:rsidRPr="00016704" w:rsidRDefault="009D3392" w:rsidP="00F0212A">
      <w:pPr>
        <w:pStyle w:val="NoSpacing"/>
        <w:jc w:val="both"/>
        <w:rPr>
          <w:rFonts w:eastAsia="Calibri"/>
          <w:spacing w:val="-5"/>
          <w:sz w:val="22"/>
          <w:szCs w:val="22"/>
          <w:lang w:val="sr-Latn-RS"/>
        </w:rPr>
      </w:pPr>
      <w:r w:rsidRPr="00016704">
        <w:rPr>
          <w:rFonts w:eastAsia="Calibri"/>
          <w:b/>
          <w:bCs/>
          <w:spacing w:val="-5"/>
          <w:sz w:val="22"/>
          <w:szCs w:val="22"/>
          <w:lang w:val="sr-Latn-RS"/>
        </w:rPr>
        <w:t>Povremena</w:t>
      </w:r>
      <w:r w:rsidRPr="00016704">
        <w:rPr>
          <w:rFonts w:eastAsia="Calibri"/>
          <w:spacing w:val="-5"/>
          <w:sz w:val="22"/>
          <w:szCs w:val="22"/>
          <w:lang w:val="sr-Latn-RS"/>
        </w:rPr>
        <w:t xml:space="preserve"> neželjena dejstva (mogu da se jave kod najviše 1 na 100 pacijenata koji uzimaju l</w:t>
      </w:r>
      <w:r w:rsidR="008D6168" w:rsidRPr="00016704">
        <w:rPr>
          <w:rFonts w:eastAsia="Calibri"/>
          <w:spacing w:val="-5"/>
          <w:sz w:val="22"/>
          <w:szCs w:val="22"/>
          <w:lang w:val="sr-Latn-RS"/>
        </w:rPr>
        <w:t>ij</w:t>
      </w:r>
      <w:r w:rsidRPr="00016704">
        <w:rPr>
          <w:rFonts w:eastAsia="Calibri"/>
          <w:spacing w:val="-5"/>
          <w:sz w:val="22"/>
          <w:szCs w:val="22"/>
          <w:lang w:val="sr-Latn-RS"/>
        </w:rPr>
        <w:t>ek):</w:t>
      </w:r>
    </w:p>
    <w:p w14:paraId="6844DCE0" w14:textId="6D7256B1" w:rsidR="006D5C11" w:rsidRPr="00016704" w:rsidRDefault="009D3392" w:rsidP="00854BF0">
      <w:pPr>
        <w:pStyle w:val="NoSpacing"/>
        <w:ind w:left="567"/>
        <w:jc w:val="both"/>
        <w:rPr>
          <w:rFonts w:eastAsia="Calibri"/>
          <w:spacing w:val="-5"/>
          <w:sz w:val="22"/>
          <w:szCs w:val="22"/>
          <w:lang w:val="sr-Latn-RS"/>
        </w:rPr>
      </w:pPr>
      <w:r w:rsidRPr="00016704">
        <w:rPr>
          <w:rFonts w:eastAsia="Calibri"/>
          <w:spacing w:val="-5"/>
          <w:sz w:val="22"/>
          <w:szCs w:val="22"/>
          <w:lang w:val="sr-Latn-RS"/>
        </w:rPr>
        <w:t xml:space="preserve">Infekcija uzrokovana bakterijom C. </w:t>
      </w:r>
      <w:r w:rsidRPr="00016704">
        <w:rPr>
          <w:rFonts w:eastAsia="Calibri"/>
          <w:i/>
          <w:iCs/>
          <w:spacing w:val="-5"/>
          <w:sz w:val="22"/>
          <w:szCs w:val="22"/>
          <w:lang w:val="sr-Latn-RS"/>
        </w:rPr>
        <w:t>difficile</w:t>
      </w:r>
      <w:r w:rsidRPr="00016704">
        <w:rPr>
          <w:rFonts w:eastAsia="Calibri"/>
          <w:spacing w:val="-5"/>
          <w:sz w:val="22"/>
          <w:szCs w:val="22"/>
          <w:lang w:val="sr-Latn-RS"/>
        </w:rPr>
        <w:t xml:space="preserve">, pozitivan test na bakteriju C. </w:t>
      </w:r>
      <w:r w:rsidRPr="00016704">
        <w:rPr>
          <w:rFonts w:eastAsia="Calibri"/>
          <w:i/>
          <w:iCs/>
          <w:spacing w:val="-5"/>
          <w:sz w:val="22"/>
          <w:szCs w:val="22"/>
          <w:lang w:val="sr-Latn-RS"/>
        </w:rPr>
        <w:t>difficile</w:t>
      </w:r>
      <w:r w:rsidRPr="00016704">
        <w:rPr>
          <w:rFonts w:eastAsia="Calibri"/>
          <w:spacing w:val="-5"/>
          <w:sz w:val="22"/>
          <w:szCs w:val="22"/>
          <w:lang w:val="sr-Latn-RS"/>
        </w:rPr>
        <w:t xml:space="preserve"> (u stolici), pozitivan </w:t>
      </w:r>
      <w:r w:rsidRPr="00016704">
        <w:rPr>
          <w:rFonts w:eastAsia="Calibri"/>
          <w:i/>
          <w:iCs/>
          <w:spacing w:val="-5"/>
          <w:sz w:val="22"/>
          <w:szCs w:val="22"/>
          <w:lang w:val="sr-Latn-RS"/>
        </w:rPr>
        <w:t>Coombs</w:t>
      </w:r>
      <w:r w:rsidRPr="00016704">
        <w:rPr>
          <w:rFonts w:eastAsia="Calibri"/>
          <w:spacing w:val="-5"/>
          <w:sz w:val="22"/>
          <w:szCs w:val="22"/>
          <w:lang w:val="sr-Latn-RS"/>
        </w:rPr>
        <w:t>-ov test (analiza krvi kojim se ispituju antit</w:t>
      </w:r>
      <w:r w:rsidR="00C74333" w:rsidRPr="00016704">
        <w:rPr>
          <w:rFonts w:eastAsia="Calibri"/>
          <w:spacing w:val="-5"/>
          <w:sz w:val="22"/>
          <w:szCs w:val="22"/>
          <w:lang w:val="sr-Latn-RS"/>
        </w:rPr>
        <w:t>ij</w:t>
      </w:r>
      <w:r w:rsidRPr="00016704">
        <w:rPr>
          <w:rFonts w:eastAsia="Calibri"/>
          <w:spacing w:val="-5"/>
          <w:sz w:val="22"/>
          <w:szCs w:val="22"/>
          <w:lang w:val="sr-Latn-RS"/>
        </w:rPr>
        <w:t>ela koja mogu napasti Vaše crvene krvne ćelije).</w:t>
      </w:r>
    </w:p>
    <w:p w14:paraId="7136C930" w14:textId="77777777" w:rsidR="008D6168" w:rsidRPr="00016704" w:rsidRDefault="008D6168" w:rsidP="00F0212A">
      <w:pPr>
        <w:pStyle w:val="NoSpacing"/>
        <w:jc w:val="both"/>
        <w:rPr>
          <w:rFonts w:eastAsia="Calibri"/>
          <w:spacing w:val="-5"/>
          <w:sz w:val="22"/>
          <w:szCs w:val="22"/>
          <w:u w:val="single"/>
          <w:lang w:val="sr-Latn-RS"/>
        </w:rPr>
      </w:pPr>
    </w:p>
    <w:p w14:paraId="7A308F2D" w14:textId="77777777" w:rsidR="00CD7D15" w:rsidRPr="00016704" w:rsidRDefault="00CD7D15" w:rsidP="00F0212A">
      <w:pPr>
        <w:pStyle w:val="NoSpacing"/>
        <w:jc w:val="both"/>
        <w:rPr>
          <w:rFonts w:eastAsia="Calibri"/>
          <w:spacing w:val="-5"/>
          <w:sz w:val="22"/>
          <w:szCs w:val="22"/>
          <w:u w:val="single"/>
          <w:lang w:val="sr-Latn-RS"/>
        </w:rPr>
      </w:pPr>
    </w:p>
    <w:p w14:paraId="34DA71E4" w14:textId="082E7AFA" w:rsidR="00C269D7" w:rsidRPr="00016704" w:rsidRDefault="00C269D7" w:rsidP="00F0212A">
      <w:pPr>
        <w:pStyle w:val="NoSpacing"/>
        <w:jc w:val="both"/>
        <w:rPr>
          <w:rFonts w:eastAsia="Calibri"/>
          <w:spacing w:val="-5"/>
          <w:sz w:val="22"/>
          <w:szCs w:val="22"/>
          <w:u w:val="single"/>
          <w:lang w:val="sr-Latn-RS"/>
        </w:rPr>
      </w:pPr>
      <w:r w:rsidRPr="00016704">
        <w:rPr>
          <w:rFonts w:eastAsia="Calibri"/>
          <w:spacing w:val="-5"/>
          <w:sz w:val="22"/>
          <w:szCs w:val="22"/>
          <w:u w:val="single"/>
          <w:lang w:val="sr-Latn-RS"/>
        </w:rPr>
        <w:lastRenderedPageBreak/>
        <w:t>Prijavljivanje sumnji na neželjena dejstva</w:t>
      </w:r>
    </w:p>
    <w:p w14:paraId="3B4FFC9D" w14:textId="77777777" w:rsidR="00C269D7" w:rsidRPr="00016704" w:rsidRDefault="00C269D7" w:rsidP="00854BF0">
      <w:pPr>
        <w:pStyle w:val="NoSpacing"/>
        <w:jc w:val="both"/>
        <w:rPr>
          <w:rFonts w:eastAsia="Calibri"/>
          <w:spacing w:val="-5"/>
          <w:sz w:val="22"/>
          <w:szCs w:val="22"/>
          <w:u w:val="single"/>
          <w:lang w:val="sr-Latn-RS"/>
        </w:rPr>
      </w:pPr>
    </w:p>
    <w:p w14:paraId="069AE323" w14:textId="77777777" w:rsidR="00C269D7" w:rsidRPr="00016704" w:rsidRDefault="0029138F" w:rsidP="00DF55F5">
      <w:pPr>
        <w:pStyle w:val="NoSpacing"/>
        <w:jc w:val="both"/>
        <w:rPr>
          <w:rFonts w:eastAsia="Calibri"/>
          <w:sz w:val="22"/>
          <w:szCs w:val="22"/>
          <w:lang w:val="sr-Latn-RS"/>
        </w:rPr>
      </w:pPr>
      <w:r w:rsidRPr="00016704">
        <w:rPr>
          <w:rFonts w:eastAsia="Calibri"/>
          <w:sz w:val="22"/>
          <w:szCs w:val="22"/>
          <w:lang w:val="sr-Latn-RS"/>
        </w:rPr>
        <w:t>Ako V</w:t>
      </w:r>
      <w:r w:rsidR="00C269D7" w:rsidRPr="00016704">
        <w:rPr>
          <w:rFonts w:eastAsia="Calibri"/>
          <w:sz w:val="22"/>
          <w:szCs w:val="22"/>
          <w:lang w:val="sr-Latn-RS"/>
        </w:rPr>
        <w:t>am se javi bilo koje neželjeno d</w:t>
      </w:r>
      <w:r w:rsidRPr="00016704">
        <w:rPr>
          <w:rFonts w:eastAsia="Calibri"/>
          <w:sz w:val="22"/>
          <w:szCs w:val="22"/>
          <w:lang w:val="sr-Latn-RS"/>
        </w:rPr>
        <w:t xml:space="preserve">ejstvo recite to svom ljekaru, </w:t>
      </w:r>
      <w:r w:rsidR="00C269D7" w:rsidRPr="00016704">
        <w:rPr>
          <w:rFonts w:eastAsia="Calibri"/>
          <w:sz w:val="22"/>
          <w:szCs w:val="22"/>
          <w:lang w:val="sr-Latn-RS"/>
        </w:rPr>
        <w:t>farmaceutu ili medicinskoj sestri. Ovo uključuje i bilo koja neželjena dejstva koja nijesu navedena u ovom uputstvu</w:t>
      </w:r>
      <w:r w:rsidR="00C269D7" w:rsidRPr="00016704">
        <w:rPr>
          <w:rFonts w:eastAsia="Calibri"/>
          <w:spacing w:val="-4"/>
          <w:sz w:val="22"/>
          <w:szCs w:val="22"/>
          <w:lang w:val="sr-Latn-RS"/>
        </w:rPr>
        <w:t>.</w:t>
      </w:r>
      <w:r w:rsidR="007C6028" w:rsidRPr="00016704">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7F086FDB" w14:textId="77777777" w:rsidR="007C6028" w:rsidRPr="00016704" w:rsidRDefault="007C6028" w:rsidP="00DF55F5">
      <w:pPr>
        <w:pStyle w:val="NoSpacing"/>
        <w:jc w:val="both"/>
        <w:rPr>
          <w:rFonts w:eastAsia="Calibri"/>
          <w:sz w:val="22"/>
          <w:szCs w:val="22"/>
          <w:lang w:val="sr-Latn-RS"/>
        </w:rPr>
      </w:pPr>
    </w:p>
    <w:p w14:paraId="01B822F7" w14:textId="77777777" w:rsidR="007C6028" w:rsidRPr="00016704" w:rsidRDefault="007C6028" w:rsidP="00854BF0">
      <w:pPr>
        <w:jc w:val="both"/>
        <w:rPr>
          <w:sz w:val="22"/>
          <w:szCs w:val="22"/>
          <w:lang w:val="pt-PT"/>
        </w:rPr>
      </w:pPr>
      <w:r w:rsidRPr="00016704">
        <w:rPr>
          <w:sz w:val="22"/>
          <w:szCs w:val="22"/>
          <w:lang w:val="pt-PT"/>
        </w:rPr>
        <w:t xml:space="preserve">Institut za ljekove i medicinska sredstva </w:t>
      </w:r>
    </w:p>
    <w:p w14:paraId="102221B2" w14:textId="77777777" w:rsidR="007C6028" w:rsidRPr="00016704" w:rsidRDefault="007C6028" w:rsidP="00854BF0">
      <w:pPr>
        <w:jc w:val="both"/>
        <w:rPr>
          <w:sz w:val="22"/>
          <w:szCs w:val="22"/>
          <w:lang w:val="pt-PT"/>
        </w:rPr>
      </w:pPr>
      <w:r w:rsidRPr="00016704">
        <w:rPr>
          <w:sz w:val="22"/>
          <w:szCs w:val="22"/>
          <w:lang w:val="pt-PT"/>
        </w:rPr>
        <w:t>Odjeljenje za farmakovigilancu</w:t>
      </w:r>
    </w:p>
    <w:p w14:paraId="0873537B" w14:textId="77777777" w:rsidR="007C6028" w:rsidRPr="00016704" w:rsidRDefault="007C6028" w:rsidP="00854BF0">
      <w:pPr>
        <w:jc w:val="both"/>
        <w:rPr>
          <w:sz w:val="22"/>
          <w:szCs w:val="22"/>
          <w:lang w:val="pt-PT"/>
        </w:rPr>
      </w:pPr>
      <w:r w:rsidRPr="00016704">
        <w:rPr>
          <w:sz w:val="22"/>
          <w:szCs w:val="22"/>
          <w:lang w:val="pt-PT"/>
        </w:rPr>
        <w:t>Bulevar Ivana Crnojevića 64a, 81000 Podgorica</w:t>
      </w:r>
    </w:p>
    <w:p w14:paraId="4B564770" w14:textId="77777777" w:rsidR="007C6028" w:rsidRPr="00016704" w:rsidRDefault="007C6028" w:rsidP="00854BF0">
      <w:pPr>
        <w:jc w:val="both"/>
        <w:rPr>
          <w:sz w:val="22"/>
          <w:szCs w:val="22"/>
          <w:lang w:val="pt-PT"/>
        </w:rPr>
      </w:pPr>
    </w:p>
    <w:p w14:paraId="47FF5E8A" w14:textId="77777777" w:rsidR="007C6028" w:rsidRPr="00016704" w:rsidRDefault="007C6028" w:rsidP="00854BF0">
      <w:pPr>
        <w:jc w:val="both"/>
        <w:rPr>
          <w:sz w:val="22"/>
          <w:szCs w:val="22"/>
          <w:lang w:val="pt-PT"/>
        </w:rPr>
      </w:pPr>
      <w:r w:rsidRPr="00016704">
        <w:rPr>
          <w:sz w:val="22"/>
          <w:szCs w:val="22"/>
          <w:lang w:val="pt-PT"/>
        </w:rPr>
        <w:t>tel: +382 (0) 20 310 280</w:t>
      </w:r>
    </w:p>
    <w:p w14:paraId="2ADABF95" w14:textId="77777777" w:rsidR="007C6028" w:rsidRPr="00016704" w:rsidRDefault="007C6028" w:rsidP="00854BF0">
      <w:pPr>
        <w:jc w:val="both"/>
        <w:rPr>
          <w:sz w:val="22"/>
          <w:szCs w:val="22"/>
          <w:lang w:val="pt-PT"/>
        </w:rPr>
      </w:pPr>
      <w:r w:rsidRPr="00016704">
        <w:rPr>
          <w:sz w:val="22"/>
          <w:szCs w:val="22"/>
          <w:lang w:val="pt-PT"/>
        </w:rPr>
        <w:t>fax: +382 (0) 20 310 581</w:t>
      </w:r>
    </w:p>
    <w:p w14:paraId="24F47CBD" w14:textId="77777777" w:rsidR="007C6028" w:rsidRPr="00016704" w:rsidRDefault="00E46B2B" w:rsidP="00854BF0">
      <w:pPr>
        <w:jc w:val="both"/>
        <w:rPr>
          <w:sz w:val="22"/>
          <w:szCs w:val="22"/>
          <w:lang w:val="pt-PT"/>
        </w:rPr>
      </w:pPr>
      <w:hyperlink r:id="rId8" w:history="1">
        <w:r w:rsidR="00510F22" w:rsidRPr="00016704">
          <w:rPr>
            <w:rStyle w:val="Hyperlink"/>
            <w:sz w:val="22"/>
            <w:szCs w:val="22"/>
            <w:lang w:val="pt-PT"/>
          </w:rPr>
          <w:t>www.cinmed.me</w:t>
        </w:r>
      </w:hyperlink>
      <w:r w:rsidR="00510F22" w:rsidRPr="00016704">
        <w:rPr>
          <w:sz w:val="22"/>
          <w:szCs w:val="22"/>
          <w:lang w:val="pt-PT"/>
        </w:rPr>
        <w:t xml:space="preserve"> </w:t>
      </w:r>
    </w:p>
    <w:p w14:paraId="52622EAF" w14:textId="77777777" w:rsidR="007C6028" w:rsidRPr="00016704" w:rsidRDefault="00E46B2B" w:rsidP="00854BF0">
      <w:pPr>
        <w:jc w:val="both"/>
        <w:rPr>
          <w:sz w:val="22"/>
          <w:szCs w:val="22"/>
          <w:lang w:val="pt-PT"/>
        </w:rPr>
      </w:pPr>
      <w:hyperlink r:id="rId9" w:history="1">
        <w:r w:rsidR="00510F22" w:rsidRPr="00016704">
          <w:rPr>
            <w:rStyle w:val="Hyperlink"/>
            <w:sz w:val="22"/>
            <w:szCs w:val="22"/>
            <w:lang w:val="pt-PT"/>
          </w:rPr>
          <w:t>nezeljenadejstva@cinmed.me</w:t>
        </w:r>
      </w:hyperlink>
      <w:r w:rsidR="00510F22" w:rsidRPr="00016704">
        <w:rPr>
          <w:sz w:val="22"/>
          <w:szCs w:val="22"/>
          <w:lang w:val="pt-PT"/>
        </w:rPr>
        <w:t xml:space="preserve"> </w:t>
      </w:r>
    </w:p>
    <w:p w14:paraId="1BA5C91E" w14:textId="77777777" w:rsidR="00396B66" w:rsidRPr="00016704" w:rsidRDefault="007C6028" w:rsidP="00854BF0">
      <w:pPr>
        <w:jc w:val="both"/>
        <w:rPr>
          <w:sz w:val="22"/>
          <w:szCs w:val="22"/>
          <w:lang w:val="pt-PT"/>
        </w:rPr>
      </w:pPr>
      <w:r w:rsidRPr="00016704">
        <w:rPr>
          <w:sz w:val="22"/>
          <w:szCs w:val="22"/>
          <w:lang w:val="pt-PT"/>
        </w:rPr>
        <w:t>putem IS zdravstvene zaštite</w:t>
      </w:r>
    </w:p>
    <w:p w14:paraId="34F79214" w14:textId="77777777" w:rsidR="00D41A0C" w:rsidRPr="00016704" w:rsidRDefault="00D41A0C" w:rsidP="00854BF0">
      <w:pPr>
        <w:jc w:val="both"/>
        <w:rPr>
          <w:sz w:val="22"/>
          <w:szCs w:val="22"/>
          <w:lang w:val="pt-PT"/>
        </w:rPr>
      </w:pPr>
      <w:r w:rsidRPr="00016704">
        <w:rPr>
          <w:sz w:val="22"/>
          <w:szCs w:val="22"/>
          <w:lang w:val="pt-PT"/>
        </w:rPr>
        <w:t>QR kod za online prijavu sumnje na neželjeno dejstvo lijeka:</w:t>
      </w:r>
    </w:p>
    <w:p w14:paraId="18ABD2B3" w14:textId="77777777" w:rsidR="00D41A0C" w:rsidRPr="00016704" w:rsidRDefault="00D41A0C" w:rsidP="00D41A0C">
      <w:pPr>
        <w:rPr>
          <w:sz w:val="22"/>
          <w:szCs w:val="22"/>
          <w:lang w:val="pt-PT"/>
        </w:rPr>
      </w:pPr>
    </w:p>
    <w:p w14:paraId="422139B2" w14:textId="763EA450" w:rsidR="00662339" w:rsidRPr="00016704" w:rsidRDefault="00D41A0C" w:rsidP="00D41A0C">
      <w:pPr>
        <w:rPr>
          <w:sz w:val="22"/>
          <w:szCs w:val="22"/>
          <w:lang w:val="pt-PT"/>
        </w:rPr>
      </w:pPr>
      <w:r w:rsidRPr="00016704">
        <w:rPr>
          <w:noProof/>
          <w:sz w:val="22"/>
          <w:szCs w:val="22"/>
        </w:rPr>
        <w:drawing>
          <wp:inline distT="0" distB="0" distL="0" distR="0" wp14:anchorId="3D5D3605" wp14:editId="3BEE26B9">
            <wp:extent cx="971550" cy="971550"/>
            <wp:effectExtent l="0" t="0" r="0" b="0"/>
            <wp:docPr id="6"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C328187" w14:textId="53033C5B" w:rsidR="00D41A0C" w:rsidRPr="00016704" w:rsidRDefault="00D41A0C" w:rsidP="00D41A0C">
      <w:pPr>
        <w:rPr>
          <w:sz w:val="22"/>
          <w:szCs w:val="22"/>
          <w:lang w:val="pt-PT"/>
        </w:rPr>
      </w:pPr>
    </w:p>
    <w:p w14:paraId="3E2F418E" w14:textId="77777777" w:rsidR="00CD7D15" w:rsidRPr="00016704" w:rsidRDefault="00CD7D15" w:rsidP="00D41A0C">
      <w:pPr>
        <w:rPr>
          <w:sz w:val="22"/>
          <w:szCs w:val="22"/>
          <w:lang w:val="pt-PT"/>
        </w:rPr>
      </w:pPr>
    </w:p>
    <w:p w14:paraId="0FAF4B8A" w14:textId="5577FBF9" w:rsidR="00A32113" w:rsidRPr="00016704" w:rsidRDefault="00A32113" w:rsidP="00291DAD">
      <w:pPr>
        <w:tabs>
          <w:tab w:val="left" w:pos="540"/>
          <w:tab w:val="left" w:pos="569"/>
        </w:tabs>
        <w:rPr>
          <w:b/>
          <w:bCs/>
          <w:sz w:val="22"/>
          <w:szCs w:val="22"/>
          <w:lang w:val="ru-RU"/>
        </w:rPr>
      </w:pPr>
      <w:r w:rsidRPr="00016704">
        <w:rPr>
          <w:b/>
          <w:bCs/>
          <w:sz w:val="22"/>
          <w:szCs w:val="22"/>
          <w:lang w:val="ru-RU"/>
        </w:rPr>
        <w:t xml:space="preserve">5. </w:t>
      </w:r>
      <w:r w:rsidR="00291DAD" w:rsidRPr="00016704">
        <w:rPr>
          <w:b/>
          <w:bCs/>
          <w:sz w:val="22"/>
          <w:szCs w:val="22"/>
          <w:lang w:val="sr-Latn-CS"/>
        </w:rPr>
        <w:tab/>
      </w:r>
      <w:r w:rsidRPr="00016704">
        <w:rPr>
          <w:b/>
          <w:bCs/>
          <w:sz w:val="22"/>
          <w:szCs w:val="22"/>
          <w:lang w:val="ru-RU"/>
        </w:rPr>
        <w:t xml:space="preserve">KAKO ČUVATI LIJEK </w:t>
      </w:r>
      <w:r w:rsidR="008D6168" w:rsidRPr="00016704">
        <w:rPr>
          <w:b/>
          <w:bCs/>
          <w:sz w:val="22"/>
          <w:szCs w:val="22"/>
          <w:lang w:val="ru-RU"/>
        </w:rPr>
        <w:t>ZERBAXA</w:t>
      </w:r>
    </w:p>
    <w:p w14:paraId="52F1B9DC" w14:textId="77777777" w:rsidR="00445D8F" w:rsidRPr="00016704" w:rsidRDefault="00445D8F" w:rsidP="00A32113">
      <w:pPr>
        <w:rPr>
          <w:sz w:val="22"/>
          <w:szCs w:val="22"/>
          <w:lang w:val="sr-Latn-CS"/>
        </w:rPr>
      </w:pPr>
    </w:p>
    <w:p w14:paraId="1E7406C3" w14:textId="77777777" w:rsidR="00991E7D" w:rsidRPr="00016704" w:rsidRDefault="008A7F7D" w:rsidP="00991E7D">
      <w:pPr>
        <w:numPr>
          <w:ilvl w:val="12"/>
          <w:numId w:val="0"/>
        </w:numPr>
        <w:tabs>
          <w:tab w:val="left" w:pos="720"/>
        </w:tabs>
        <w:ind w:right="-2"/>
        <w:rPr>
          <w:sz w:val="22"/>
          <w:szCs w:val="22"/>
          <w:lang w:val="sr-Latn-RS"/>
        </w:rPr>
      </w:pPr>
      <w:r w:rsidRPr="00016704">
        <w:rPr>
          <w:sz w:val="22"/>
          <w:szCs w:val="22"/>
          <w:lang w:val="sr-Latn-RS"/>
        </w:rPr>
        <w:t xml:space="preserve">Lijek čuvajte </w:t>
      </w:r>
      <w:r w:rsidR="00991E7D" w:rsidRPr="00016704">
        <w:rPr>
          <w:sz w:val="22"/>
          <w:szCs w:val="22"/>
          <w:lang w:val="sr-Latn-RS"/>
        </w:rPr>
        <w:t>van pogleda i domašaja djece.</w:t>
      </w:r>
    </w:p>
    <w:p w14:paraId="64343883" w14:textId="77777777" w:rsidR="00991E7D" w:rsidRPr="00016704" w:rsidRDefault="00991E7D" w:rsidP="00A32113">
      <w:pPr>
        <w:rPr>
          <w:sz w:val="22"/>
          <w:szCs w:val="22"/>
          <w:lang w:val="sr-Latn-RS"/>
        </w:rPr>
      </w:pPr>
    </w:p>
    <w:p w14:paraId="4268D2FB" w14:textId="0FDC2013" w:rsidR="00D01E45" w:rsidRPr="00016704" w:rsidRDefault="00D01E45" w:rsidP="00A92C66">
      <w:pPr>
        <w:numPr>
          <w:ilvl w:val="12"/>
          <w:numId w:val="0"/>
        </w:numPr>
        <w:tabs>
          <w:tab w:val="left" w:pos="720"/>
        </w:tabs>
        <w:ind w:right="-2"/>
        <w:rPr>
          <w:sz w:val="22"/>
          <w:szCs w:val="22"/>
          <w:lang w:val="sr-Latn-RS"/>
        </w:rPr>
      </w:pPr>
      <w:r w:rsidRPr="00016704">
        <w:rPr>
          <w:sz w:val="22"/>
          <w:szCs w:val="22"/>
          <w:lang w:val="sr-Latn-RS"/>
        </w:rPr>
        <w:t>Ovaj lijek se ne smije upotrijebiti nakon isteka roka upotrebe navedenog na kutiji</w:t>
      </w:r>
      <w:r w:rsidR="008D6168" w:rsidRPr="00016704">
        <w:rPr>
          <w:sz w:val="22"/>
          <w:szCs w:val="22"/>
          <w:lang w:val="sr-Latn-RS"/>
        </w:rPr>
        <w:t xml:space="preserve"> i </w:t>
      </w:r>
      <w:r w:rsidR="00654D96" w:rsidRPr="00016704">
        <w:rPr>
          <w:sz w:val="22"/>
          <w:szCs w:val="22"/>
          <w:lang w:val="sr-Latn-RS"/>
        </w:rPr>
        <w:t>bočici</w:t>
      </w:r>
      <w:r w:rsidR="00495A39" w:rsidRPr="00016704">
        <w:rPr>
          <w:sz w:val="22"/>
          <w:szCs w:val="22"/>
          <w:lang w:val="sr-Latn-RS"/>
        </w:rPr>
        <w:t>.</w:t>
      </w:r>
      <w:r w:rsidR="004B29EB" w:rsidRPr="00016704">
        <w:rPr>
          <w:sz w:val="22"/>
          <w:szCs w:val="22"/>
          <w:lang w:val="sr-Latn-RS"/>
        </w:rPr>
        <w:t xml:space="preserve"> </w:t>
      </w:r>
      <w:r w:rsidRPr="00016704">
        <w:rPr>
          <w:sz w:val="22"/>
          <w:szCs w:val="22"/>
          <w:lang w:val="sr-Latn-RS"/>
        </w:rPr>
        <w:t>Rok upotrebe odnosi se na poslednji dan navedenog mjeseca.</w:t>
      </w:r>
    </w:p>
    <w:p w14:paraId="4FD709B4" w14:textId="079C18FC" w:rsidR="008D6168" w:rsidRPr="00016704" w:rsidRDefault="008D6168" w:rsidP="00A92C66">
      <w:pPr>
        <w:numPr>
          <w:ilvl w:val="12"/>
          <w:numId w:val="0"/>
        </w:numPr>
        <w:tabs>
          <w:tab w:val="left" w:pos="720"/>
        </w:tabs>
        <w:ind w:right="-2"/>
        <w:rPr>
          <w:sz w:val="22"/>
          <w:szCs w:val="22"/>
          <w:lang w:val="sr-Latn-RS"/>
        </w:rPr>
      </w:pPr>
    </w:p>
    <w:p w14:paraId="74444885" w14:textId="34058037" w:rsidR="008D6168" w:rsidRPr="00016704" w:rsidRDefault="008D6168" w:rsidP="008D6168">
      <w:pPr>
        <w:numPr>
          <w:ilvl w:val="12"/>
          <w:numId w:val="0"/>
        </w:numPr>
        <w:tabs>
          <w:tab w:val="left" w:pos="720"/>
        </w:tabs>
        <w:ind w:right="-2"/>
        <w:rPr>
          <w:sz w:val="22"/>
          <w:szCs w:val="22"/>
          <w:lang w:val="sr-Latn-RS"/>
        </w:rPr>
      </w:pPr>
      <w:r w:rsidRPr="00016704">
        <w:rPr>
          <w:sz w:val="22"/>
          <w:szCs w:val="22"/>
          <w:lang w:val="sr-Latn-RS"/>
        </w:rPr>
        <w:t>Uslovi čuvanja pr</w:t>
      </w:r>
      <w:r w:rsidR="00C74333" w:rsidRPr="00016704">
        <w:rPr>
          <w:sz w:val="22"/>
          <w:szCs w:val="22"/>
          <w:lang w:val="sr-Latn-RS"/>
        </w:rPr>
        <w:t>ij</w:t>
      </w:r>
      <w:r w:rsidRPr="00016704">
        <w:rPr>
          <w:sz w:val="22"/>
          <w:szCs w:val="22"/>
          <w:lang w:val="sr-Latn-RS"/>
        </w:rPr>
        <w:t xml:space="preserve">e prvog otvaranja: </w:t>
      </w:r>
    </w:p>
    <w:p w14:paraId="7A9F1CBC" w14:textId="77777777" w:rsidR="008D6168" w:rsidRPr="00016704" w:rsidRDefault="008D6168" w:rsidP="008D6168">
      <w:pPr>
        <w:numPr>
          <w:ilvl w:val="12"/>
          <w:numId w:val="0"/>
        </w:numPr>
        <w:tabs>
          <w:tab w:val="left" w:pos="720"/>
        </w:tabs>
        <w:ind w:right="-2"/>
        <w:rPr>
          <w:sz w:val="22"/>
          <w:szCs w:val="22"/>
          <w:lang w:val="sr-Latn-RS"/>
        </w:rPr>
      </w:pPr>
      <w:r w:rsidRPr="00016704">
        <w:rPr>
          <w:sz w:val="22"/>
          <w:szCs w:val="22"/>
          <w:lang w:val="sr-Latn-RS"/>
        </w:rPr>
        <w:t xml:space="preserve">Čuvati u frižideru (na temperaturi od 2°C do 8°C). </w:t>
      </w:r>
    </w:p>
    <w:p w14:paraId="451E5367" w14:textId="77777777" w:rsidR="008D6168" w:rsidRPr="00016704" w:rsidRDefault="008D6168" w:rsidP="008D6168">
      <w:pPr>
        <w:numPr>
          <w:ilvl w:val="12"/>
          <w:numId w:val="0"/>
        </w:numPr>
        <w:tabs>
          <w:tab w:val="left" w:pos="720"/>
        </w:tabs>
        <w:ind w:right="-2"/>
        <w:rPr>
          <w:sz w:val="22"/>
          <w:szCs w:val="22"/>
          <w:lang w:val="sr-Latn-RS"/>
        </w:rPr>
      </w:pPr>
    </w:p>
    <w:p w14:paraId="0A771FD1" w14:textId="2514E527" w:rsidR="008D6168" w:rsidRPr="00016704" w:rsidRDefault="008D6168" w:rsidP="008D6168">
      <w:pPr>
        <w:numPr>
          <w:ilvl w:val="12"/>
          <w:numId w:val="0"/>
        </w:numPr>
        <w:tabs>
          <w:tab w:val="left" w:pos="720"/>
        </w:tabs>
        <w:ind w:right="-2"/>
        <w:rPr>
          <w:sz w:val="22"/>
          <w:szCs w:val="22"/>
          <w:lang w:val="sr-Latn-RS"/>
        </w:rPr>
      </w:pPr>
      <w:r w:rsidRPr="00016704">
        <w:rPr>
          <w:sz w:val="22"/>
          <w:szCs w:val="22"/>
          <w:lang w:val="sr-Latn-RS"/>
        </w:rPr>
        <w:t>Čuvati u originalnom pakovanju radi zaštite od svjetlosti.</w:t>
      </w:r>
    </w:p>
    <w:p w14:paraId="4A72B569" w14:textId="77777777" w:rsidR="00445D8F" w:rsidRPr="00016704" w:rsidRDefault="00445D8F" w:rsidP="00A92C66">
      <w:pPr>
        <w:rPr>
          <w:b/>
          <w:bCs/>
          <w:sz w:val="22"/>
          <w:szCs w:val="22"/>
          <w:lang w:val="sr-Latn-RS"/>
        </w:rPr>
      </w:pPr>
    </w:p>
    <w:p w14:paraId="2DA648E6" w14:textId="77777777" w:rsidR="00D01E45" w:rsidRPr="00016704" w:rsidRDefault="00D01E45" w:rsidP="00A92C66">
      <w:pPr>
        <w:rPr>
          <w:sz w:val="22"/>
          <w:szCs w:val="22"/>
          <w:lang w:val="sr-Latn-RS" w:eastAsia="hr-HR"/>
        </w:rPr>
      </w:pPr>
      <w:r w:rsidRPr="00016704">
        <w:rPr>
          <w:sz w:val="22"/>
          <w:szCs w:val="22"/>
          <w:lang w:val="sr-Latn-RS" w:eastAsia="hr-HR"/>
        </w:rPr>
        <w:t>Ljekove ne treba bacati u kanalizaciju, niti kućni otpad. Ove mjere pomažu očuvanju životne sredine.</w:t>
      </w:r>
    </w:p>
    <w:p w14:paraId="5F476B88" w14:textId="77777777" w:rsidR="00D01E45" w:rsidRPr="00016704" w:rsidRDefault="00D01E45" w:rsidP="00A92C66">
      <w:pPr>
        <w:rPr>
          <w:b/>
          <w:bCs/>
          <w:sz w:val="22"/>
          <w:szCs w:val="22"/>
          <w:lang w:val="sr-Latn-RS" w:eastAsia="hr-HR"/>
        </w:rPr>
      </w:pPr>
      <w:r w:rsidRPr="00016704">
        <w:rPr>
          <w:sz w:val="22"/>
          <w:szCs w:val="22"/>
          <w:lang w:val="sr-Latn-RS" w:eastAsia="hr-HR"/>
        </w:rPr>
        <w:t>Neupotrijebljeni lijek se uništava u skladu sa važećim propisima.</w:t>
      </w:r>
    </w:p>
    <w:p w14:paraId="51F5214A" w14:textId="51630E42" w:rsidR="00396B66" w:rsidRPr="00016704" w:rsidRDefault="00396B66" w:rsidP="00A32113">
      <w:pPr>
        <w:rPr>
          <w:bCs/>
          <w:sz w:val="22"/>
          <w:szCs w:val="22"/>
          <w:lang w:val="sr-Latn-CS"/>
        </w:rPr>
      </w:pPr>
    </w:p>
    <w:p w14:paraId="6026D2D7" w14:textId="77777777" w:rsidR="00CD7D15" w:rsidRPr="00016704" w:rsidRDefault="00CD7D15" w:rsidP="00A32113">
      <w:pPr>
        <w:rPr>
          <w:bCs/>
          <w:sz w:val="22"/>
          <w:szCs w:val="22"/>
          <w:lang w:val="sr-Latn-CS"/>
        </w:rPr>
      </w:pPr>
    </w:p>
    <w:p w14:paraId="440AE867" w14:textId="77777777" w:rsidR="00A32113" w:rsidRPr="00016704" w:rsidRDefault="00A32113" w:rsidP="00291DAD">
      <w:pPr>
        <w:tabs>
          <w:tab w:val="left" w:pos="540"/>
          <w:tab w:val="left" w:pos="569"/>
        </w:tabs>
        <w:rPr>
          <w:b/>
          <w:bCs/>
          <w:sz w:val="22"/>
          <w:szCs w:val="22"/>
          <w:lang w:val="sr-Latn-ME"/>
        </w:rPr>
      </w:pPr>
      <w:r w:rsidRPr="00016704">
        <w:rPr>
          <w:b/>
          <w:bCs/>
          <w:sz w:val="22"/>
          <w:szCs w:val="22"/>
          <w:lang w:val="ru-RU"/>
        </w:rPr>
        <w:t xml:space="preserve">6. </w:t>
      </w:r>
      <w:r w:rsidR="00291DAD" w:rsidRPr="00016704">
        <w:rPr>
          <w:b/>
          <w:bCs/>
          <w:sz w:val="22"/>
          <w:szCs w:val="22"/>
          <w:lang w:val="sr-Latn-CS"/>
        </w:rPr>
        <w:tab/>
      </w:r>
      <w:r w:rsidR="00326EEC" w:rsidRPr="00016704">
        <w:rPr>
          <w:b/>
          <w:bCs/>
          <w:sz w:val="22"/>
          <w:szCs w:val="22"/>
          <w:lang w:val="sr-Latn-CS"/>
        </w:rPr>
        <w:t xml:space="preserve">SADRŽAJ PAKOVANJA I </w:t>
      </w:r>
      <w:r w:rsidRPr="00016704">
        <w:rPr>
          <w:b/>
          <w:bCs/>
          <w:sz w:val="22"/>
          <w:szCs w:val="22"/>
          <w:lang w:val="ru-RU"/>
        </w:rPr>
        <w:t>DODATNE INFORMACIJE</w:t>
      </w:r>
      <w:r w:rsidR="00E06040" w:rsidRPr="00016704">
        <w:rPr>
          <w:b/>
          <w:bCs/>
          <w:sz w:val="22"/>
          <w:szCs w:val="22"/>
          <w:lang w:val="sr-Latn-ME"/>
        </w:rPr>
        <w:t xml:space="preserve"> </w:t>
      </w:r>
    </w:p>
    <w:p w14:paraId="71828D0F" w14:textId="77777777" w:rsidR="00445D8F" w:rsidRPr="00016704" w:rsidRDefault="00445D8F" w:rsidP="00A32113">
      <w:pPr>
        <w:rPr>
          <w:sz w:val="22"/>
          <w:szCs w:val="22"/>
          <w:lang w:val="pl-PL"/>
        </w:rPr>
      </w:pPr>
    </w:p>
    <w:p w14:paraId="386A69E4" w14:textId="75AC1229" w:rsidR="00445D8F" w:rsidRPr="00016704" w:rsidRDefault="00A32113" w:rsidP="00A32113">
      <w:pPr>
        <w:rPr>
          <w:b/>
          <w:sz w:val="22"/>
          <w:szCs w:val="22"/>
          <w:lang w:val="sr-Latn-RS"/>
        </w:rPr>
      </w:pPr>
      <w:r w:rsidRPr="00016704">
        <w:rPr>
          <w:b/>
          <w:bCs/>
          <w:sz w:val="22"/>
          <w:szCs w:val="22"/>
          <w:lang w:val="sr-Latn-RS"/>
        </w:rPr>
        <w:t xml:space="preserve">Šta sadrži lijek </w:t>
      </w:r>
      <w:r w:rsidR="008D6168" w:rsidRPr="00016704">
        <w:rPr>
          <w:b/>
          <w:bCs/>
          <w:sz w:val="22"/>
          <w:szCs w:val="22"/>
          <w:lang w:val="sr-Latn-RS"/>
        </w:rPr>
        <w:t>ZERBAXA</w:t>
      </w:r>
    </w:p>
    <w:p w14:paraId="656D29F7" w14:textId="77777777" w:rsidR="00326EEC" w:rsidRPr="00016704" w:rsidRDefault="00326EEC" w:rsidP="00A32113">
      <w:pPr>
        <w:rPr>
          <w:b/>
          <w:sz w:val="22"/>
          <w:szCs w:val="22"/>
          <w:lang w:val="sr-Latn-RS"/>
        </w:rPr>
      </w:pPr>
    </w:p>
    <w:p w14:paraId="27EFD647" w14:textId="31E488C6" w:rsidR="00326EEC" w:rsidRPr="00016704" w:rsidRDefault="00326EEC" w:rsidP="004B29EB">
      <w:pPr>
        <w:pStyle w:val="ListParagraph"/>
        <w:keepNext/>
        <w:numPr>
          <w:ilvl w:val="0"/>
          <w:numId w:val="28"/>
        </w:numPr>
        <w:tabs>
          <w:tab w:val="left" w:pos="720"/>
        </w:tabs>
        <w:ind w:right="-2"/>
        <w:rPr>
          <w:i/>
          <w:sz w:val="22"/>
          <w:szCs w:val="22"/>
          <w:lang w:val="sr-Latn-RS"/>
        </w:rPr>
      </w:pPr>
      <w:r w:rsidRPr="00016704">
        <w:rPr>
          <w:sz w:val="22"/>
          <w:szCs w:val="22"/>
          <w:lang w:val="sr-Latn-RS"/>
        </w:rPr>
        <w:t>Aktivn</w:t>
      </w:r>
      <w:r w:rsidR="008D6168" w:rsidRPr="00016704">
        <w:rPr>
          <w:sz w:val="22"/>
          <w:szCs w:val="22"/>
          <w:lang w:val="sr-Latn-RS"/>
        </w:rPr>
        <w:t xml:space="preserve">e </w:t>
      </w:r>
      <w:r w:rsidRPr="00016704">
        <w:rPr>
          <w:sz w:val="22"/>
          <w:szCs w:val="22"/>
          <w:lang w:val="sr-Latn-RS"/>
        </w:rPr>
        <w:t>supstanc</w:t>
      </w:r>
      <w:r w:rsidR="008D6168" w:rsidRPr="00016704">
        <w:rPr>
          <w:sz w:val="22"/>
          <w:szCs w:val="22"/>
          <w:lang w:val="sr-Latn-RS"/>
        </w:rPr>
        <w:t>e</w:t>
      </w:r>
      <w:r w:rsidRPr="00016704">
        <w:rPr>
          <w:sz w:val="22"/>
          <w:szCs w:val="22"/>
          <w:lang w:val="sr-Latn-RS"/>
        </w:rPr>
        <w:t xml:space="preserve"> su</w:t>
      </w:r>
      <w:r w:rsidR="008D6168" w:rsidRPr="00016704">
        <w:rPr>
          <w:sz w:val="22"/>
          <w:szCs w:val="22"/>
          <w:lang w:val="sr-Latn-RS"/>
        </w:rPr>
        <w:t>: ceftolozan i tazobaktam.</w:t>
      </w:r>
    </w:p>
    <w:p w14:paraId="6AA804A3" w14:textId="293607B5" w:rsidR="00753754" w:rsidRPr="00016704" w:rsidRDefault="00753754" w:rsidP="00753754">
      <w:pPr>
        <w:pStyle w:val="ListParagraph"/>
        <w:numPr>
          <w:ilvl w:val="0"/>
          <w:numId w:val="28"/>
        </w:numPr>
        <w:rPr>
          <w:iCs/>
          <w:sz w:val="22"/>
          <w:szCs w:val="22"/>
          <w:lang w:val="sr-Latn-RS"/>
        </w:rPr>
      </w:pPr>
      <w:r w:rsidRPr="00016704">
        <w:rPr>
          <w:iCs/>
          <w:sz w:val="22"/>
          <w:szCs w:val="22"/>
          <w:lang w:val="sr-Latn-RS"/>
        </w:rPr>
        <w:t>Jedna bočica sadrži 1 g ceftolozana (u obliku ceftolozan</w:t>
      </w:r>
      <w:r w:rsidR="001F7396" w:rsidRPr="00016704">
        <w:rPr>
          <w:iCs/>
          <w:sz w:val="22"/>
          <w:szCs w:val="22"/>
          <w:lang w:val="sr-Latn-RS"/>
        </w:rPr>
        <w:t xml:space="preserve"> </w:t>
      </w:r>
      <w:r w:rsidRPr="00016704">
        <w:rPr>
          <w:iCs/>
          <w:sz w:val="22"/>
          <w:szCs w:val="22"/>
          <w:lang w:val="sr-Latn-RS"/>
        </w:rPr>
        <w:t>sulfata) i 0,5 g tazobaktama (u obliku tazobaktam</w:t>
      </w:r>
      <w:r w:rsidR="001F7396" w:rsidRPr="00016704">
        <w:rPr>
          <w:iCs/>
          <w:sz w:val="22"/>
          <w:szCs w:val="22"/>
          <w:lang w:val="sr-Latn-RS"/>
        </w:rPr>
        <w:t xml:space="preserve"> </w:t>
      </w:r>
      <w:r w:rsidRPr="00016704">
        <w:rPr>
          <w:iCs/>
          <w:sz w:val="22"/>
          <w:szCs w:val="22"/>
          <w:lang w:val="sr-Latn-RS"/>
        </w:rPr>
        <w:t>natrijuma). Za doze preko 1 g ceftolozana i 0,5 g tazobaktama koriste se dvije bo</w:t>
      </w:r>
      <w:r w:rsidR="00100747" w:rsidRPr="00016704">
        <w:rPr>
          <w:iCs/>
          <w:sz w:val="22"/>
          <w:szCs w:val="22"/>
          <w:lang w:val="sr-Latn-RS"/>
        </w:rPr>
        <w:t>či</w:t>
      </w:r>
      <w:r w:rsidRPr="00016704">
        <w:rPr>
          <w:iCs/>
          <w:sz w:val="22"/>
          <w:szCs w:val="22"/>
          <w:lang w:val="sr-Latn-RS"/>
        </w:rPr>
        <w:t>ce.</w:t>
      </w:r>
    </w:p>
    <w:p w14:paraId="36FC2AB3" w14:textId="1060DB14" w:rsidR="00326EEC" w:rsidRPr="00016704" w:rsidRDefault="00326EEC" w:rsidP="004B29EB">
      <w:pPr>
        <w:pStyle w:val="ListParagraph"/>
        <w:keepNext/>
        <w:numPr>
          <w:ilvl w:val="0"/>
          <w:numId w:val="28"/>
        </w:numPr>
        <w:tabs>
          <w:tab w:val="left" w:pos="720"/>
        </w:tabs>
        <w:ind w:right="-2"/>
        <w:rPr>
          <w:sz w:val="22"/>
          <w:szCs w:val="22"/>
          <w:lang w:val="sr-Latn-RS"/>
        </w:rPr>
      </w:pPr>
      <w:r w:rsidRPr="00016704">
        <w:rPr>
          <w:sz w:val="22"/>
          <w:szCs w:val="22"/>
          <w:lang w:val="sr-Latn-RS"/>
        </w:rPr>
        <w:t>Pomoćn</w:t>
      </w:r>
      <w:r w:rsidR="008D6168" w:rsidRPr="00016704">
        <w:rPr>
          <w:sz w:val="22"/>
          <w:szCs w:val="22"/>
          <w:lang w:val="sr-Latn-RS"/>
        </w:rPr>
        <w:t>e</w:t>
      </w:r>
      <w:r w:rsidRPr="00016704">
        <w:rPr>
          <w:sz w:val="22"/>
          <w:szCs w:val="22"/>
          <w:lang w:val="sr-Latn-RS"/>
        </w:rPr>
        <w:t xml:space="preserve"> supstanc</w:t>
      </w:r>
      <w:r w:rsidR="008D6168" w:rsidRPr="00016704">
        <w:rPr>
          <w:sz w:val="22"/>
          <w:szCs w:val="22"/>
          <w:lang w:val="sr-Latn-RS"/>
        </w:rPr>
        <w:t>e</w:t>
      </w:r>
      <w:r w:rsidRPr="00016704">
        <w:rPr>
          <w:sz w:val="22"/>
          <w:szCs w:val="22"/>
          <w:lang w:val="sr-Latn-RS"/>
        </w:rPr>
        <w:t xml:space="preserve"> s</w:t>
      </w:r>
      <w:r w:rsidR="008D6168" w:rsidRPr="00016704">
        <w:rPr>
          <w:sz w:val="22"/>
          <w:szCs w:val="22"/>
          <w:lang w:val="sr-Latn-RS"/>
        </w:rPr>
        <w:t>u: natrijum</w:t>
      </w:r>
      <w:r w:rsidR="001F7396" w:rsidRPr="00016704">
        <w:rPr>
          <w:sz w:val="22"/>
          <w:szCs w:val="22"/>
          <w:lang w:val="sr-Latn-RS"/>
        </w:rPr>
        <w:t xml:space="preserve"> </w:t>
      </w:r>
      <w:r w:rsidR="008D6168" w:rsidRPr="00016704">
        <w:rPr>
          <w:sz w:val="22"/>
          <w:szCs w:val="22"/>
          <w:lang w:val="sr-Latn-RS"/>
        </w:rPr>
        <w:t>hlorid, arginin i limunska kiselina, bezvodna.</w:t>
      </w:r>
    </w:p>
    <w:p w14:paraId="02FEE4C1" w14:textId="77777777" w:rsidR="00326EEC" w:rsidRPr="00016704" w:rsidRDefault="00326EEC" w:rsidP="00A32113">
      <w:pPr>
        <w:rPr>
          <w:sz w:val="22"/>
          <w:szCs w:val="22"/>
          <w:lang w:val="sr-Latn-RS"/>
        </w:rPr>
      </w:pPr>
    </w:p>
    <w:p w14:paraId="079A7DC8" w14:textId="25BEC799" w:rsidR="00A32113" w:rsidRPr="00016704" w:rsidRDefault="00A32113" w:rsidP="00A32113">
      <w:pPr>
        <w:rPr>
          <w:b/>
          <w:sz w:val="22"/>
          <w:szCs w:val="22"/>
          <w:lang w:val="sr-Latn-RS"/>
        </w:rPr>
      </w:pPr>
      <w:r w:rsidRPr="00016704">
        <w:rPr>
          <w:b/>
          <w:sz w:val="22"/>
          <w:szCs w:val="22"/>
          <w:lang w:val="sr-Latn-RS"/>
        </w:rPr>
        <w:t xml:space="preserve">Kako izgleda lijek </w:t>
      </w:r>
      <w:r w:rsidR="00753754" w:rsidRPr="00016704">
        <w:rPr>
          <w:b/>
          <w:sz w:val="22"/>
          <w:szCs w:val="22"/>
          <w:lang w:val="sr-Latn-RS"/>
        </w:rPr>
        <w:t>ZERBAXA</w:t>
      </w:r>
      <w:r w:rsidRPr="00016704">
        <w:rPr>
          <w:b/>
          <w:sz w:val="22"/>
          <w:szCs w:val="22"/>
          <w:lang w:val="sr-Latn-RS"/>
        </w:rPr>
        <w:t xml:space="preserve"> i sadržaj pakovanja</w:t>
      </w:r>
    </w:p>
    <w:p w14:paraId="1AC6BC67" w14:textId="3CA5EE59" w:rsidR="00753754" w:rsidRPr="00016704" w:rsidRDefault="00753754" w:rsidP="00753754">
      <w:pPr>
        <w:rPr>
          <w:bCs/>
          <w:sz w:val="22"/>
          <w:szCs w:val="22"/>
          <w:lang w:val="sr-Latn-RS"/>
        </w:rPr>
      </w:pPr>
      <w:r w:rsidRPr="00016704">
        <w:rPr>
          <w:bCs/>
          <w:sz w:val="22"/>
          <w:szCs w:val="22"/>
          <w:lang w:val="sr-Latn-RS"/>
        </w:rPr>
        <w:t>Lijek ZERBAXA je bijeli do žućkasti prašak za koncentrat za rastvor za infuziju dostupan u bo</w:t>
      </w:r>
      <w:r w:rsidR="00370799" w:rsidRPr="00016704">
        <w:rPr>
          <w:bCs/>
          <w:sz w:val="22"/>
          <w:szCs w:val="22"/>
          <w:lang w:val="sr-Latn-RS"/>
        </w:rPr>
        <w:t>čici</w:t>
      </w:r>
      <w:r w:rsidRPr="00016704">
        <w:rPr>
          <w:bCs/>
          <w:sz w:val="22"/>
          <w:szCs w:val="22"/>
          <w:lang w:val="sr-Latn-RS"/>
        </w:rPr>
        <w:t>.</w:t>
      </w:r>
    </w:p>
    <w:p w14:paraId="55367E8E" w14:textId="77777777" w:rsidR="00753754" w:rsidRPr="00016704" w:rsidRDefault="00753754" w:rsidP="00753754">
      <w:pPr>
        <w:rPr>
          <w:bCs/>
          <w:sz w:val="22"/>
          <w:szCs w:val="22"/>
          <w:lang w:val="sr-Latn-RS"/>
        </w:rPr>
      </w:pPr>
    </w:p>
    <w:p w14:paraId="26A1DDD6" w14:textId="3920BF82" w:rsidR="00753754" w:rsidRPr="00016704" w:rsidRDefault="00753754" w:rsidP="00753754">
      <w:pPr>
        <w:rPr>
          <w:bCs/>
          <w:sz w:val="22"/>
          <w:szCs w:val="22"/>
          <w:lang w:val="sr-Latn-RS"/>
        </w:rPr>
      </w:pPr>
      <w:r w:rsidRPr="00016704">
        <w:rPr>
          <w:bCs/>
          <w:sz w:val="22"/>
          <w:szCs w:val="22"/>
          <w:lang w:val="sr-Latn-RS"/>
        </w:rPr>
        <w:t>Unutrašnje pakovanje je bo</w:t>
      </w:r>
      <w:r w:rsidR="00370799" w:rsidRPr="00016704">
        <w:rPr>
          <w:bCs/>
          <w:sz w:val="22"/>
          <w:szCs w:val="22"/>
          <w:lang w:val="sr-Latn-RS"/>
        </w:rPr>
        <w:t>čica</w:t>
      </w:r>
      <w:r w:rsidRPr="00016704">
        <w:rPr>
          <w:bCs/>
          <w:sz w:val="22"/>
          <w:szCs w:val="22"/>
          <w:lang w:val="sr-Latn-RS"/>
        </w:rPr>
        <w:t xml:space="preserve"> od 20</w:t>
      </w:r>
      <w:r w:rsidR="004166C4" w:rsidRPr="00016704">
        <w:rPr>
          <w:bCs/>
          <w:sz w:val="22"/>
          <w:szCs w:val="22"/>
          <w:lang w:val="sr-Latn-RS"/>
        </w:rPr>
        <w:t xml:space="preserve"> ml </w:t>
      </w:r>
      <w:r w:rsidRPr="00016704">
        <w:rPr>
          <w:bCs/>
          <w:sz w:val="22"/>
          <w:szCs w:val="22"/>
          <w:lang w:val="sr-Latn-RS"/>
        </w:rPr>
        <w:t>(providno staklo tipa I) sa čepom (bromobutilna guma) i zaštitnim zatvaračem.</w:t>
      </w:r>
    </w:p>
    <w:p w14:paraId="22FC0875" w14:textId="7817167B" w:rsidR="00753754" w:rsidRPr="00016704" w:rsidRDefault="00753754" w:rsidP="00753754">
      <w:pPr>
        <w:rPr>
          <w:bCs/>
          <w:sz w:val="22"/>
          <w:szCs w:val="22"/>
          <w:lang w:val="sr-Latn-RS"/>
        </w:rPr>
      </w:pPr>
      <w:r w:rsidRPr="00016704">
        <w:rPr>
          <w:bCs/>
          <w:sz w:val="22"/>
          <w:szCs w:val="22"/>
          <w:lang w:val="sr-Latn-RS"/>
        </w:rPr>
        <w:t>Spoljašnje pakovanje lijeka je složiva kartonska kutija u kojoj se nalazi 10 bo</w:t>
      </w:r>
      <w:r w:rsidR="00370799" w:rsidRPr="00016704">
        <w:rPr>
          <w:bCs/>
          <w:sz w:val="22"/>
          <w:szCs w:val="22"/>
          <w:lang w:val="sr-Latn-RS"/>
        </w:rPr>
        <w:t>čica</w:t>
      </w:r>
      <w:r w:rsidRPr="00016704">
        <w:rPr>
          <w:bCs/>
          <w:sz w:val="22"/>
          <w:szCs w:val="22"/>
          <w:lang w:val="sr-Latn-RS"/>
        </w:rPr>
        <w:t xml:space="preserve"> i Uputstvo za lijek.</w:t>
      </w:r>
    </w:p>
    <w:p w14:paraId="4CD827F1" w14:textId="77777777" w:rsidR="00445D8F" w:rsidRPr="00016704" w:rsidRDefault="00445D8F" w:rsidP="00A32113">
      <w:pPr>
        <w:rPr>
          <w:sz w:val="22"/>
          <w:szCs w:val="22"/>
          <w:lang w:val="sr-Latn-CS"/>
        </w:rPr>
      </w:pPr>
    </w:p>
    <w:p w14:paraId="1B81218F" w14:textId="0475CC76" w:rsidR="00A32113" w:rsidRPr="00016704" w:rsidRDefault="00A32113" w:rsidP="00A32113">
      <w:pPr>
        <w:rPr>
          <w:b/>
          <w:sz w:val="22"/>
          <w:szCs w:val="22"/>
          <w:lang w:val="sr-Latn-RS"/>
        </w:rPr>
      </w:pPr>
      <w:r w:rsidRPr="00016704">
        <w:rPr>
          <w:b/>
          <w:sz w:val="22"/>
          <w:szCs w:val="22"/>
          <w:lang w:val="sr-Latn-RS"/>
        </w:rPr>
        <w:t xml:space="preserve">Nosilac dozvole i </w:t>
      </w:r>
      <w:r w:rsidR="00C66783" w:rsidRPr="00016704">
        <w:rPr>
          <w:b/>
          <w:sz w:val="22"/>
          <w:szCs w:val="22"/>
          <w:lang w:val="sr-Latn-RS"/>
        </w:rPr>
        <w:t>p</w:t>
      </w:r>
      <w:r w:rsidRPr="00016704">
        <w:rPr>
          <w:b/>
          <w:sz w:val="22"/>
          <w:szCs w:val="22"/>
          <w:lang w:val="sr-Latn-RS"/>
        </w:rPr>
        <w:t>roizvođač</w:t>
      </w:r>
    </w:p>
    <w:p w14:paraId="46E353D1" w14:textId="77777777" w:rsidR="00370799" w:rsidRPr="00016704" w:rsidRDefault="00370799" w:rsidP="00753754">
      <w:pPr>
        <w:rPr>
          <w:bCs/>
          <w:sz w:val="22"/>
          <w:szCs w:val="22"/>
          <w:lang w:val="sr-Latn-RS"/>
        </w:rPr>
      </w:pPr>
    </w:p>
    <w:p w14:paraId="262DBC1A" w14:textId="3880F928" w:rsidR="00753754" w:rsidRPr="00016704" w:rsidRDefault="00753754" w:rsidP="00753754">
      <w:pPr>
        <w:rPr>
          <w:bCs/>
          <w:sz w:val="22"/>
          <w:szCs w:val="22"/>
          <w:lang w:val="sr-Latn-RS"/>
        </w:rPr>
      </w:pPr>
      <w:r w:rsidRPr="00016704">
        <w:rPr>
          <w:bCs/>
          <w:sz w:val="22"/>
          <w:szCs w:val="22"/>
          <w:lang w:val="sr-Latn-RS"/>
        </w:rPr>
        <w:t>Nosilac dozvole:</w:t>
      </w:r>
    </w:p>
    <w:p w14:paraId="12E3E6DF" w14:textId="77777777" w:rsidR="00370799" w:rsidRPr="00016704" w:rsidRDefault="00370799" w:rsidP="00370799">
      <w:pPr>
        <w:pStyle w:val="Default"/>
        <w:rPr>
          <w:sz w:val="22"/>
          <w:szCs w:val="22"/>
          <w:lang w:val="sr-Latn-RS"/>
        </w:rPr>
      </w:pPr>
      <w:r w:rsidRPr="00016704">
        <w:rPr>
          <w:sz w:val="22"/>
          <w:szCs w:val="22"/>
          <w:lang w:val="sr-Latn-RS"/>
        </w:rPr>
        <w:t xml:space="preserve">Glosarij d.o.o., </w:t>
      </w:r>
    </w:p>
    <w:p w14:paraId="52488D08" w14:textId="0459BA58" w:rsidR="00753754" w:rsidRPr="00016704" w:rsidRDefault="00370799" w:rsidP="00370799">
      <w:pPr>
        <w:rPr>
          <w:sz w:val="22"/>
          <w:szCs w:val="22"/>
          <w:lang w:val="sr-Latn-RS"/>
        </w:rPr>
      </w:pPr>
      <w:r w:rsidRPr="00016704">
        <w:rPr>
          <w:sz w:val="22"/>
          <w:szCs w:val="22"/>
          <w:lang w:val="sr-Latn-RS"/>
        </w:rPr>
        <w:t>Vojislavljevića 76, Podgorica, Crna Gora</w:t>
      </w:r>
    </w:p>
    <w:p w14:paraId="014E6B8F" w14:textId="77777777" w:rsidR="00370799" w:rsidRPr="00016704" w:rsidRDefault="00370799" w:rsidP="00370799">
      <w:pPr>
        <w:rPr>
          <w:bCs/>
          <w:sz w:val="22"/>
          <w:szCs w:val="22"/>
          <w:lang w:val="sr-Latn-RS"/>
        </w:rPr>
      </w:pPr>
    </w:p>
    <w:p w14:paraId="445756D4" w14:textId="77777777" w:rsidR="00753754" w:rsidRPr="00016704" w:rsidRDefault="00753754" w:rsidP="00753754">
      <w:pPr>
        <w:rPr>
          <w:bCs/>
          <w:sz w:val="22"/>
          <w:szCs w:val="22"/>
          <w:lang w:val="sr-Latn-RS"/>
        </w:rPr>
      </w:pPr>
      <w:r w:rsidRPr="00016704">
        <w:rPr>
          <w:bCs/>
          <w:sz w:val="22"/>
          <w:szCs w:val="22"/>
          <w:lang w:val="sr-Latn-RS"/>
        </w:rPr>
        <w:t>Proizvođač:</w:t>
      </w:r>
    </w:p>
    <w:p w14:paraId="363173DB" w14:textId="05271AA4" w:rsidR="00753754" w:rsidRPr="00016704" w:rsidRDefault="00753754" w:rsidP="00753754">
      <w:pPr>
        <w:rPr>
          <w:bCs/>
          <w:sz w:val="22"/>
          <w:szCs w:val="22"/>
          <w:lang w:val="sr-Latn-RS"/>
        </w:rPr>
      </w:pPr>
      <w:r w:rsidRPr="00016704">
        <w:rPr>
          <w:bCs/>
          <w:sz w:val="22"/>
          <w:szCs w:val="22"/>
          <w:lang w:val="sr-Latn-RS"/>
        </w:rPr>
        <w:t>F</w:t>
      </w:r>
      <w:r w:rsidR="009B7712" w:rsidRPr="00016704">
        <w:rPr>
          <w:bCs/>
          <w:sz w:val="22"/>
          <w:szCs w:val="22"/>
          <w:lang w:val="sr-Latn-RS"/>
        </w:rPr>
        <w:t>areva Mirabel</w:t>
      </w:r>
      <w:r w:rsidRPr="00016704">
        <w:rPr>
          <w:bCs/>
          <w:sz w:val="22"/>
          <w:szCs w:val="22"/>
          <w:lang w:val="sr-Latn-RS"/>
        </w:rPr>
        <w:t xml:space="preserve">, Route de Marsat, Riom, </w:t>
      </w:r>
      <w:r w:rsidR="009B7712" w:rsidRPr="00016704">
        <w:rPr>
          <w:bCs/>
          <w:sz w:val="22"/>
          <w:szCs w:val="22"/>
          <w:lang w:val="sr-Latn-RS"/>
        </w:rPr>
        <w:t xml:space="preserve">63963 </w:t>
      </w:r>
      <w:r w:rsidRPr="00016704">
        <w:rPr>
          <w:bCs/>
          <w:sz w:val="22"/>
          <w:szCs w:val="22"/>
          <w:lang w:val="sr-Latn-RS"/>
        </w:rPr>
        <w:t>Clermont-Ferrand,</w:t>
      </w:r>
      <w:r w:rsidR="009B7712" w:rsidRPr="00016704">
        <w:rPr>
          <w:bCs/>
          <w:sz w:val="22"/>
          <w:szCs w:val="22"/>
          <w:lang w:val="sr-Latn-RS"/>
        </w:rPr>
        <w:t xml:space="preserve"> Cedex 9,</w:t>
      </w:r>
      <w:r w:rsidRPr="00016704">
        <w:rPr>
          <w:bCs/>
          <w:sz w:val="22"/>
          <w:szCs w:val="22"/>
          <w:lang w:val="sr-Latn-RS"/>
        </w:rPr>
        <w:t xml:space="preserve"> Francuska</w:t>
      </w:r>
    </w:p>
    <w:p w14:paraId="43F12D69" w14:textId="77777777" w:rsidR="00445D8F" w:rsidRPr="00016704" w:rsidRDefault="00445D8F" w:rsidP="00A32113">
      <w:pPr>
        <w:rPr>
          <w:sz w:val="22"/>
          <w:szCs w:val="22"/>
          <w:lang w:val="sr-Latn-RS"/>
        </w:rPr>
      </w:pPr>
    </w:p>
    <w:p w14:paraId="1667F368" w14:textId="3AC33E90" w:rsidR="00A32113" w:rsidRPr="00016704" w:rsidRDefault="00A32113" w:rsidP="00A32113">
      <w:pPr>
        <w:rPr>
          <w:b/>
          <w:sz w:val="22"/>
          <w:szCs w:val="22"/>
          <w:lang w:val="sr-Latn-RS"/>
        </w:rPr>
      </w:pPr>
      <w:r w:rsidRPr="00016704">
        <w:rPr>
          <w:b/>
          <w:sz w:val="22"/>
          <w:szCs w:val="22"/>
          <w:lang w:val="sr-Latn-RS"/>
        </w:rPr>
        <w:t>Režim izdavanja lijeka</w:t>
      </w:r>
    </w:p>
    <w:p w14:paraId="595DCD42" w14:textId="46DF6B73" w:rsidR="00495A39" w:rsidRPr="00016704" w:rsidRDefault="00495A39" w:rsidP="00A32113">
      <w:pPr>
        <w:rPr>
          <w:bCs/>
          <w:sz w:val="22"/>
          <w:szCs w:val="22"/>
          <w:lang w:val="sr-Latn-RS"/>
        </w:rPr>
      </w:pPr>
      <w:r w:rsidRPr="00016704">
        <w:rPr>
          <w:bCs/>
          <w:sz w:val="22"/>
          <w:szCs w:val="22"/>
          <w:lang w:val="sr-Latn-RS"/>
        </w:rPr>
        <w:t>Lijek se izdaje samo na ljekarski recept.</w:t>
      </w:r>
    </w:p>
    <w:p w14:paraId="2CF1A397" w14:textId="77777777" w:rsidR="00445D8F" w:rsidRPr="00016704" w:rsidRDefault="00445D8F" w:rsidP="00A32113">
      <w:pPr>
        <w:rPr>
          <w:sz w:val="22"/>
          <w:szCs w:val="22"/>
          <w:lang w:val="sr-Latn-RS"/>
        </w:rPr>
      </w:pPr>
    </w:p>
    <w:p w14:paraId="4D1DA448" w14:textId="004EE533" w:rsidR="0067145B" w:rsidRDefault="00A32113" w:rsidP="00DB53F4">
      <w:pPr>
        <w:rPr>
          <w:b/>
          <w:sz w:val="22"/>
          <w:szCs w:val="22"/>
          <w:lang w:val="sr-Latn-RS"/>
        </w:rPr>
      </w:pPr>
      <w:r w:rsidRPr="00016704">
        <w:rPr>
          <w:b/>
          <w:sz w:val="22"/>
          <w:szCs w:val="22"/>
          <w:lang w:val="sr-Latn-RS"/>
        </w:rPr>
        <w:t>Broj i datum dozvole</w:t>
      </w:r>
    </w:p>
    <w:p w14:paraId="6DBB8E9F" w14:textId="70DE9D60" w:rsidR="00016704" w:rsidRDefault="00016704" w:rsidP="00DB53F4">
      <w:pPr>
        <w:rPr>
          <w:b/>
          <w:sz w:val="22"/>
          <w:szCs w:val="22"/>
          <w:lang w:val="sr-Latn-RS"/>
        </w:rPr>
      </w:pPr>
    </w:p>
    <w:p w14:paraId="27486F9A" w14:textId="7CB823A1" w:rsidR="00016704" w:rsidRPr="00016704" w:rsidRDefault="00016704" w:rsidP="00DB53F4">
      <w:pPr>
        <w:rPr>
          <w:sz w:val="22"/>
          <w:szCs w:val="22"/>
          <w:lang w:val="sr-Latn-RS"/>
        </w:rPr>
      </w:pPr>
      <w:bookmarkStart w:id="5" w:name="_GoBack"/>
      <w:r w:rsidRPr="00016704">
        <w:rPr>
          <w:sz w:val="22"/>
          <w:szCs w:val="22"/>
          <w:lang w:val="sr-Latn-RS"/>
        </w:rPr>
        <w:t xml:space="preserve">2030/23/3965 – 7522 od </w:t>
      </w:r>
      <w:r w:rsidRPr="00016704">
        <w:rPr>
          <w:sz w:val="22"/>
          <w:szCs w:val="22"/>
          <w:lang w:val="sr-Latn-RS" w:eastAsia="sr-Latn-ME"/>
        </w:rPr>
        <w:t>25.10.2023. godine</w:t>
      </w:r>
    </w:p>
    <w:bookmarkEnd w:id="5"/>
    <w:p w14:paraId="0534427D" w14:textId="5103D714" w:rsidR="00440196" w:rsidRPr="00016704" w:rsidRDefault="00440196" w:rsidP="00DB53F4">
      <w:pPr>
        <w:rPr>
          <w:b/>
          <w:sz w:val="22"/>
          <w:szCs w:val="22"/>
          <w:lang w:val="sr-Latn-RS"/>
        </w:rPr>
      </w:pPr>
    </w:p>
    <w:p w14:paraId="40E77134" w14:textId="54B8329C" w:rsidR="00440196" w:rsidRPr="00016704" w:rsidRDefault="00440196" w:rsidP="00440196">
      <w:pPr>
        <w:rPr>
          <w:b/>
          <w:sz w:val="22"/>
          <w:szCs w:val="22"/>
          <w:lang w:val="sr-Latn-RS"/>
        </w:rPr>
      </w:pPr>
      <w:r w:rsidRPr="00016704">
        <w:rPr>
          <w:b/>
          <w:sz w:val="22"/>
          <w:szCs w:val="22"/>
          <w:lang w:val="sr-Latn-RS"/>
        </w:rPr>
        <w:t>Ovo uputstvo je posljednji put odobreno</w:t>
      </w:r>
    </w:p>
    <w:p w14:paraId="397A5BF8" w14:textId="26271602" w:rsidR="00753754" w:rsidRPr="00016704" w:rsidRDefault="00753754" w:rsidP="00440196">
      <w:pPr>
        <w:rPr>
          <w:b/>
          <w:sz w:val="22"/>
          <w:szCs w:val="22"/>
          <w:lang w:val="sr-Latn-CS"/>
        </w:rPr>
      </w:pPr>
    </w:p>
    <w:p w14:paraId="44840732" w14:textId="6F150A45" w:rsidR="00753754" w:rsidRPr="00016704" w:rsidRDefault="00016704" w:rsidP="00440196">
      <w:pPr>
        <w:rPr>
          <w:sz w:val="22"/>
          <w:szCs w:val="22"/>
          <w:lang w:val="sr-Latn-CS"/>
        </w:rPr>
      </w:pPr>
      <w:r w:rsidRPr="00016704">
        <w:rPr>
          <w:sz w:val="22"/>
          <w:szCs w:val="22"/>
          <w:lang w:val="sr-Latn-CS"/>
        </w:rPr>
        <w:t>Oktobar, 2023. godine</w:t>
      </w:r>
    </w:p>
    <w:p w14:paraId="68D0B709" w14:textId="77777777" w:rsidR="00786210" w:rsidRPr="00016704" w:rsidRDefault="00786210" w:rsidP="00753754">
      <w:pPr>
        <w:rPr>
          <w:bCs/>
          <w:sz w:val="22"/>
          <w:szCs w:val="22"/>
          <w:lang w:val="sr-Latn-CS"/>
        </w:rPr>
      </w:pPr>
    </w:p>
    <w:p w14:paraId="78C8C2B1" w14:textId="77777777" w:rsidR="00786210" w:rsidRPr="00016704" w:rsidRDefault="00786210" w:rsidP="00753754">
      <w:pPr>
        <w:rPr>
          <w:bCs/>
          <w:sz w:val="22"/>
          <w:szCs w:val="22"/>
          <w:lang w:val="sr-Latn-CS"/>
        </w:rPr>
      </w:pPr>
    </w:p>
    <w:p w14:paraId="3A6AA735" w14:textId="2A0ABB86" w:rsidR="00753754" w:rsidRPr="00016704" w:rsidRDefault="00753754" w:rsidP="00753754">
      <w:pPr>
        <w:rPr>
          <w:bCs/>
          <w:sz w:val="22"/>
          <w:szCs w:val="22"/>
          <w:lang w:val="sr-Latn-CS"/>
        </w:rPr>
      </w:pPr>
      <w:r w:rsidRPr="00016704">
        <w:rPr>
          <w:bCs/>
          <w:sz w:val="22"/>
          <w:szCs w:val="22"/>
          <w:lang w:val="sr-Latn-CS"/>
        </w:rPr>
        <w:t>------------------------------------------------------------------------------------------------</w:t>
      </w:r>
    </w:p>
    <w:p w14:paraId="289D77D1" w14:textId="73674CC3" w:rsidR="00753754" w:rsidRPr="00016704" w:rsidRDefault="00753754" w:rsidP="00854BF0">
      <w:pPr>
        <w:jc w:val="both"/>
        <w:rPr>
          <w:bCs/>
          <w:sz w:val="22"/>
          <w:szCs w:val="22"/>
          <w:lang w:val="sr-Latn-CS"/>
        </w:rPr>
      </w:pPr>
      <w:r w:rsidRPr="00016704">
        <w:rPr>
          <w:bCs/>
          <w:sz w:val="22"/>
          <w:szCs w:val="22"/>
          <w:lang w:val="sr-Latn-CS"/>
        </w:rPr>
        <w:t>SLJEDEĆE INFORMACIJE NAM</w:t>
      </w:r>
      <w:r w:rsidR="003F1ECA" w:rsidRPr="00016704">
        <w:rPr>
          <w:bCs/>
          <w:sz w:val="22"/>
          <w:szCs w:val="22"/>
          <w:lang w:val="sr-Latn-CS"/>
        </w:rPr>
        <w:t>I</w:t>
      </w:r>
      <w:r w:rsidRPr="00016704">
        <w:rPr>
          <w:bCs/>
          <w:sz w:val="22"/>
          <w:szCs w:val="22"/>
          <w:lang w:val="sr-Latn-CS"/>
        </w:rPr>
        <w:t>JENJENE SU ISKLJUČIVO ZDRAVSTVENIM STRUČNJACIMA:</w:t>
      </w:r>
    </w:p>
    <w:p w14:paraId="3C0A656B" w14:textId="77777777" w:rsidR="00753754" w:rsidRPr="00016704" w:rsidRDefault="00753754" w:rsidP="00854BF0">
      <w:pPr>
        <w:jc w:val="both"/>
        <w:rPr>
          <w:bCs/>
          <w:sz w:val="22"/>
          <w:szCs w:val="22"/>
          <w:lang w:val="sr-Latn-CS"/>
        </w:rPr>
      </w:pPr>
    </w:p>
    <w:p w14:paraId="75E18133" w14:textId="77777777" w:rsidR="00753754" w:rsidRPr="00016704" w:rsidRDefault="00753754" w:rsidP="00854BF0">
      <w:pPr>
        <w:jc w:val="both"/>
        <w:rPr>
          <w:bCs/>
          <w:sz w:val="22"/>
          <w:szCs w:val="22"/>
          <w:u w:val="single"/>
          <w:lang w:val="sr-Latn-CS"/>
        </w:rPr>
      </w:pPr>
      <w:r w:rsidRPr="00016704">
        <w:rPr>
          <w:bCs/>
          <w:sz w:val="22"/>
          <w:szCs w:val="22"/>
          <w:u w:val="single"/>
          <w:lang w:val="sr-Latn-CS"/>
        </w:rPr>
        <w:t>Priprema rastvora</w:t>
      </w:r>
    </w:p>
    <w:p w14:paraId="67267EBB" w14:textId="77777777" w:rsidR="00753754" w:rsidRPr="00016704" w:rsidRDefault="00753754" w:rsidP="00854BF0">
      <w:pPr>
        <w:jc w:val="both"/>
        <w:rPr>
          <w:bCs/>
          <w:sz w:val="22"/>
          <w:szCs w:val="22"/>
          <w:lang w:val="sr-Latn-CS"/>
        </w:rPr>
      </w:pPr>
    </w:p>
    <w:p w14:paraId="4AD8B9DA" w14:textId="504E6189" w:rsidR="00753754" w:rsidRPr="00016704" w:rsidRDefault="00753754" w:rsidP="00854BF0">
      <w:pPr>
        <w:jc w:val="both"/>
        <w:rPr>
          <w:bCs/>
          <w:sz w:val="22"/>
          <w:szCs w:val="22"/>
          <w:lang w:val="sr-Latn-CS"/>
        </w:rPr>
      </w:pPr>
      <w:r w:rsidRPr="00016704">
        <w:rPr>
          <w:bCs/>
          <w:sz w:val="22"/>
          <w:szCs w:val="22"/>
          <w:lang w:val="sr-Latn-CS"/>
        </w:rPr>
        <w:t>Jedna bo</w:t>
      </w:r>
      <w:r w:rsidR="003F1ECA" w:rsidRPr="00016704">
        <w:rPr>
          <w:bCs/>
          <w:sz w:val="22"/>
          <w:szCs w:val="22"/>
          <w:lang w:val="sr-Latn-CS"/>
        </w:rPr>
        <w:t>či</w:t>
      </w:r>
      <w:r w:rsidRPr="00016704">
        <w:rPr>
          <w:bCs/>
          <w:sz w:val="22"/>
          <w:szCs w:val="22"/>
          <w:lang w:val="sr-Latn-CS"/>
        </w:rPr>
        <w:t>ca je samo za jednokratnu upotrebu.</w:t>
      </w:r>
    </w:p>
    <w:p w14:paraId="775ECBF0" w14:textId="77777777" w:rsidR="00753754" w:rsidRPr="00016704" w:rsidRDefault="00753754" w:rsidP="00854BF0">
      <w:pPr>
        <w:jc w:val="both"/>
        <w:rPr>
          <w:bCs/>
          <w:sz w:val="22"/>
          <w:szCs w:val="22"/>
          <w:lang w:val="sr-Latn-CS"/>
        </w:rPr>
      </w:pPr>
    </w:p>
    <w:p w14:paraId="0AC2BE09" w14:textId="77777777" w:rsidR="00753754" w:rsidRPr="00016704" w:rsidRDefault="00753754" w:rsidP="00854BF0">
      <w:pPr>
        <w:jc w:val="both"/>
        <w:rPr>
          <w:bCs/>
          <w:sz w:val="22"/>
          <w:szCs w:val="22"/>
          <w:lang w:val="sr-Latn-CS"/>
        </w:rPr>
      </w:pPr>
      <w:r w:rsidRPr="00016704">
        <w:rPr>
          <w:bCs/>
          <w:sz w:val="22"/>
          <w:szCs w:val="22"/>
          <w:lang w:val="sr-Latn-CS"/>
        </w:rPr>
        <w:t>Kod pripreme rastvora za infuziju obavezno se pridržavati aseptičnog postupka pripreme.</w:t>
      </w:r>
    </w:p>
    <w:p w14:paraId="6C011EE2" w14:textId="77777777" w:rsidR="00753754" w:rsidRPr="00016704" w:rsidRDefault="00753754" w:rsidP="00854BF0">
      <w:pPr>
        <w:jc w:val="both"/>
        <w:rPr>
          <w:bCs/>
          <w:sz w:val="22"/>
          <w:szCs w:val="22"/>
          <w:lang w:val="sr-Latn-CS"/>
        </w:rPr>
      </w:pPr>
    </w:p>
    <w:p w14:paraId="020AA61D" w14:textId="77777777" w:rsidR="00753754" w:rsidRPr="00016704" w:rsidRDefault="00753754" w:rsidP="00854BF0">
      <w:pPr>
        <w:jc w:val="both"/>
        <w:rPr>
          <w:bCs/>
          <w:sz w:val="22"/>
          <w:szCs w:val="22"/>
          <w:u w:val="single"/>
          <w:lang w:val="sr-Latn-CS"/>
        </w:rPr>
      </w:pPr>
      <w:r w:rsidRPr="00016704">
        <w:rPr>
          <w:bCs/>
          <w:sz w:val="22"/>
          <w:szCs w:val="22"/>
          <w:u w:val="single"/>
          <w:lang w:val="sr-Latn-CS"/>
        </w:rPr>
        <w:t>Priprema doza</w:t>
      </w:r>
    </w:p>
    <w:p w14:paraId="6D934A20" w14:textId="77777777" w:rsidR="00753754" w:rsidRPr="00016704" w:rsidRDefault="00753754" w:rsidP="00854BF0">
      <w:pPr>
        <w:jc w:val="both"/>
        <w:rPr>
          <w:bCs/>
          <w:sz w:val="22"/>
          <w:szCs w:val="22"/>
          <w:lang w:val="sr-Latn-CS"/>
        </w:rPr>
      </w:pPr>
    </w:p>
    <w:p w14:paraId="468F922E" w14:textId="4D9C3BB1" w:rsidR="00753754" w:rsidRPr="00016704" w:rsidRDefault="00753754" w:rsidP="00854BF0">
      <w:pPr>
        <w:jc w:val="both"/>
        <w:rPr>
          <w:bCs/>
          <w:sz w:val="22"/>
          <w:szCs w:val="22"/>
          <w:lang w:val="sr-Latn-CS"/>
        </w:rPr>
      </w:pPr>
      <w:r w:rsidRPr="00016704">
        <w:rPr>
          <w:bCs/>
          <w:sz w:val="22"/>
          <w:szCs w:val="22"/>
          <w:lang w:val="sr-Latn-CS"/>
        </w:rPr>
        <w:t>Prašak za koncentrat za rastvor za infuziju za jednu bo</w:t>
      </w:r>
      <w:r w:rsidR="00B66349" w:rsidRPr="00016704">
        <w:rPr>
          <w:bCs/>
          <w:sz w:val="22"/>
          <w:szCs w:val="22"/>
          <w:lang w:val="sr-Latn-CS"/>
        </w:rPr>
        <w:t>či</w:t>
      </w:r>
      <w:r w:rsidRPr="00016704">
        <w:rPr>
          <w:bCs/>
          <w:sz w:val="22"/>
          <w:szCs w:val="22"/>
          <w:lang w:val="sr-Latn-CS"/>
        </w:rPr>
        <w:t>cu se rekonstituiše sa 10</w:t>
      </w:r>
      <w:r w:rsidR="004166C4" w:rsidRPr="00016704">
        <w:rPr>
          <w:bCs/>
          <w:sz w:val="22"/>
          <w:szCs w:val="22"/>
          <w:lang w:val="sr-Latn-CS"/>
        </w:rPr>
        <w:t xml:space="preserve"> ml </w:t>
      </w:r>
      <w:r w:rsidRPr="00016704">
        <w:rPr>
          <w:bCs/>
          <w:sz w:val="22"/>
          <w:szCs w:val="22"/>
          <w:lang w:val="sr-Latn-CS"/>
        </w:rPr>
        <w:t>vode za injekcije ili rastvora za injekciju natrijum</w:t>
      </w:r>
      <w:r w:rsidR="009F0589" w:rsidRPr="00016704">
        <w:rPr>
          <w:bCs/>
          <w:sz w:val="22"/>
          <w:szCs w:val="22"/>
          <w:lang w:val="sr-Latn-CS"/>
        </w:rPr>
        <w:t xml:space="preserve"> </w:t>
      </w:r>
      <w:r w:rsidRPr="00016704">
        <w:rPr>
          <w:bCs/>
          <w:sz w:val="22"/>
          <w:szCs w:val="22"/>
          <w:lang w:val="sr-Latn-CS"/>
        </w:rPr>
        <w:t xml:space="preserve">hlorida od 9 </w:t>
      </w:r>
      <w:r w:rsidR="00DB34F0" w:rsidRPr="00016704">
        <w:rPr>
          <w:bCs/>
          <w:sz w:val="22"/>
          <w:szCs w:val="22"/>
          <w:lang w:val="sr-Latn-CS"/>
        </w:rPr>
        <w:t>mg/ml</w:t>
      </w:r>
      <w:r w:rsidR="00206CF1" w:rsidRPr="00016704">
        <w:rPr>
          <w:bCs/>
          <w:sz w:val="22"/>
          <w:szCs w:val="22"/>
          <w:lang w:val="sr-Latn-CS"/>
        </w:rPr>
        <w:t xml:space="preserve"> </w:t>
      </w:r>
      <w:r w:rsidRPr="00016704">
        <w:rPr>
          <w:bCs/>
          <w:sz w:val="22"/>
          <w:szCs w:val="22"/>
          <w:lang w:val="sr-Latn-CS"/>
        </w:rPr>
        <w:t xml:space="preserve"> (0,9%) po bo</w:t>
      </w:r>
      <w:r w:rsidR="00B66349" w:rsidRPr="00016704">
        <w:rPr>
          <w:bCs/>
          <w:sz w:val="22"/>
          <w:szCs w:val="22"/>
          <w:lang w:val="sr-Latn-CS"/>
        </w:rPr>
        <w:t>či</w:t>
      </w:r>
      <w:r w:rsidRPr="00016704">
        <w:rPr>
          <w:bCs/>
          <w:sz w:val="22"/>
          <w:szCs w:val="22"/>
          <w:lang w:val="sr-Latn-CS"/>
        </w:rPr>
        <w:t>ci; nakon rekonstitucije bo</w:t>
      </w:r>
      <w:r w:rsidR="00370799" w:rsidRPr="00016704">
        <w:rPr>
          <w:bCs/>
          <w:sz w:val="22"/>
          <w:szCs w:val="22"/>
          <w:lang w:val="sr-Latn-CS"/>
        </w:rPr>
        <w:t>čicu</w:t>
      </w:r>
      <w:r w:rsidRPr="00016704">
        <w:rPr>
          <w:bCs/>
          <w:sz w:val="22"/>
          <w:szCs w:val="22"/>
          <w:lang w:val="sr-Latn-CS"/>
        </w:rPr>
        <w:t xml:space="preserve"> treba n</w:t>
      </w:r>
      <w:r w:rsidR="009F0589" w:rsidRPr="00016704">
        <w:rPr>
          <w:bCs/>
          <w:sz w:val="22"/>
          <w:szCs w:val="22"/>
          <w:lang w:val="sr-Latn-CS"/>
        </w:rPr>
        <w:t>j</w:t>
      </w:r>
      <w:r w:rsidRPr="00016704">
        <w:rPr>
          <w:bCs/>
          <w:sz w:val="22"/>
          <w:szCs w:val="22"/>
          <w:lang w:val="sr-Latn-CS"/>
        </w:rPr>
        <w:t>ežno protresti kako bi se prašak rastvorio. Finalna zapremina iznosi približno 11,4</w:t>
      </w:r>
      <w:r w:rsidR="004166C4" w:rsidRPr="00016704">
        <w:rPr>
          <w:bCs/>
          <w:sz w:val="22"/>
          <w:szCs w:val="22"/>
          <w:lang w:val="sr-Latn-CS"/>
        </w:rPr>
        <w:t xml:space="preserve"> ml </w:t>
      </w:r>
      <w:r w:rsidRPr="00016704">
        <w:rPr>
          <w:bCs/>
          <w:sz w:val="22"/>
          <w:szCs w:val="22"/>
          <w:lang w:val="sr-Latn-CS"/>
        </w:rPr>
        <w:t>po bo</w:t>
      </w:r>
      <w:r w:rsidR="00370799" w:rsidRPr="00016704">
        <w:rPr>
          <w:bCs/>
          <w:sz w:val="22"/>
          <w:szCs w:val="22"/>
          <w:lang w:val="sr-Latn-CS"/>
        </w:rPr>
        <w:t>čici</w:t>
      </w:r>
      <w:r w:rsidRPr="00016704">
        <w:rPr>
          <w:bCs/>
          <w:sz w:val="22"/>
          <w:szCs w:val="22"/>
          <w:lang w:val="sr-Latn-CS"/>
        </w:rPr>
        <w:t>. Dobijena koncentracija je približno 132 mg</w:t>
      </w:r>
      <w:r w:rsidR="00206CF1" w:rsidRPr="00016704">
        <w:rPr>
          <w:bCs/>
          <w:sz w:val="22"/>
          <w:szCs w:val="22"/>
          <w:lang w:val="sr-Latn-CS"/>
        </w:rPr>
        <w:t xml:space="preserve">/ml </w:t>
      </w:r>
      <w:r w:rsidRPr="00016704">
        <w:rPr>
          <w:bCs/>
          <w:sz w:val="22"/>
          <w:szCs w:val="22"/>
          <w:lang w:val="sr-Latn-CS"/>
        </w:rPr>
        <w:t xml:space="preserve"> (88 </w:t>
      </w:r>
      <w:r w:rsidR="00DB34F0" w:rsidRPr="00016704">
        <w:rPr>
          <w:bCs/>
          <w:sz w:val="22"/>
          <w:szCs w:val="22"/>
          <w:lang w:val="sr-Latn-CS"/>
        </w:rPr>
        <w:t>mg/ml c</w:t>
      </w:r>
      <w:r w:rsidRPr="00016704">
        <w:rPr>
          <w:bCs/>
          <w:sz w:val="22"/>
          <w:szCs w:val="22"/>
          <w:lang w:val="sr-Latn-CS"/>
        </w:rPr>
        <w:t xml:space="preserve">eftolozana i 44 </w:t>
      </w:r>
      <w:r w:rsidR="00DB34F0" w:rsidRPr="00016704">
        <w:rPr>
          <w:bCs/>
          <w:sz w:val="22"/>
          <w:szCs w:val="22"/>
          <w:lang w:val="sr-Latn-CS"/>
        </w:rPr>
        <w:t xml:space="preserve">mg/ml </w:t>
      </w:r>
      <w:r w:rsidRPr="00016704">
        <w:rPr>
          <w:bCs/>
          <w:sz w:val="22"/>
          <w:szCs w:val="22"/>
          <w:lang w:val="sr-Latn-CS"/>
        </w:rPr>
        <w:t>tazobaktama) po bo</w:t>
      </w:r>
      <w:r w:rsidR="00370799" w:rsidRPr="00016704">
        <w:rPr>
          <w:bCs/>
          <w:sz w:val="22"/>
          <w:szCs w:val="22"/>
          <w:lang w:val="sr-Latn-CS"/>
        </w:rPr>
        <w:t>čici</w:t>
      </w:r>
      <w:r w:rsidRPr="00016704">
        <w:rPr>
          <w:bCs/>
          <w:sz w:val="22"/>
          <w:szCs w:val="22"/>
          <w:lang w:val="sr-Latn-CS"/>
        </w:rPr>
        <w:t>.</w:t>
      </w:r>
    </w:p>
    <w:p w14:paraId="0CE7D67D" w14:textId="77777777" w:rsidR="00753754" w:rsidRPr="00016704" w:rsidRDefault="00753754" w:rsidP="00854BF0">
      <w:pPr>
        <w:jc w:val="both"/>
        <w:rPr>
          <w:bCs/>
          <w:sz w:val="22"/>
          <w:szCs w:val="22"/>
          <w:lang w:val="sr-Latn-CS"/>
        </w:rPr>
      </w:pPr>
    </w:p>
    <w:p w14:paraId="351C42D7" w14:textId="14FFB5E2" w:rsidR="00753754" w:rsidRPr="00016704" w:rsidRDefault="00753754" w:rsidP="00854BF0">
      <w:pPr>
        <w:jc w:val="both"/>
        <w:rPr>
          <w:bCs/>
          <w:sz w:val="22"/>
          <w:szCs w:val="22"/>
          <w:lang w:val="sr-Latn-CS"/>
        </w:rPr>
      </w:pPr>
      <w:r w:rsidRPr="00016704">
        <w:rPr>
          <w:bCs/>
          <w:sz w:val="22"/>
          <w:szCs w:val="22"/>
          <w:lang w:val="sr-Latn-CS"/>
        </w:rPr>
        <w:t>PAŽNJA: REKONSTITUISANI RASTVOR NIJE NAM</w:t>
      </w:r>
      <w:r w:rsidR="00C74333" w:rsidRPr="00016704">
        <w:rPr>
          <w:bCs/>
          <w:sz w:val="22"/>
          <w:szCs w:val="22"/>
          <w:lang w:val="sr-Latn-CS"/>
        </w:rPr>
        <w:t>I</w:t>
      </w:r>
      <w:r w:rsidR="00F264C2" w:rsidRPr="00016704">
        <w:rPr>
          <w:bCs/>
          <w:sz w:val="22"/>
          <w:szCs w:val="22"/>
          <w:lang w:val="sr-Latn-CS"/>
        </w:rPr>
        <w:t>J</w:t>
      </w:r>
      <w:r w:rsidRPr="00016704">
        <w:rPr>
          <w:bCs/>
          <w:sz w:val="22"/>
          <w:szCs w:val="22"/>
          <w:lang w:val="sr-Latn-CS"/>
        </w:rPr>
        <w:t>ENJEN ZA DIREKTNO INJEKTOVANJE.</w:t>
      </w:r>
    </w:p>
    <w:p w14:paraId="183D0C3F" w14:textId="77777777" w:rsidR="00753754" w:rsidRPr="00016704" w:rsidRDefault="00753754" w:rsidP="00854BF0">
      <w:pPr>
        <w:jc w:val="both"/>
        <w:rPr>
          <w:bCs/>
          <w:sz w:val="22"/>
          <w:szCs w:val="22"/>
          <w:lang w:val="sr-Latn-CS"/>
        </w:rPr>
      </w:pPr>
    </w:p>
    <w:p w14:paraId="4C3C3F72" w14:textId="64CEF83D" w:rsidR="00753754" w:rsidRPr="00016704" w:rsidRDefault="00753754" w:rsidP="00854BF0">
      <w:pPr>
        <w:jc w:val="both"/>
        <w:rPr>
          <w:bCs/>
          <w:sz w:val="22"/>
          <w:szCs w:val="22"/>
          <w:lang w:val="sr-Latn-CS"/>
        </w:rPr>
      </w:pPr>
      <w:r w:rsidRPr="00016704">
        <w:rPr>
          <w:bCs/>
          <w:sz w:val="22"/>
          <w:szCs w:val="22"/>
          <w:lang w:val="sr-Latn-CS"/>
        </w:rPr>
        <w:t>Rastvor za infuziju l</w:t>
      </w:r>
      <w:r w:rsidR="00F264C2" w:rsidRPr="00016704">
        <w:rPr>
          <w:bCs/>
          <w:sz w:val="22"/>
          <w:szCs w:val="22"/>
          <w:lang w:val="sr-Latn-CS"/>
        </w:rPr>
        <w:t>ij</w:t>
      </w:r>
      <w:r w:rsidRPr="00016704">
        <w:rPr>
          <w:bCs/>
          <w:sz w:val="22"/>
          <w:szCs w:val="22"/>
          <w:lang w:val="sr-Latn-CS"/>
        </w:rPr>
        <w:t>eka ZERBAXA je bistar i bezbojan do sv</w:t>
      </w:r>
      <w:r w:rsidR="00C74333" w:rsidRPr="00016704">
        <w:rPr>
          <w:bCs/>
          <w:sz w:val="22"/>
          <w:szCs w:val="22"/>
          <w:lang w:val="sr-Latn-CS"/>
        </w:rPr>
        <w:t>ij</w:t>
      </w:r>
      <w:r w:rsidRPr="00016704">
        <w:rPr>
          <w:bCs/>
          <w:sz w:val="22"/>
          <w:szCs w:val="22"/>
          <w:lang w:val="sr-Latn-CS"/>
        </w:rPr>
        <w:t>etložute boje.</w:t>
      </w:r>
    </w:p>
    <w:p w14:paraId="3E5AC837" w14:textId="77777777" w:rsidR="00753754" w:rsidRPr="00016704" w:rsidRDefault="00753754" w:rsidP="00854BF0">
      <w:pPr>
        <w:jc w:val="both"/>
        <w:rPr>
          <w:bCs/>
          <w:sz w:val="22"/>
          <w:szCs w:val="22"/>
          <w:lang w:val="sr-Latn-CS"/>
        </w:rPr>
      </w:pPr>
    </w:p>
    <w:p w14:paraId="3BBFAA9E" w14:textId="004CF73B" w:rsidR="00753754" w:rsidRPr="00016704" w:rsidRDefault="00753754" w:rsidP="00854BF0">
      <w:pPr>
        <w:jc w:val="both"/>
        <w:rPr>
          <w:bCs/>
          <w:sz w:val="22"/>
          <w:szCs w:val="22"/>
          <w:lang w:val="sr-Latn-CS"/>
        </w:rPr>
      </w:pPr>
      <w:r w:rsidRPr="00016704">
        <w:rPr>
          <w:bCs/>
          <w:sz w:val="22"/>
          <w:szCs w:val="22"/>
          <w:lang w:val="sr-Latn-CS"/>
        </w:rPr>
        <w:t xml:space="preserve">Varijacije u boji unutar </w:t>
      </w:r>
      <w:r w:rsidR="00B66349" w:rsidRPr="00016704">
        <w:rPr>
          <w:bCs/>
          <w:sz w:val="22"/>
          <w:szCs w:val="22"/>
          <w:lang w:val="sr-Latn-CS"/>
        </w:rPr>
        <w:t>ov</w:t>
      </w:r>
      <w:r w:rsidRPr="00016704">
        <w:rPr>
          <w:bCs/>
          <w:sz w:val="22"/>
          <w:szCs w:val="22"/>
          <w:lang w:val="sr-Latn-CS"/>
        </w:rPr>
        <w:t>og raspona ne utiču na jačinu l</w:t>
      </w:r>
      <w:r w:rsidR="00F264C2" w:rsidRPr="00016704">
        <w:rPr>
          <w:bCs/>
          <w:sz w:val="22"/>
          <w:szCs w:val="22"/>
          <w:lang w:val="sr-Latn-CS"/>
        </w:rPr>
        <w:t>ij</w:t>
      </w:r>
      <w:r w:rsidRPr="00016704">
        <w:rPr>
          <w:bCs/>
          <w:sz w:val="22"/>
          <w:szCs w:val="22"/>
          <w:lang w:val="sr-Latn-CS"/>
        </w:rPr>
        <w:t xml:space="preserve">eka. </w:t>
      </w:r>
    </w:p>
    <w:p w14:paraId="1FD723B4" w14:textId="77777777" w:rsidR="00753754" w:rsidRPr="00016704" w:rsidRDefault="00753754" w:rsidP="00854BF0">
      <w:pPr>
        <w:jc w:val="both"/>
        <w:rPr>
          <w:bCs/>
          <w:sz w:val="22"/>
          <w:szCs w:val="22"/>
          <w:lang w:val="sr-Latn-CS"/>
        </w:rPr>
      </w:pPr>
    </w:p>
    <w:p w14:paraId="1B816152" w14:textId="3650072B" w:rsidR="00753754" w:rsidRPr="00016704" w:rsidRDefault="00753754" w:rsidP="00854BF0">
      <w:pPr>
        <w:jc w:val="both"/>
        <w:rPr>
          <w:bCs/>
          <w:sz w:val="22"/>
          <w:szCs w:val="22"/>
          <w:lang w:val="sr-Latn-CS"/>
        </w:rPr>
      </w:pPr>
      <w:r w:rsidRPr="00016704">
        <w:rPr>
          <w:bCs/>
          <w:sz w:val="22"/>
          <w:szCs w:val="22"/>
          <w:lang w:val="sr-Latn-CS"/>
        </w:rPr>
        <w:t>Nakon rekonstitucije i razblaživanja, dokazana je hemijska i fizička stabilnost l</w:t>
      </w:r>
      <w:r w:rsidR="00F264C2" w:rsidRPr="00016704">
        <w:rPr>
          <w:bCs/>
          <w:sz w:val="22"/>
          <w:szCs w:val="22"/>
          <w:lang w:val="sr-Latn-CS"/>
        </w:rPr>
        <w:t>ij</w:t>
      </w:r>
      <w:r w:rsidRPr="00016704">
        <w:rPr>
          <w:bCs/>
          <w:sz w:val="22"/>
          <w:szCs w:val="22"/>
          <w:lang w:val="sr-Latn-CS"/>
        </w:rPr>
        <w:t>eka za prim</w:t>
      </w:r>
      <w:r w:rsidR="00C74333" w:rsidRPr="00016704">
        <w:rPr>
          <w:bCs/>
          <w:sz w:val="22"/>
          <w:szCs w:val="22"/>
          <w:lang w:val="sr-Latn-CS"/>
        </w:rPr>
        <w:t>j</w:t>
      </w:r>
      <w:r w:rsidRPr="00016704">
        <w:rPr>
          <w:bCs/>
          <w:sz w:val="22"/>
          <w:szCs w:val="22"/>
          <w:lang w:val="sr-Latn-CS"/>
        </w:rPr>
        <w:t>enu tokom 24 sata na sobnoj temepraturi ili 4 dana na temperaturi od 2°C do 8°C. L</w:t>
      </w:r>
      <w:r w:rsidR="00F264C2" w:rsidRPr="00016704">
        <w:rPr>
          <w:bCs/>
          <w:sz w:val="22"/>
          <w:szCs w:val="22"/>
          <w:lang w:val="sr-Latn-CS"/>
        </w:rPr>
        <w:t>ij</w:t>
      </w:r>
      <w:r w:rsidRPr="00016704">
        <w:rPr>
          <w:bCs/>
          <w:sz w:val="22"/>
          <w:szCs w:val="22"/>
          <w:lang w:val="sr-Latn-CS"/>
        </w:rPr>
        <w:t>ek je fotosenzitivan i potrebno ga je zaštititi od sv</w:t>
      </w:r>
      <w:r w:rsidR="00F264C2" w:rsidRPr="00016704">
        <w:rPr>
          <w:bCs/>
          <w:sz w:val="22"/>
          <w:szCs w:val="22"/>
          <w:lang w:val="sr-Latn-CS"/>
        </w:rPr>
        <w:t>j</w:t>
      </w:r>
      <w:r w:rsidRPr="00016704">
        <w:rPr>
          <w:bCs/>
          <w:sz w:val="22"/>
          <w:szCs w:val="22"/>
          <w:lang w:val="sr-Latn-CS"/>
        </w:rPr>
        <w:t>etlosti kada se ne čuva u originalnom pakovanju.</w:t>
      </w:r>
    </w:p>
    <w:p w14:paraId="3D90F80B" w14:textId="77777777" w:rsidR="00753754" w:rsidRPr="00016704" w:rsidRDefault="00753754" w:rsidP="00854BF0">
      <w:pPr>
        <w:jc w:val="both"/>
        <w:rPr>
          <w:bCs/>
          <w:sz w:val="22"/>
          <w:szCs w:val="22"/>
          <w:lang w:val="sr-Latn-CS"/>
        </w:rPr>
      </w:pPr>
    </w:p>
    <w:p w14:paraId="7D888E64" w14:textId="025B6228" w:rsidR="00753754" w:rsidRPr="00016704" w:rsidRDefault="00753754" w:rsidP="00854BF0">
      <w:pPr>
        <w:jc w:val="both"/>
        <w:rPr>
          <w:bCs/>
          <w:sz w:val="22"/>
          <w:szCs w:val="22"/>
          <w:lang w:val="sr-Latn-CS"/>
        </w:rPr>
      </w:pPr>
      <w:r w:rsidRPr="00016704">
        <w:rPr>
          <w:bCs/>
          <w:sz w:val="22"/>
          <w:szCs w:val="22"/>
          <w:lang w:val="sr-Latn-CS"/>
        </w:rPr>
        <w:t>Vid</w:t>
      </w:r>
      <w:r w:rsidR="00C74333" w:rsidRPr="00016704">
        <w:rPr>
          <w:bCs/>
          <w:sz w:val="22"/>
          <w:szCs w:val="22"/>
          <w:lang w:val="sr-Latn-CS"/>
        </w:rPr>
        <w:t>j</w:t>
      </w:r>
      <w:r w:rsidRPr="00016704">
        <w:rPr>
          <w:bCs/>
          <w:sz w:val="22"/>
          <w:szCs w:val="22"/>
          <w:lang w:val="sr-Latn-CS"/>
        </w:rPr>
        <w:t xml:space="preserve">eti </w:t>
      </w:r>
      <w:r w:rsidR="00F264C2" w:rsidRPr="00016704">
        <w:rPr>
          <w:bCs/>
          <w:sz w:val="22"/>
          <w:szCs w:val="22"/>
          <w:lang w:val="sr-Latn-CS"/>
        </w:rPr>
        <w:t>dio</w:t>
      </w:r>
      <w:r w:rsidRPr="00016704">
        <w:rPr>
          <w:bCs/>
          <w:sz w:val="22"/>
          <w:szCs w:val="22"/>
          <w:lang w:val="sr-Latn-CS"/>
        </w:rPr>
        <w:t xml:space="preserve"> 4.2 Sažetka karakteristika l</w:t>
      </w:r>
      <w:r w:rsidR="00C74333" w:rsidRPr="00016704">
        <w:rPr>
          <w:bCs/>
          <w:sz w:val="22"/>
          <w:szCs w:val="22"/>
          <w:lang w:val="sr-Latn-CS"/>
        </w:rPr>
        <w:t>ij</w:t>
      </w:r>
      <w:r w:rsidRPr="00016704">
        <w:rPr>
          <w:bCs/>
          <w:sz w:val="22"/>
          <w:szCs w:val="22"/>
          <w:lang w:val="sr-Latn-CS"/>
        </w:rPr>
        <w:t>eka za preporučene režime doziranja l</w:t>
      </w:r>
      <w:r w:rsidR="00C74333" w:rsidRPr="00016704">
        <w:rPr>
          <w:bCs/>
          <w:sz w:val="22"/>
          <w:szCs w:val="22"/>
          <w:lang w:val="sr-Latn-CS"/>
        </w:rPr>
        <w:t>ij</w:t>
      </w:r>
      <w:r w:rsidRPr="00016704">
        <w:rPr>
          <w:bCs/>
          <w:sz w:val="22"/>
          <w:szCs w:val="22"/>
          <w:lang w:val="sr-Latn-CS"/>
        </w:rPr>
        <w:t>eka ZERBAXA na osnovu indikacije i funkcije bubrega. Priprema svake doze prikazana je u nastavku teksta.</w:t>
      </w:r>
    </w:p>
    <w:p w14:paraId="7ACB8EB5" w14:textId="77777777" w:rsidR="00753754" w:rsidRPr="00016704" w:rsidRDefault="00753754" w:rsidP="00854BF0">
      <w:pPr>
        <w:jc w:val="both"/>
        <w:rPr>
          <w:bCs/>
          <w:sz w:val="22"/>
          <w:szCs w:val="22"/>
          <w:lang w:val="sr-Latn-CS"/>
        </w:rPr>
      </w:pPr>
    </w:p>
    <w:p w14:paraId="6E2EA3AC" w14:textId="3E12E345" w:rsidR="00753754" w:rsidRPr="00016704" w:rsidRDefault="00753754" w:rsidP="00854BF0">
      <w:pPr>
        <w:jc w:val="both"/>
        <w:rPr>
          <w:bCs/>
          <w:sz w:val="22"/>
          <w:szCs w:val="22"/>
          <w:lang w:val="sr-Latn-CS"/>
        </w:rPr>
      </w:pPr>
      <w:r w:rsidRPr="00016704">
        <w:rPr>
          <w:bCs/>
          <w:sz w:val="22"/>
          <w:szCs w:val="22"/>
          <w:lang w:val="sr-Latn-CS"/>
        </w:rPr>
        <w:t>Uputstvo za pripremu doza za odrasle u INFUZIONOJ KESI</w:t>
      </w:r>
    </w:p>
    <w:p w14:paraId="0E49E94F" w14:textId="77777777" w:rsidR="00753754" w:rsidRPr="00016704" w:rsidRDefault="00753754" w:rsidP="00854BF0">
      <w:pPr>
        <w:jc w:val="both"/>
        <w:rPr>
          <w:bCs/>
          <w:sz w:val="22"/>
          <w:szCs w:val="22"/>
          <w:lang w:val="sr-Latn-CS"/>
        </w:rPr>
      </w:pPr>
    </w:p>
    <w:p w14:paraId="44883DDC" w14:textId="7DAAD67B" w:rsidR="00753754" w:rsidRPr="00016704" w:rsidRDefault="00753754" w:rsidP="00854BF0">
      <w:pPr>
        <w:jc w:val="both"/>
        <w:rPr>
          <w:bCs/>
          <w:sz w:val="22"/>
          <w:szCs w:val="22"/>
          <w:lang w:val="sr-Latn-CS"/>
        </w:rPr>
      </w:pPr>
      <w:r w:rsidRPr="00016704">
        <w:rPr>
          <w:bCs/>
          <w:sz w:val="22"/>
          <w:szCs w:val="22"/>
          <w:lang w:val="sr-Latn-CS"/>
        </w:rPr>
        <w:t>Za pripremu doze od 2 g ceftolozana/1 g tazobaktama: pomoću šprica izvucite sav rekonstituisani sadržaj iz dv</w:t>
      </w:r>
      <w:r w:rsidR="00C74333" w:rsidRPr="00016704">
        <w:rPr>
          <w:bCs/>
          <w:sz w:val="22"/>
          <w:szCs w:val="22"/>
          <w:lang w:val="sr-Latn-CS"/>
        </w:rPr>
        <w:t>ij</w:t>
      </w:r>
      <w:r w:rsidRPr="00016704">
        <w:rPr>
          <w:bCs/>
          <w:sz w:val="22"/>
          <w:szCs w:val="22"/>
          <w:lang w:val="sr-Latn-CS"/>
        </w:rPr>
        <w:t>e bočice (približno 11,4</w:t>
      </w:r>
      <w:r w:rsidR="004166C4" w:rsidRPr="00016704">
        <w:rPr>
          <w:bCs/>
          <w:sz w:val="22"/>
          <w:szCs w:val="22"/>
          <w:lang w:val="sr-Latn-CS"/>
        </w:rPr>
        <w:t xml:space="preserve"> ml </w:t>
      </w:r>
      <w:r w:rsidRPr="00016704">
        <w:rPr>
          <w:bCs/>
          <w:sz w:val="22"/>
          <w:szCs w:val="22"/>
          <w:lang w:val="sr-Latn-CS"/>
        </w:rPr>
        <w:t>po bočici) i dodajte ga u infuzionu kesu koja sadrži 100</w:t>
      </w:r>
      <w:r w:rsidR="004166C4" w:rsidRPr="00016704">
        <w:rPr>
          <w:bCs/>
          <w:sz w:val="22"/>
          <w:szCs w:val="22"/>
          <w:lang w:val="sr-Latn-CS"/>
        </w:rPr>
        <w:t xml:space="preserve"> ml </w:t>
      </w:r>
      <w:r w:rsidRPr="00016704">
        <w:rPr>
          <w:bCs/>
          <w:sz w:val="22"/>
          <w:szCs w:val="22"/>
          <w:lang w:val="sr-Latn-CS"/>
        </w:rPr>
        <w:lastRenderedPageBreak/>
        <w:t>0,9%-tnog rastvora za injekciju natrijum</w:t>
      </w:r>
      <w:r w:rsidR="009F0589" w:rsidRPr="00016704">
        <w:rPr>
          <w:bCs/>
          <w:sz w:val="22"/>
          <w:szCs w:val="22"/>
          <w:lang w:val="sr-Latn-CS"/>
        </w:rPr>
        <w:t xml:space="preserve"> </w:t>
      </w:r>
      <w:r w:rsidRPr="00016704">
        <w:rPr>
          <w:bCs/>
          <w:sz w:val="22"/>
          <w:szCs w:val="22"/>
          <w:lang w:val="sr-Latn-CS"/>
        </w:rPr>
        <w:t>hlorida (fiziološki rastvor) ili 5%-tnog rastvora za injekciju glukoze.</w:t>
      </w:r>
    </w:p>
    <w:p w14:paraId="39BA09AC" w14:textId="77777777" w:rsidR="00753754" w:rsidRPr="00016704" w:rsidRDefault="00753754" w:rsidP="00854BF0">
      <w:pPr>
        <w:jc w:val="both"/>
        <w:rPr>
          <w:bCs/>
          <w:sz w:val="22"/>
          <w:szCs w:val="22"/>
          <w:lang w:val="sr-Latn-CS"/>
        </w:rPr>
      </w:pPr>
    </w:p>
    <w:p w14:paraId="3111E2C7" w14:textId="1DF31D14" w:rsidR="00753754" w:rsidRPr="00016704" w:rsidRDefault="00753754" w:rsidP="00854BF0">
      <w:pPr>
        <w:jc w:val="both"/>
        <w:rPr>
          <w:bCs/>
          <w:sz w:val="22"/>
          <w:szCs w:val="22"/>
          <w:lang w:val="sr-Latn-CS"/>
        </w:rPr>
      </w:pPr>
      <w:r w:rsidRPr="00016704">
        <w:rPr>
          <w:bCs/>
          <w:sz w:val="22"/>
          <w:szCs w:val="22"/>
          <w:lang w:val="sr-Latn-CS"/>
        </w:rPr>
        <w:t>Za pripremu doze od 1,5 g ceftolozana/0,75 g tazobaktama: pomoću šprica izvucite sav rekonstituisani sadržaj iz jedne bočice (približno 11,4</w:t>
      </w:r>
      <w:r w:rsidR="004166C4" w:rsidRPr="00016704">
        <w:rPr>
          <w:bCs/>
          <w:sz w:val="22"/>
          <w:szCs w:val="22"/>
          <w:lang w:val="sr-Latn-CS"/>
        </w:rPr>
        <w:t xml:space="preserve"> ml </w:t>
      </w:r>
      <w:r w:rsidRPr="00016704">
        <w:rPr>
          <w:bCs/>
          <w:sz w:val="22"/>
          <w:szCs w:val="22"/>
          <w:lang w:val="sr-Latn-CS"/>
        </w:rPr>
        <w:t>po bočici) i 5,7</w:t>
      </w:r>
      <w:r w:rsidR="004166C4" w:rsidRPr="00016704">
        <w:rPr>
          <w:bCs/>
          <w:sz w:val="22"/>
          <w:szCs w:val="22"/>
          <w:lang w:val="sr-Latn-CS"/>
        </w:rPr>
        <w:t xml:space="preserve"> ml </w:t>
      </w:r>
      <w:r w:rsidRPr="00016704">
        <w:rPr>
          <w:bCs/>
          <w:sz w:val="22"/>
          <w:szCs w:val="22"/>
          <w:lang w:val="sr-Latn-CS"/>
        </w:rPr>
        <w:t>rekonstituisanog sadržaja iz druge bočice i dodajte ga u infuzionu kesu koja sadrži 100</w:t>
      </w:r>
      <w:r w:rsidR="004166C4" w:rsidRPr="00016704">
        <w:rPr>
          <w:bCs/>
          <w:sz w:val="22"/>
          <w:szCs w:val="22"/>
          <w:lang w:val="sr-Latn-CS"/>
        </w:rPr>
        <w:t xml:space="preserve"> ml </w:t>
      </w:r>
      <w:r w:rsidRPr="00016704">
        <w:rPr>
          <w:bCs/>
          <w:sz w:val="22"/>
          <w:szCs w:val="22"/>
          <w:lang w:val="sr-Latn-CS"/>
        </w:rPr>
        <w:t>0,9%-tnog rastvora za injekciju natrijum</w:t>
      </w:r>
      <w:r w:rsidR="009F0589" w:rsidRPr="00016704">
        <w:rPr>
          <w:bCs/>
          <w:sz w:val="22"/>
          <w:szCs w:val="22"/>
          <w:lang w:val="sr-Latn-CS"/>
        </w:rPr>
        <w:t xml:space="preserve"> </w:t>
      </w:r>
      <w:r w:rsidRPr="00016704">
        <w:rPr>
          <w:bCs/>
          <w:sz w:val="22"/>
          <w:szCs w:val="22"/>
          <w:lang w:val="sr-Latn-CS"/>
        </w:rPr>
        <w:t>hlorida (fiziološki rastvor) ili 5%-tnog rastvora za injekciju glukoze.</w:t>
      </w:r>
    </w:p>
    <w:p w14:paraId="1635B739" w14:textId="77777777" w:rsidR="00753754" w:rsidRPr="00016704" w:rsidRDefault="00753754" w:rsidP="00854BF0">
      <w:pPr>
        <w:jc w:val="both"/>
        <w:rPr>
          <w:bCs/>
          <w:sz w:val="22"/>
          <w:szCs w:val="22"/>
          <w:lang w:val="sr-Latn-CS"/>
        </w:rPr>
      </w:pPr>
    </w:p>
    <w:p w14:paraId="25C2D1C3" w14:textId="12AF4D6D" w:rsidR="00753754" w:rsidRPr="00016704" w:rsidRDefault="00753754" w:rsidP="00854BF0">
      <w:pPr>
        <w:jc w:val="both"/>
        <w:rPr>
          <w:bCs/>
          <w:sz w:val="22"/>
          <w:szCs w:val="22"/>
          <w:lang w:val="sr-Latn-CS"/>
        </w:rPr>
      </w:pPr>
      <w:r w:rsidRPr="00016704">
        <w:rPr>
          <w:bCs/>
          <w:sz w:val="22"/>
          <w:szCs w:val="22"/>
          <w:lang w:val="sr-Latn-CS"/>
        </w:rPr>
        <w:t>Za pripremu doze od 1 g ceftolozana/0,5 g tazobaktama: pomoću šprica izvucite sav rekonstituisani sadržaj (približno 11,4 m</w:t>
      </w:r>
      <w:r w:rsidR="00FE265D" w:rsidRPr="00016704">
        <w:rPr>
          <w:bCs/>
          <w:sz w:val="22"/>
          <w:szCs w:val="22"/>
          <w:lang w:val="sr-Latn-CS"/>
        </w:rPr>
        <w:t>l</w:t>
      </w:r>
      <w:r w:rsidRPr="00016704">
        <w:rPr>
          <w:bCs/>
          <w:sz w:val="22"/>
          <w:szCs w:val="22"/>
          <w:lang w:val="sr-Latn-CS"/>
        </w:rPr>
        <w:t>) iz bočice i dodajte ga u infuzionu kesu koja sadrži 100</w:t>
      </w:r>
      <w:r w:rsidR="004166C4" w:rsidRPr="00016704">
        <w:rPr>
          <w:bCs/>
          <w:sz w:val="22"/>
          <w:szCs w:val="22"/>
          <w:lang w:val="sr-Latn-CS"/>
        </w:rPr>
        <w:t xml:space="preserve"> ml </w:t>
      </w:r>
      <w:r w:rsidRPr="00016704">
        <w:rPr>
          <w:bCs/>
          <w:sz w:val="22"/>
          <w:szCs w:val="22"/>
          <w:lang w:val="sr-Latn-CS"/>
        </w:rPr>
        <w:t>0,9%-tnog rastvora za injekciju natrijum</w:t>
      </w:r>
      <w:r w:rsidR="009F0589" w:rsidRPr="00016704">
        <w:rPr>
          <w:bCs/>
          <w:sz w:val="22"/>
          <w:szCs w:val="22"/>
          <w:lang w:val="sr-Latn-CS"/>
        </w:rPr>
        <w:t xml:space="preserve"> </w:t>
      </w:r>
      <w:r w:rsidRPr="00016704">
        <w:rPr>
          <w:bCs/>
          <w:sz w:val="22"/>
          <w:szCs w:val="22"/>
          <w:lang w:val="sr-Latn-CS"/>
        </w:rPr>
        <w:t>hlorida (fiziološki rastvor) ili 5%-tnog rastvora za injekciju glukoze.</w:t>
      </w:r>
    </w:p>
    <w:p w14:paraId="3DF5E754" w14:textId="77777777" w:rsidR="00753754" w:rsidRPr="00016704" w:rsidRDefault="00753754" w:rsidP="00854BF0">
      <w:pPr>
        <w:jc w:val="both"/>
        <w:rPr>
          <w:bCs/>
          <w:sz w:val="22"/>
          <w:szCs w:val="22"/>
          <w:lang w:val="sr-Latn-CS"/>
        </w:rPr>
      </w:pPr>
    </w:p>
    <w:p w14:paraId="1DB851EB" w14:textId="6A3A1B2C" w:rsidR="00753754" w:rsidRPr="00016704" w:rsidRDefault="00753754" w:rsidP="00854BF0">
      <w:pPr>
        <w:jc w:val="both"/>
        <w:rPr>
          <w:bCs/>
          <w:sz w:val="22"/>
          <w:szCs w:val="22"/>
          <w:lang w:val="sr-Latn-CS"/>
        </w:rPr>
      </w:pPr>
      <w:r w:rsidRPr="00016704">
        <w:rPr>
          <w:bCs/>
          <w:sz w:val="22"/>
          <w:szCs w:val="22"/>
          <w:lang w:val="sr-Latn-CS"/>
        </w:rPr>
        <w:t>Za pripremu doze od 500 mg ceftolozana/250 mg tazobaktama: izvucite 5,7</w:t>
      </w:r>
      <w:r w:rsidR="004166C4" w:rsidRPr="00016704">
        <w:rPr>
          <w:bCs/>
          <w:sz w:val="22"/>
          <w:szCs w:val="22"/>
          <w:lang w:val="sr-Latn-CS"/>
        </w:rPr>
        <w:t xml:space="preserve"> ml </w:t>
      </w:r>
      <w:r w:rsidRPr="00016704">
        <w:rPr>
          <w:bCs/>
          <w:sz w:val="22"/>
          <w:szCs w:val="22"/>
          <w:lang w:val="sr-Latn-CS"/>
        </w:rPr>
        <w:t>rekonstituisanog sadržaja iz bo</w:t>
      </w:r>
      <w:r w:rsidR="00877ED5" w:rsidRPr="00016704">
        <w:rPr>
          <w:bCs/>
          <w:sz w:val="22"/>
          <w:szCs w:val="22"/>
          <w:lang w:val="sr-Latn-CS"/>
        </w:rPr>
        <w:t>či</w:t>
      </w:r>
      <w:r w:rsidRPr="00016704">
        <w:rPr>
          <w:bCs/>
          <w:sz w:val="22"/>
          <w:szCs w:val="22"/>
          <w:lang w:val="sr-Latn-CS"/>
        </w:rPr>
        <w:t>ce i dodajte ga u infuzionu kesu koja sadrži 100</w:t>
      </w:r>
      <w:r w:rsidR="004166C4" w:rsidRPr="00016704">
        <w:rPr>
          <w:bCs/>
          <w:sz w:val="22"/>
          <w:szCs w:val="22"/>
          <w:lang w:val="sr-Latn-CS"/>
        </w:rPr>
        <w:t xml:space="preserve"> ml </w:t>
      </w:r>
      <w:r w:rsidRPr="00016704">
        <w:rPr>
          <w:bCs/>
          <w:sz w:val="22"/>
          <w:szCs w:val="22"/>
          <w:lang w:val="sr-Latn-CS"/>
        </w:rPr>
        <w:t>0,9% tnog rastvora za injekciju natrijum</w:t>
      </w:r>
      <w:r w:rsidR="009F0589" w:rsidRPr="00016704">
        <w:rPr>
          <w:bCs/>
          <w:sz w:val="22"/>
          <w:szCs w:val="22"/>
          <w:lang w:val="sr-Latn-CS"/>
        </w:rPr>
        <w:t xml:space="preserve"> </w:t>
      </w:r>
      <w:r w:rsidRPr="00016704">
        <w:rPr>
          <w:bCs/>
          <w:sz w:val="22"/>
          <w:szCs w:val="22"/>
          <w:lang w:val="sr-Latn-CS"/>
        </w:rPr>
        <w:t>hlorida (fiziološki rastvor) ili 5% tnog rastvora za injekciju glukoze.</w:t>
      </w:r>
    </w:p>
    <w:p w14:paraId="432B5407" w14:textId="77777777" w:rsidR="00753754" w:rsidRPr="00016704" w:rsidRDefault="00753754" w:rsidP="00854BF0">
      <w:pPr>
        <w:jc w:val="both"/>
        <w:rPr>
          <w:bCs/>
          <w:sz w:val="22"/>
          <w:szCs w:val="22"/>
          <w:lang w:val="sr-Latn-CS"/>
        </w:rPr>
      </w:pPr>
    </w:p>
    <w:p w14:paraId="70435819" w14:textId="52315940" w:rsidR="00753754" w:rsidRPr="00016704" w:rsidRDefault="00753754" w:rsidP="00854BF0">
      <w:pPr>
        <w:jc w:val="both"/>
        <w:rPr>
          <w:bCs/>
          <w:sz w:val="22"/>
          <w:szCs w:val="22"/>
          <w:lang w:val="sr-Latn-CS"/>
        </w:rPr>
      </w:pPr>
      <w:r w:rsidRPr="00016704">
        <w:rPr>
          <w:bCs/>
          <w:sz w:val="22"/>
          <w:szCs w:val="22"/>
          <w:lang w:val="sr-Latn-CS"/>
        </w:rPr>
        <w:t>Za pripremu doze od 300 mg ceftolozana/150 mg tazobaktama: izvucite 3,5</w:t>
      </w:r>
      <w:r w:rsidR="004166C4" w:rsidRPr="00016704">
        <w:rPr>
          <w:bCs/>
          <w:sz w:val="22"/>
          <w:szCs w:val="22"/>
          <w:lang w:val="sr-Latn-CS"/>
        </w:rPr>
        <w:t xml:space="preserve"> ml </w:t>
      </w:r>
      <w:r w:rsidRPr="00016704">
        <w:rPr>
          <w:bCs/>
          <w:sz w:val="22"/>
          <w:szCs w:val="22"/>
          <w:lang w:val="sr-Latn-CS"/>
        </w:rPr>
        <w:t>rekonstituisanog sadržaja iz bo</w:t>
      </w:r>
      <w:r w:rsidR="00877ED5" w:rsidRPr="00016704">
        <w:rPr>
          <w:bCs/>
          <w:sz w:val="22"/>
          <w:szCs w:val="22"/>
          <w:lang w:val="sr-Latn-CS"/>
        </w:rPr>
        <w:t>či</w:t>
      </w:r>
      <w:r w:rsidRPr="00016704">
        <w:rPr>
          <w:bCs/>
          <w:sz w:val="22"/>
          <w:szCs w:val="22"/>
          <w:lang w:val="sr-Latn-CS"/>
        </w:rPr>
        <w:t>ce i dodajte ga u infuzionu kesu koja sadrži 100</w:t>
      </w:r>
      <w:r w:rsidR="004166C4" w:rsidRPr="00016704">
        <w:rPr>
          <w:bCs/>
          <w:sz w:val="22"/>
          <w:szCs w:val="22"/>
          <w:lang w:val="sr-Latn-CS"/>
        </w:rPr>
        <w:t xml:space="preserve"> ml </w:t>
      </w:r>
      <w:r w:rsidRPr="00016704">
        <w:rPr>
          <w:bCs/>
          <w:sz w:val="22"/>
          <w:szCs w:val="22"/>
          <w:lang w:val="sr-Latn-CS"/>
        </w:rPr>
        <w:t>0,9% tnog rastvora za injekciju natrijum</w:t>
      </w:r>
      <w:r w:rsidR="009F0589" w:rsidRPr="00016704">
        <w:rPr>
          <w:bCs/>
          <w:sz w:val="22"/>
          <w:szCs w:val="22"/>
          <w:lang w:val="sr-Latn-CS"/>
        </w:rPr>
        <w:t xml:space="preserve"> </w:t>
      </w:r>
      <w:r w:rsidRPr="00016704">
        <w:rPr>
          <w:bCs/>
          <w:sz w:val="22"/>
          <w:szCs w:val="22"/>
          <w:lang w:val="sr-Latn-CS"/>
        </w:rPr>
        <w:t>hlorida (fiziološki rastvor) ili 5% tnog rastvora za injekciju glukoze.</w:t>
      </w:r>
    </w:p>
    <w:p w14:paraId="6297A2D4" w14:textId="77777777" w:rsidR="00753754" w:rsidRPr="00016704" w:rsidRDefault="00753754" w:rsidP="00854BF0">
      <w:pPr>
        <w:jc w:val="both"/>
        <w:rPr>
          <w:bCs/>
          <w:sz w:val="22"/>
          <w:szCs w:val="22"/>
          <w:lang w:val="sr-Latn-CS"/>
        </w:rPr>
      </w:pPr>
    </w:p>
    <w:p w14:paraId="6E4E80A5" w14:textId="4A39C62A" w:rsidR="00753754" w:rsidRPr="00016704" w:rsidRDefault="00753754" w:rsidP="00854BF0">
      <w:pPr>
        <w:jc w:val="both"/>
        <w:rPr>
          <w:bCs/>
          <w:sz w:val="22"/>
          <w:szCs w:val="22"/>
          <w:lang w:val="sr-Latn-CS"/>
        </w:rPr>
      </w:pPr>
      <w:r w:rsidRPr="00016704">
        <w:rPr>
          <w:bCs/>
          <w:sz w:val="22"/>
          <w:szCs w:val="22"/>
          <w:lang w:val="sr-Latn-CS"/>
        </w:rPr>
        <w:t>Za pripremu doze od 250 mg ceftolozana/125 mg tazobaktama: izvucite 2,9</w:t>
      </w:r>
      <w:r w:rsidR="004166C4" w:rsidRPr="00016704">
        <w:rPr>
          <w:bCs/>
          <w:sz w:val="22"/>
          <w:szCs w:val="22"/>
          <w:lang w:val="sr-Latn-CS"/>
        </w:rPr>
        <w:t xml:space="preserve"> ml </w:t>
      </w:r>
      <w:r w:rsidRPr="00016704">
        <w:rPr>
          <w:bCs/>
          <w:sz w:val="22"/>
          <w:szCs w:val="22"/>
          <w:lang w:val="sr-Latn-CS"/>
        </w:rPr>
        <w:t>rekonstituisanog sadržaja iz bo</w:t>
      </w:r>
      <w:r w:rsidR="00877ED5" w:rsidRPr="00016704">
        <w:rPr>
          <w:bCs/>
          <w:sz w:val="22"/>
          <w:szCs w:val="22"/>
          <w:lang w:val="sr-Latn-CS"/>
        </w:rPr>
        <w:t>či</w:t>
      </w:r>
      <w:r w:rsidRPr="00016704">
        <w:rPr>
          <w:bCs/>
          <w:sz w:val="22"/>
          <w:szCs w:val="22"/>
          <w:lang w:val="sr-Latn-CS"/>
        </w:rPr>
        <w:t>ce i dodajte ga u infuzionu kesu koja sadrži 100</w:t>
      </w:r>
      <w:r w:rsidR="004166C4" w:rsidRPr="00016704">
        <w:rPr>
          <w:bCs/>
          <w:sz w:val="22"/>
          <w:szCs w:val="22"/>
          <w:lang w:val="sr-Latn-CS"/>
        </w:rPr>
        <w:t xml:space="preserve"> ml </w:t>
      </w:r>
      <w:r w:rsidRPr="00016704">
        <w:rPr>
          <w:bCs/>
          <w:sz w:val="22"/>
          <w:szCs w:val="22"/>
          <w:lang w:val="sr-Latn-CS"/>
        </w:rPr>
        <w:t>0,9% tnog rastvora za injekciju natrijum</w:t>
      </w:r>
      <w:r w:rsidR="009F0589" w:rsidRPr="00016704">
        <w:rPr>
          <w:bCs/>
          <w:sz w:val="22"/>
          <w:szCs w:val="22"/>
          <w:lang w:val="sr-Latn-CS"/>
        </w:rPr>
        <w:t xml:space="preserve"> </w:t>
      </w:r>
      <w:r w:rsidRPr="00016704">
        <w:rPr>
          <w:bCs/>
          <w:sz w:val="22"/>
          <w:szCs w:val="22"/>
          <w:lang w:val="sr-Latn-CS"/>
        </w:rPr>
        <w:t>hlorida (fiziološki rastvor) ili 5%-tnog rastvora za injekciju glukoze.</w:t>
      </w:r>
    </w:p>
    <w:p w14:paraId="54AA2DC8" w14:textId="77777777" w:rsidR="00753754" w:rsidRPr="00016704" w:rsidRDefault="00753754" w:rsidP="00854BF0">
      <w:pPr>
        <w:jc w:val="both"/>
        <w:rPr>
          <w:bCs/>
          <w:sz w:val="22"/>
          <w:szCs w:val="22"/>
          <w:lang w:val="sr-Latn-CS"/>
        </w:rPr>
      </w:pPr>
    </w:p>
    <w:p w14:paraId="1FAB249B" w14:textId="257411E6" w:rsidR="00753754" w:rsidRPr="00016704" w:rsidRDefault="00753754" w:rsidP="00854BF0">
      <w:pPr>
        <w:jc w:val="both"/>
        <w:rPr>
          <w:bCs/>
          <w:sz w:val="22"/>
          <w:szCs w:val="22"/>
          <w:lang w:val="sr-Latn-CS"/>
        </w:rPr>
      </w:pPr>
      <w:r w:rsidRPr="00016704">
        <w:rPr>
          <w:bCs/>
          <w:sz w:val="22"/>
          <w:szCs w:val="22"/>
          <w:lang w:val="sr-Latn-CS"/>
        </w:rPr>
        <w:t>Za pripremu doze od 100 mg ceftolozana/50 mg tazobaktama: izvucite 1,2</w:t>
      </w:r>
      <w:r w:rsidR="004166C4" w:rsidRPr="00016704">
        <w:rPr>
          <w:bCs/>
          <w:sz w:val="22"/>
          <w:szCs w:val="22"/>
          <w:lang w:val="sr-Latn-CS"/>
        </w:rPr>
        <w:t xml:space="preserve"> ml </w:t>
      </w:r>
      <w:r w:rsidRPr="00016704">
        <w:rPr>
          <w:bCs/>
          <w:sz w:val="22"/>
          <w:szCs w:val="22"/>
          <w:lang w:val="sr-Latn-CS"/>
        </w:rPr>
        <w:t>rekonstituisanog sadržaja iz bo</w:t>
      </w:r>
      <w:r w:rsidR="00877ED5" w:rsidRPr="00016704">
        <w:rPr>
          <w:bCs/>
          <w:sz w:val="22"/>
          <w:szCs w:val="22"/>
          <w:lang w:val="sr-Latn-CS"/>
        </w:rPr>
        <w:t>či</w:t>
      </w:r>
      <w:r w:rsidRPr="00016704">
        <w:rPr>
          <w:bCs/>
          <w:sz w:val="22"/>
          <w:szCs w:val="22"/>
          <w:lang w:val="sr-Latn-CS"/>
        </w:rPr>
        <w:t>ce i dodajte ga u infuzionu kesu koja sadrži 100</w:t>
      </w:r>
      <w:r w:rsidR="004166C4" w:rsidRPr="00016704">
        <w:rPr>
          <w:bCs/>
          <w:sz w:val="22"/>
          <w:szCs w:val="22"/>
          <w:lang w:val="sr-Latn-CS"/>
        </w:rPr>
        <w:t xml:space="preserve"> ml </w:t>
      </w:r>
      <w:r w:rsidRPr="00016704">
        <w:rPr>
          <w:bCs/>
          <w:sz w:val="22"/>
          <w:szCs w:val="22"/>
          <w:lang w:val="sr-Latn-CS"/>
        </w:rPr>
        <w:t>0,9%  tnog rastvora za injekciju natrijum</w:t>
      </w:r>
      <w:r w:rsidR="009F0589" w:rsidRPr="00016704">
        <w:rPr>
          <w:bCs/>
          <w:sz w:val="22"/>
          <w:szCs w:val="22"/>
          <w:lang w:val="sr-Latn-CS"/>
        </w:rPr>
        <w:t xml:space="preserve"> </w:t>
      </w:r>
      <w:r w:rsidRPr="00016704">
        <w:rPr>
          <w:bCs/>
          <w:sz w:val="22"/>
          <w:szCs w:val="22"/>
          <w:lang w:val="sr-Latn-CS"/>
        </w:rPr>
        <w:t>hlorida (fiziološki rastvor) ili 5%-tnog rastvora za injekciju glukoze.</w:t>
      </w:r>
    </w:p>
    <w:p w14:paraId="03A804B6" w14:textId="77777777" w:rsidR="00753754" w:rsidRPr="00016704" w:rsidRDefault="00753754" w:rsidP="00854BF0">
      <w:pPr>
        <w:jc w:val="both"/>
        <w:rPr>
          <w:bCs/>
          <w:sz w:val="22"/>
          <w:szCs w:val="22"/>
          <w:lang w:val="sr-Latn-CS"/>
        </w:rPr>
      </w:pPr>
    </w:p>
    <w:p w14:paraId="5FC968A5" w14:textId="77777777" w:rsidR="00753754" w:rsidRPr="00016704" w:rsidRDefault="00753754" w:rsidP="00854BF0">
      <w:pPr>
        <w:jc w:val="both"/>
        <w:rPr>
          <w:bCs/>
          <w:sz w:val="22"/>
          <w:szCs w:val="22"/>
          <w:u w:val="single"/>
          <w:lang w:val="sr-Latn-CS"/>
        </w:rPr>
      </w:pPr>
      <w:r w:rsidRPr="00016704">
        <w:rPr>
          <w:bCs/>
          <w:sz w:val="22"/>
          <w:szCs w:val="22"/>
          <w:u w:val="single"/>
          <w:lang w:val="sr-Latn-CS"/>
        </w:rPr>
        <w:t>Uputstvo za pripremu pedijatrijskih doza u INFUZIONOJ KESI ili u INFUZIONOM ŠPRICU:</w:t>
      </w:r>
    </w:p>
    <w:p w14:paraId="4CC07A6D" w14:textId="77777777" w:rsidR="00753754" w:rsidRPr="00016704" w:rsidRDefault="00753754" w:rsidP="00854BF0">
      <w:pPr>
        <w:jc w:val="both"/>
        <w:rPr>
          <w:bCs/>
          <w:sz w:val="22"/>
          <w:szCs w:val="22"/>
          <w:lang w:val="sr-Latn-CS"/>
        </w:rPr>
      </w:pPr>
    </w:p>
    <w:p w14:paraId="0F258470" w14:textId="70DF79D2" w:rsidR="00753754" w:rsidRPr="00016704" w:rsidRDefault="00753754" w:rsidP="00854BF0">
      <w:pPr>
        <w:jc w:val="both"/>
        <w:rPr>
          <w:bCs/>
          <w:sz w:val="22"/>
          <w:szCs w:val="22"/>
          <w:lang w:val="sr-Latn-CS"/>
        </w:rPr>
      </w:pPr>
      <w:r w:rsidRPr="00016704">
        <w:rPr>
          <w:bCs/>
          <w:sz w:val="22"/>
          <w:szCs w:val="22"/>
          <w:lang w:val="sr-Latn-CS"/>
        </w:rPr>
        <w:t>NAPOMENA: Sl</w:t>
      </w:r>
      <w:r w:rsidR="00C74333" w:rsidRPr="00016704">
        <w:rPr>
          <w:bCs/>
          <w:sz w:val="22"/>
          <w:szCs w:val="22"/>
          <w:lang w:val="sr-Latn-CS"/>
        </w:rPr>
        <w:t>j</w:t>
      </w:r>
      <w:r w:rsidRPr="00016704">
        <w:rPr>
          <w:bCs/>
          <w:sz w:val="22"/>
          <w:szCs w:val="22"/>
          <w:lang w:val="sr-Latn-CS"/>
        </w:rPr>
        <w:t>edeća procedura opisuje korake za pripremu 100</w:t>
      </w:r>
      <w:r w:rsidR="004166C4" w:rsidRPr="00016704">
        <w:rPr>
          <w:bCs/>
          <w:sz w:val="22"/>
          <w:szCs w:val="22"/>
          <w:lang w:val="sr-Latn-CS"/>
        </w:rPr>
        <w:t xml:space="preserve"> ml </w:t>
      </w:r>
      <w:r w:rsidRPr="00016704">
        <w:rPr>
          <w:bCs/>
          <w:sz w:val="22"/>
          <w:szCs w:val="22"/>
          <w:lang w:val="sr-Latn-CS"/>
        </w:rPr>
        <w:t xml:space="preserve">osnovnog rastvora sa konačnom koncentracijom od 10 </w:t>
      </w:r>
      <w:r w:rsidR="00DB34F0" w:rsidRPr="00016704">
        <w:rPr>
          <w:bCs/>
          <w:sz w:val="22"/>
          <w:szCs w:val="22"/>
          <w:lang w:val="sr-Latn-CS"/>
        </w:rPr>
        <w:t xml:space="preserve">mg/ml </w:t>
      </w:r>
      <w:r w:rsidRPr="00016704">
        <w:rPr>
          <w:bCs/>
          <w:sz w:val="22"/>
          <w:szCs w:val="22"/>
          <w:lang w:val="sr-Latn-CS"/>
        </w:rPr>
        <w:t xml:space="preserve">ceftolozana/ 5 </w:t>
      </w:r>
      <w:r w:rsidR="00DB34F0" w:rsidRPr="00016704">
        <w:rPr>
          <w:bCs/>
          <w:sz w:val="22"/>
          <w:szCs w:val="22"/>
          <w:lang w:val="sr-Latn-CS"/>
        </w:rPr>
        <w:t xml:space="preserve">mg/ml </w:t>
      </w:r>
      <w:r w:rsidRPr="00016704">
        <w:rPr>
          <w:bCs/>
          <w:sz w:val="22"/>
          <w:szCs w:val="22"/>
          <w:lang w:val="sr-Latn-CS"/>
        </w:rPr>
        <w:t>tazobaktama. Zapremina osnovnog rastvora koji se daje pedijatrijskom pacijentu će se zasnivati na izračunavanju odgovarajuće doze na osnovu težine pacijenta (vid</w:t>
      </w:r>
      <w:r w:rsidR="00C74333" w:rsidRPr="00016704">
        <w:rPr>
          <w:bCs/>
          <w:sz w:val="22"/>
          <w:szCs w:val="22"/>
          <w:lang w:val="sr-Latn-CS"/>
        </w:rPr>
        <w:t>j</w:t>
      </w:r>
      <w:r w:rsidRPr="00016704">
        <w:rPr>
          <w:bCs/>
          <w:sz w:val="22"/>
          <w:szCs w:val="22"/>
          <w:lang w:val="sr-Latn-CS"/>
        </w:rPr>
        <w:t xml:space="preserve">eti </w:t>
      </w:r>
      <w:r w:rsidR="00F264C2" w:rsidRPr="00016704">
        <w:rPr>
          <w:bCs/>
          <w:sz w:val="22"/>
          <w:szCs w:val="22"/>
          <w:lang w:val="sr-Latn-CS"/>
        </w:rPr>
        <w:t>dio</w:t>
      </w:r>
      <w:r w:rsidRPr="00016704">
        <w:rPr>
          <w:bCs/>
          <w:sz w:val="22"/>
          <w:szCs w:val="22"/>
          <w:lang w:val="sr-Latn-CS"/>
        </w:rPr>
        <w:t xml:space="preserve"> 4.2 Sažetka karakteristika l</w:t>
      </w:r>
      <w:r w:rsidR="00F264C2" w:rsidRPr="00016704">
        <w:rPr>
          <w:bCs/>
          <w:sz w:val="22"/>
          <w:szCs w:val="22"/>
          <w:lang w:val="sr-Latn-CS"/>
        </w:rPr>
        <w:t>ij</w:t>
      </w:r>
      <w:r w:rsidRPr="00016704">
        <w:rPr>
          <w:bCs/>
          <w:sz w:val="22"/>
          <w:szCs w:val="22"/>
          <w:lang w:val="sr-Latn-CS"/>
        </w:rPr>
        <w:t>eka). Dati su detaljni koraci i proračuni.</w:t>
      </w:r>
    </w:p>
    <w:p w14:paraId="2D567230" w14:textId="77777777" w:rsidR="00753754" w:rsidRPr="00016704" w:rsidRDefault="00753754" w:rsidP="00854BF0">
      <w:pPr>
        <w:jc w:val="both"/>
        <w:rPr>
          <w:bCs/>
          <w:sz w:val="22"/>
          <w:szCs w:val="22"/>
          <w:lang w:val="sr-Latn-CS"/>
        </w:rPr>
      </w:pPr>
    </w:p>
    <w:p w14:paraId="68676970" w14:textId="455C5F13" w:rsidR="00753754" w:rsidRPr="00016704" w:rsidRDefault="00753754" w:rsidP="00854BF0">
      <w:pPr>
        <w:pStyle w:val="ListParagraph"/>
        <w:numPr>
          <w:ilvl w:val="0"/>
          <w:numId w:val="30"/>
        </w:numPr>
        <w:jc w:val="both"/>
        <w:rPr>
          <w:bCs/>
          <w:sz w:val="22"/>
          <w:szCs w:val="22"/>
          <w:lang w:val="sr-Latn-CS"/>
        </w:rPr>
      </w:pPr>
      <w:r w:rsidRPr="00016704">
        <w:rPr>
          <w:bCs/>
          <w:sz w:val="22"/>
          <w:szCs w:val="22"/>
          <w:lang w:val="sr-Latn-CS"/>
        </w:rPr>
        <w:t>Priprema osnovnog rastvora (100</w:t>
      </w:r>
      <w:r w:rsidR="004166C4" w:rsidRPr="00016704">
        <w:rPr>
          <w:bCs/>
          <w:sz w:val="22"/>
          <w:szCs w:val="22"/>
          <w:lang w:val="sr-Latn-CS"/>
        </w:rPr>
        <w:t xml:space="preserve"> ml </w:t>
      </w:r>
      <w:r w:rsidRPr="00016704">
        <w:rPr>
          <w:bCs/>
          <w:sz w:val="22"/>
          <w:szCs w:val="22"/>
          <w:lang w:val="sr-Latn-CS"/>
        </w:rPr>
        <w:t xml:space="preserve">rastvora koji sadrži 10 </w:t>
      </w:r>
      <w:r w:rsidR="00DB34F0" w:rsidRPr="00016704">
        <w:rPr>
          <w:bCs/>
          <w:sz w:val="22"/>
          <w:szCs w:val="22"/>
          <w:lang w:val="sr-Latn-CS"/>
        </w:rPr>
        <w:t xml:space="preserve">mg/ml </w:t>
      </w:r>
      <w:r w:rsidRPr="00016704">
        <w:rPr>
          <w:bCs/>
          <w:sz w:val="22"/>
          <w:szCs w:val="22"/>
          <w:lang w:val="sr-Latn-CS"/>
        </w:rPr>
        <w:t xml:space="preserve">ceftolozana/5 </w:t>
      </w:r>
      <w:r w:rsidR="00DB34F0" w:rsidRPr="00016704">
        <w:rPr>
          <w:bCs/>
          <w:sz w:val="22"/>
          <w:szCs w:val="22"/>
          <w:lang w:val="sr-Latn-CS"/>
        </w:rPr>
        <w:t xml:space="preserve">mg/ml </w:t>
      </w:r>
      <w:r w:rsidRPr="00016704">
        <w:rPr>
          <w:bCs/>
          <w:sz w:val="22"/>
          <w:szCs w:val="22"/>
          <w:lang w:val="sr-Latn-CS"/>
        </w:rPr>
        <w:t>tazobaktama): Pomoću šprica izvucite sav rekonstituisani sadržaj iz bo</w:t>
      </w:r>
      <w:r w:rsidR="00370799" w:rsidRPr="00016704">
        <w:rPr>
          <w:bCs/>
          <w:sz w:val="22"/>
          <w:szCs w:val="22"/>
          <w:lang w:val="sr-Latn-CS"/>
        </w:rPr>
        <w:t>čice</w:t>
      </w:r>
      <w:r w:rsidRPr="00016704">
        <w:rPr>
          <w:bCs/>
          <w:sz w:val="22"/>
          <w:szCs w:val="22"/>
          <w:lang w:val="sr-Latn-CS"/>
        </w:rPr>
        <w:t xml:space="preserve"> (približno 11,4 m</w:t>
      </w:r>
      <w:r w:rsidR="00FE265D" w:rsidRPr="00016704">
        <w:rPr>
          <w:bCs/>
          <w:sz w:val="22"/>
          <w:szCs w:val="22"/>
          <w:lang w:val="sr-Latn-CS"/>
        </w:rPr>
        <w:t>l</w:t>
      </w:r>
      <w:r w:rsidRPr="00016704">
        <w:rPr>
          <w:bCs/>
          <w:sz w:val="22"/>
          <w:szCs w:val="22"/>
          <w:lang w:val="sr-Latn-CS"/>
        </w:rPr>
        <w:t>) i dodajte ga u infuzionu kesu koja sadrži 89</w:t>
      </w:r>
      <w:r w:rsidR="004166C4" w:rsidRPr="00016704">
        <w:rPr>
          <w:bCs/>
          <w:sz w:val="22"/>
          <w:szCs w:val="22"/>
          <w:lang w:val="sr-Latn-CS"/>
        </w:rPr>
        <w:t xml:space="preserve"> ml </w:t>
      </w:r>
      <w:r w:rsidRPr="00016704">
        <w:rPr>
          <w:bCs/>
          <w:sz w:val="22"/>
          <w:szCs w:val="22"/>
          <w:lang w:val="sr-Latn-CS"/>
        </w:rPr>
        <w:t>0,9%-tnog rastvora za injekciju natrijum</w:t>
      </w:r>
      <w:r w:rsidR="009F0589" w:rsidRPr="00016704">
        <w:rPr>
          <w:bCs/>
          <w:sz w:val="22"/>
          <w:szCs w:val="22"/>
          <w:lang w:val="sr-Latn-CS"/>
        </w:rPr>
        <w:t xml:space="preserve"> </w:t>
      </w:r>
      <w:r w:rsidRPr="00016704">
        <w:rPr>
          <w:bCs/>
          <w:sz w:val="22"/>
          <w:szCs w:val="22"/>
          <w:lang w:val="sr-Latn-CS"/>
        </w:rPr>
        <w:t>hlorida (fiziološki rastvor) ili 5%-tnog rastvora za injekciju glukoze.</w:t>
      </w:r>
    </w:p>
    <w:p w14:paraId="6244CAE6" w14:textId="2B4AFE17" w:rsidR="00753754" w:rsidRPr="00016704" w:rsidRDefault="00753754" w:rsidP="00854BF0">
      <w:pPr>
        <w:pStyle w:val="ListParagraph"/>
        <w:numPr>
          <w:ilvl w:val="0"/>
          <w:numId w:val="30"/>
        </w:numPr>
        <w:jc w:val="both"/>
        <w:rPr>
          <w:bCs/>
          <w:sz w:val="22"/>
          <w:szCs w:val="22"/>
          <w:lang w:val="sr-Latn-CS"/>
        </w:rPr>
      </w:pPr>
      <w:r w:rsidRPr="00016704">
        <w:rPr>
          <w:bCs/>
          <w:sz w:val="22"/>
          <w:szCs w:val="22"/>
          <w:lang w:val="sr-Latn-CS"/>
        </w:rPr>
        <w:t>Priprema potrebne količine osnovnog rastvora za infuziju:</w:t>
      </w:r>
    </w:p>
    <w:p w14:paraId="0428B1E6" w14:textId="21807E0F" w:rsidR="00753754" w:rsidRPr="00016704" w:rsidRDefault="00753754" w:rsidP="00854BF0">
      <w:pPr>
        <w:pStyle w:val="ListParagraph"/>
        <w:numPr>
          <w:ilvl w:val="1"/>
          <w:numId w:val="31"/>
        </w:numPr>
        <w:ind w:left="1440"/>
        <w:jc w:val="both"/>
        <w:rPr>
          <w:bCs/>
          <w:sz w:val="22"/>
          <w:szCs w:val="22"/>
          <w:lang w:val="sr-Latn-CS"/>
        </w:rPr>
      </w:pPr>
      <w:r w:rsidRPr="00016704">
        <w:rPr>
          <w:bCs/>
          <w:sz w:val="22"/>
          <w:szCs w:val="22"/>
          <w:lang w:val="sr-Latn-CS"/>
        </w:rPr>
        <w:t>Izračunajte odgovarajuću količinu l</w:t>
      </w:r>
      <w:r w:rsidR="00F264C2" w:rsidRPr="00016704">
        <w:rPr>
          <w:bCs/>
          <w:sz w:val="22"/>
          <w:szCs w:val="22"/>
          <w:lang w:val="sr-Latn-CS"/>
        </w:rPr>
        <w:t>ij</w:t>
      </w:r>
      <w:r w:rsidRPr="00016704">
        <w:rPr>
          <w:bCs/>
          <w:sz w:val="22"/>
          <w:szCs w:val="22"/>
          <w:lang w:val="sr-Latn-CS"/>
        </w:rPr>
        <w:t>eka ZERBAXA (u mg) za prim</w:t>
      </w:r>
      <w:r w:rsidR="00C74333" w:rsidRPr="00016704">
        <w:rPr>
          <w:bCs/>
          <w:sz w:val="22"/>
          <w:szCs w:val="22"/>
          <w:lang w:val="sr-Latn-CS"/>
        </w:rPr>
        <w:t>j</w:t>
      </w:r>
      <w:r w:rsidRPr="00016704">
        <w:rPr>
          <w:bCs/>
          <w:sz w:val="22"/>
          <w:szCs w:val="22"/>
          <w:lang w:val="sr-Latn-CS"/>
        </w:rPr>
        <w:t xml:space="preserve">enu potrebne doze pedijatrijskom pacijentu. Na osnovu doze u mg, izračunajte odgovarajuću zapreminu osnovnog rastvora od 10 </w:t>
      </w:r>
      <w:r w:rsidR="00DB34F0" w:rsidRPr="00016704">
        <w:rPr>
          <w:bCs/>
          <w:sz w:val="22"/>
          <w:szCs w:val="22"/>
          <w:lang w:val="sr-Latn-CS"/>
        </w:rPr>
        <w:t>mg/</w:t>
      </w:r>
      <w:r w:rsidR="00F84AAB" w:rsidRPr="00016704">
        <w:rPr>
          <w:bCs/>
          <w:sz w:val="22"/>
          <w:szCs w:val="22"/>
          <w:lang w:val="sr-Latn-CS"/>
        </w:rPr>
        <w:t xml:space="preserve">ml </w:t>
      </w:r>
      <w:r w:rsidRPr="00016704">
        <w:rPr>
          <w:bCs/>
          <w:sz w:val="22"/>
          <w:szCs w:val="22"/>
          <w:lang w:val="sr-Latn-CS"/>
        </w:rPr>
        <w:t xml:space="preserve">ceftolozana/5 </w:t>
      </w:r>
      <w:r w:rsidR="00DB34F0" w:rsidRPr="00016704">
        <w:rPr>
          <w:bCs/>
          <w:sz w:val="22"/>
          <w:szCs w:val="22"/>
          <w:lang w:val="sr-Latn-CS"/>
        </w:rPr>
        <w:t>mg/</w:t>
      </w:r>
      <w:r w:rsidR="00F84AAB" w:rsidRPr="00016704">
        <w:rPr>
          <w:bCs/>
          <w:sz w:val="22"/>
          <w:szCs w:val="22"/>
          <w:lang w:val="sr-Latn-CS"/>
        </w:rPr>
        <w:t xml:space="preserve">ml </w:t>
      </w:r>
      <w:r w:rsidRPr="00016704">
        <w:rPr>
          <w:bCs/>
          <w:sz w:val="22"/>
          <w:szCs w:val="22"/>
          <w:lang w:val="sr-Latn-CS"/>
        </w:rPr>
        <w:t>tazobaktama koja će se prim</w:t>
      </w:r>
      <w:r w:rsidR="00C74333" w:rsidRPr="00016704">
        <w:rPr>
          <w:bCs/>
          <w:sz w:val="22"/>
          <w:szCs w:val="22"/>
          <w:lang w:val="sr-Latn-CS"/>
        </w:rPr>
        <w:t>ij</w:t>
      </w:r>
      <w:r w:rsidRPr="00016704">
        <w:rPr>
          <w:bCs/>
          <w:sz w:val="22"/>
          <w:szCs w:val="22"/>
          <w:lang w:val="sr-Latn-CS"/>
        </w:rPr>
        <w:t>eniti. Vid</w:t>
      </w:r>
      <w:r w:rsidR="00C74333" w:rsidRPr="00016704">
        <w:rPr>
          <w:bCs/>
          <w:sz w:val="22"/>
          <w:szCs w:val="22"/>
          <w:lang w:val="sr-Latn-CS"/>
        </w:rPr>
        <w:t>j</w:t>
      </w:r>
      <w:r w:rsidRPr="00016704">
        <w:rPr>
          <w:bCs/>
          <w:sz w:val="22"/>
          <w:szCs w:val="22"/>
          <w:lang w:val="sr-Latn-CS"/>
        </w:rPr>
        <w:t xml:space="preserve">eti ispod tabelu </w:t>
      </w:r>
      <w:r w:rsidR="00ED1F0B" w:rsidRPr="00016704">
        <w:rPr>
          <w:bCs/>
          <w:sz w:val="22"/>
          <w:szCs w:val="22"/>
          <w:lang w:val="sr-Latn-CS"/>
        </w:rPr>
        <w:t>1</w:t>
      </w:r>
      <w:r w:rsidRPr="00016704">
        <w:rPr>
          <w:bCs/>
          <w:sz w:val="22"/>
          <w:szCs w:val="22"/>
          <w:lang w:val="sr-Latn-CS"/>
        </w:rPr>
        <w:t xml:space="preserve"> za potvrdu proračuna. Imajte u vidu da tabela NE sadrži sve moguće izračunate doze, ali se može koristiti za proc</w:t>
      </w:r>
      <w:r w:rsidR="00C74333" w:rsidRPr="00016704">
        <w:rPr>
          <w:bCs/>
          <w:sz w:val="22"/>
          <w:szCs w:val="22"/>
          <w:lang w:val="sr-Latn-CS"/>
        </w:rPr>
        <w:t>j</w:t>
      </w:r>
      <w:r w:rsidRPr="00016704">
        <w:rPr>
          <w:bCs/>
          <w:sz w:val="22"/>
          <w:szCs w:val="22"/>
          <w:lang w:val="sr-Latn-CS"/>
        </w:rPr>
        <w:t>enu približne zapremine kako bi se potvrdio proračun.</w:t>
      </w:r>
    </w:p>
    <w:p w14:paraId="283D7DF4" w14:textId="564D786E" w:rsidR="00753754" w:rsidRPr="00016704" w:rsidRDefault="00753754" w:rsidP="00854BF0">
      <w:pPr>
        <w:pStyle w:val="ListParagraph"/>
        <w:numPr>
          <w:ilvl w:val="1"/>
          <w:numId w:val="31"/>
        </w:numPr>
        <w:ind w:left="1440"/>
        <w:jc w:val="both"/>
        <w:rPr>
          <w:bCs/>
          <w:sz w:val="22"/>
          <w:szCs w:val="22"/>
          <w:lang w:val="sr-Latn-CS"/>
        </w:rPr>
      </w:pPr>
      <w:r w:rsidRPr="00016704">
        <w:rPr>
          <w:bCs/>
          <w:sz w:val="22"/>
          <w:szCs w:val="22"/>
          <w:lang w:val="sr-Latn-CS"/>
        </w:rPr>
        <w:t>Prenesite adekvatno izračunatu zapreminu osnovnog rastvora u infuzionu kesu ili infuzioni špric odgovarajuće veličine. Vr</w:t>
      </w:r>
      <w:r w:rsidR="00C74333" w:rsidRPr="00016704">
        <w:rPr>
          <w:bCs/>
          <w:sz w:val="22"/>
          <w:szCs w:val="22"/>
          <w:lang w:val="sr-Latn-CS"/>
        </w:rPr>
        <w:t>ij</w:t>
      </w:r>
      <w:r w:rsidRPr="00016704">
        <w:rPr>
          <w:bCs/>
          <w:sz w:val="22"/>
          <w:szCs w:val="22"/>
          <w:lang w:val="sr-Latn-CS"/>
        </w:rPr>
        <w:t xml:space="preserve">ednosti prikazane u tabeli </w:t>
      </w:r>
      <w:r w:rsidR="009F0589" w:rsidRPr="00016704">
        <w:rPr>
          <w:bCs/>
          <w:sz w:val="22"/>
          <w:szCs w:val="22"/>
          <w:lang w:val="sr-Latn-CS"/>
        </w:rPr>
        <w:t>1</w:t>
      </w:r>
      <w:r w:rsidRPr="00016704">
        <w:rPr>
          <w:bCs/>
          <w:sz w:val="22"/>
          <w:szCs w:val="22"/>
          <w:lang w:val="sr-Latn-CS"/>
        </w:rPr>
        <w:t xml:space="preserve"> su približne i možda će </w:t>
      </w:r>
      <w:r w:rsidR="00ED1F0B" w:rsidRPr="00016704">
        <w:rPr>
          <w:bCs/>
          <w:sz w:val="22"/>
          <w:szCs w:val="22"/>
          <w:lang w:val="sr-Latn-CS"/>
        </w:rPr>
        <w:t xml:space="preserve">u slučaju manjih zapremina </w:t>
      </w:r>
      <w:r w:rsidRPr="00016704">
        <w:rPr>
          <w:bCs/>
          <w:sz w:val="22"/>
          <w:szCs w:val="22"/>
          <w:lang w:val="sr-Latn-CS"/>
        </w:rPr>
        <w:t>biti potrebno zaokružiti ih na najbližu gradaciju šprica odgovarajuće veličine.</w:t>
      </w:r>
    </w:p>
    <w:p w14:paraId="3A31FC94" w14:textId="764D1D8D" w:rsidR="00786210" w:rsidRDefault="00786210" w:rsidP="00854BF0">
      <w:pPr>
        <w:jc w:val="both"/>
        <w:rPr>
          <w:bCs/>
          <w:sz w:val="22"/>
          <w:szCs w:val="22"/>
          <w:lang w:val="sr-Latn-CS"/>
        </w:rPr>
      </w:pPr>
    </w:p>
    <w:p w14:paraId="0773A8EE" w14:textId="2CDED6D3" w:rsidR="00016704" w:rsidRDefault="00016704" w:rsidP="00854BF0">
      <w:pPr>
        <w:jc w:val="both"/>
        <w:rPr>
          <w:bCs/>
          <w:sz w:val="22"/>
          <w:szCs w:val="22"/>
          <w:lang w:val="sr-Latn-CS"/>
        </w:rPr>
      </w:pPr>
    </w:p>
    <w:p w14:paraId="7BE43789" w14:textId="51D2B7A7" w:rsidR="00016704" w:rsidRDefault="00016704" w:rsidP="00854BF0">
      <w:pPr>
        <w:jc w:val="both"/>
        <w:rPr>
          <w:bCs/>
          <w:sz w:val="22"/>
          <w:szCs w:val="22"/>
          <w:lang w:val="sr-Latn-CS"/>
        </w:rPr>
      </w:pPr>
    </w:p>
    <w:p w14:paraId="1BDC7523" w14:textId="56437496" w:rsidR="00016704" w:rsidRDefault="00016704" w:rsidP="00854BF0">
      <w:pPr>
        <w:jc w:val="both"/>
        <w:rPr>
          <w:bCs/>
          <w:sz w:val="22"/>
          <w:szCs w:val="22"/>
          <w:lang w:val="sr-Latn-CS"/>
        </w:rPr>
      </w:pPr>
    </w:p>
    <w:p w14:paraId="74DC81D8" w14:textId="2A1FA5D3" w:rsidR="00016704" w:rsidRDefault="00016704" w:rsidP="00854BF0">
      <w:pPr>
        <w:jc w:val="both"/>
        <w:rPr>
          <w:bCs/>
          <w:sz w:val="22"/>
          <w:szCs w:val="22"/>
          <w:lang w:val="sr-Latn-CS"/>
        </w:rPr>
      </w:pPr>
    </w:p>
    <w:p w14:paraId="1B296B24" w14:textId="77777777" w:rsidR="00016704" w:rsidRPr="00016704" w:rsidRDefault="00016704" w:rsidP="00854BF0">
      <w:pPr>
        <w:jc w:val="both"/>
        <w:rPr>
          <w:bCs/>
          <w:sz w:val="22"/>
          <w:szCs w:val="22"/>
          <w:lang w:val="sr-Latn-CS"/>
        </w:rPr>
      </w:pPr>
    </w:p>
    <w:p w14:paraId="3BF27F35" w14:textId="118D7326" w:rsidR="00786210" w:rsidRPr="00016704" w:rsidRDefault="00786210" w:rsidP="00DF55F5">
      <w:pPr>
        <w:tabs>
          <w:tab w:val="left" w:pos="284"/>
          <w:tab w:val="center" w:pos="4536"/>
          <w:tab w:val="right" w:pos="9072"/>
        </w:tabs>
        <w:jc w:val="both"/>
        <w:rPr>
          <w:b/>
          <w:bCs/>
          <w:sz w:val="22"/>
          <w:szCs w:val="22"/>
          <w:lang w:val="hr-HR"/>
        </w:rPr>
      </w:pPr>
      <w:r w:rsidRPr="00016704">
        <w:rPr>
          <w:b/>
          <w:bCs/>
          <w:sz w:val="22"/>
          <w:szCs w:val="22"/>
          <w:lang w:val="hr-HR"/>
        </w:rPr>
        <w:lastRenderedPageBreak/>
        <w:t>Tabela 1: Priprema lijeka ZERBAXA za pedijatrijske pacijente (od rođenja* do uzrasta ispod 18 godina) iz osnovnog rastvora od 100</w:t>
      </w:r>
      <w:r w:rsidR="004166C4" w:rsidRPr="00016704">
        <w:rPr>
          <w:b/>
          <w:bCs/>
          <w:sz w:val="22"/>
          <w:szCs w:val="22"/>
          <w:lang w:val="hr-HR"/>
        </w:rPr>
        <w:t xml:space="preserve"> ml </w:t>
      </w:r>
      <w:r w:rsidRPr="00016704">
        <w:rPr>
          <w:b/>
          <w:bCs/>
          <w:sz w:val="22"/>
          <w:szCs w:val="22"/>
          <w:lang w:val="hr-HR"/>
        </w:rPr>
        <w:t xml:space="preserve">koji sadrži 10 </w:t>
      </w:r>
      <w:r w:rsidR="00DB34F0" w:rsidRPr="00016704">
        <w:rPr>
          <w:b/>
          <w:bCs/>
          <w:sz w:val="22"/>
          <w:szCs w:val="22"/>
          <w:lang w:val="hr-HR"/>
        </w:rPr>
        <w:t>mg/ml</w:t>
      </w:r>
      <w:r w:rsidRPr="00016704">
        <w:rPr>
          <w:b/>
          <w:bCs/>
          <w:sz w:val="22"/>
          <w:szCs w:val="22"/>
          <w:lang w:val="hr-HR"/>
        </w:rPr>
        <w:t xml:space="preserve"> ceftolozana / 5 </w:t>
      </w:r>
      <w:r w:rsidR="00DB34F0" w:rsidRPr="00016704">
        <w:rPr>
          <w:b/>
          <w:bCs/>
          <w:sz w:val="22"/>
          <w:szCs w:val="22"/>
          <w:lang w:val="hr-HR"/>
        </w:rPr>
        <w:t>mg/ml</w:t>
      </w:r>
      <w:r w:rsidR="00206CF1" w:rsidRPr="00016704">
        <w:rPr>
          <w:b/>
          <w:bCs/>
          <w:sz w:val="22"/>
          <w:szCs w:val="22"/>
          <w:lang w:val="hr-HR"/>
        </w:rPr>
        <w:t xml:space="preserve"> </w:t>
      </w:r>
      <w:r w:rsidRPr="00016704">
        <w:rPr>
          <w:b/>
          <w:bCs/>
          <w:sz w:val="22"/>
          <w:szCs w:val="22"/>
          <w:lang w:val="hr-HR"/>
        </w:rPr>
        <w:t xml:space="preserve"> tazobaktama</w:t>
      </w:r>
    </w:p>
    <w:tbl>
      <w:tblPr>
        <w:tblStyle w:val="TableGrid"/>
        <w:tblW w:w="5000" w:type="pct"/>
        <w:tblLook w:val="04A0" w:firstRow="1" w:lastRow="0" w:firstColumn="1" w:lastColumn="0" w:noHBand="0" w:noVBand="1"/>
      </w:tblPr>
      <w:tblGrid>
        <w:gridCol w:w="1887"/>
        <w:gridCol w:w="1792"/>
        <w:gridCol w:w="1794"/>
        <w:gridCol w:w="1794"/>
        <w:gridCol w:w="1794"/>
      </w:tblGrid>
      <w:tr w:rsidR="00786210" w:rsidRPr="00016704" w14:paraId="1A5F4737" w14:textId="77777777" w:rsidTr="008E07AE">
        <w:trPr>
          <w:cantSplit/>
          <w:trHeight w:val="1522"/>
          <w:tblHeader/>
        </w:trPr>
        <w:tc>
          <w:tcPr>
            <w:tcW w:w="1041" w:type="pct"/>
            <w:vAlign w:val="center"/>
          </w:tcPr>
          <w:p w14:paraId="6106E94C" w14:textId="39FE575C" w:rsidR="00786210" w:rsidRPr="00016704" w:rsidRDefault="00786210" w:rsidP="00786210">
            <w:pPr>
              <w:keepNext/>
              <w:tabs>
                <w:tab w:val="left" w:pos="284"/>
              </w:tabs>
              <w:jc w:val="center"/>
              <w:rPr>
                <w:b/>
                <w:bCs/>
                <w:sz w:val="22"/>
                <w:szCs w:val="22"/>
              </w:rPr>
            </w:pPr>
            <w:r w:rsidRPr="00016704">
              <w:rPr>
                <w:b/>
                <w:bCs/>
                <w:sz w:val="22"/>
                <w:szCs w:val="22"/>
              </w:rPr>
              <w:t>Doza lijeka ZERBAXA (mg/kg)</w:t>
            </w:r>
          </w:p>
        </w:tc>
        <w:tc>
          <w:tcPr>
            <w:tcW w:w="989" w:type="pct"/>
            <w:vAlign w:val="center"/>
          </w:tcPr>
          <w:p w14:paraId="6130E8AA" w14:textId="77777777" w:rsidR="00786210" w:rsidRPr="00016704" w:rsidRDefault="00786210" w:rsidP="00786210">
            <w:pPr>
              <w:keepNext/>
              <w:tabs>
                <w:tab w:val="left" w:pos="284"/>
              </w:tabs>
              <w:jc w:val="center"/>
              <w:rPr>
                <w:b/>
                <w:bCs/>
                <w:sz w:val="22"/>
                <w:szCs w:val="22"/>
              </w:rPr>
            </w:pPr>
            <w:r w:rsidRPr="00016704">
              <w:rPr>
                <w:b/>
                <w:bCs/>
                <w:sz w:val="22"/>
                <w:szCs w:val="22"/>
              </w:rPr>
              <w:t>Težina (kg)</w:t>
            </w:r>
          </w:p>
        </w:tc>
        <w:tc>
          <w:tcPr>
            <w:tcW w:w="990" w:type="pct"/>
            <w:vAlign w:val="center"/>
          </w:tcPr>
          <w:p w14:paraId="2C5ABCB7" w14:textId="77777777" w:rsidR="00786210" w:rsidRPr="00016704" w:rsidRDefault="00786210" w:rsidP="00786210">
            <w:pPr>
              <w:keepNext/>
              <w:tabs>
                <w:tab w:val="left" w:pos="284"/>
              </w:tabs>
              <w:jc w:val="center"/>
              <w:rPr>
                <w:b/>
                <w:bCs/>
                <w:sz w:val="22"/>
                <w:szCs w:val="22"/>
              </w:rPr>
            </w:pPr>
            <w:r w:rsidRPr="00016704">
              <w:rPr>
                <w:b/>
                <w:bCs/>
                <w:sz w:val="22"/>
                <w:szCs w:val="22"/>
              </w:rPr>
              <w:t>Izračunata količina ceftolozana (mg)</w:t>
            </w:r>
          </w:p>
        </w:tc>
        <w:tc>
          <w:tcPr>
            <w:tcW w:w="990" w:type="pct"/>
            <w:vAlign w:val="center"/>
          </w:tcPr>
          <w:p w14:paraId="30069518" w14:textId="77777777" w:rsidR="00786210" w:rsidRPr="00016704" w:rsidRDefault="00786210" w:rsidP="00786210">
            <w:pPr>
              <w:keepNext/>
              <w:tabs>
                <w:tab w:val="left" w:pos="284"/>
              </w:tabs>
              <w:jc w:val="center"/>
              <w:rPr>
                <w:b/>
                <w:bCs/>
                <w:sz w:val="22"/>
                <w:szCs w:val="22"/>
              </w:rPr>
            </w:pPr>
            <w:r w:rsidRPr="00016704">
              <w:rPr>
                <w:b/>
                <w:bCs/>
                <w:sz w:val="22"/>
                <w:szCs w:val="22"/>
              </w:rPr>
              <w:t>Izračunata količina tazobaktama (mg)</w:t>
            </w:r>
          </w:p>
        </w:tc>
        <w:tc>
          <w:tcPr>
            <w:tcW w:w="990" w:type="pct"/>
            <w:vAlign w:val="center"/>
          </w:tcPr>
          <w:p w14:paraId="079280AE" w14:textId="5C30EF87" w:rsidR="00786210" w:rsidRPr="00016704" w:rsidRDefault="00786210" w:rsidP="00786210">
            <w:pPr>
              <w:keepNext/>
              <w:tabs>
                <w:tab w:val="left" w:pos="284"/>
              </w:tabs>
              <w:jc w:val="center"/>
              <w:rPr>
                <w:b/>
                <w:bCs/>
                <w:sz w:val="22"/>
                <w:szCs w:val="22"/>
              </w:rPr>
            </w:pPr>
            <w:r w:rsidRPr="00016704">
              <w:rPr>
                <w:b/>
                <w:bCs/>
                <w:sz w:val="22"/>
                <w:szCs w:val="22"/>
              </w:rPr>
              <w:t>Zapremina osnovnog rastvora za davanje pacijentu (m</w:t>
            </w:r>
            <w:r w:rsidR="00FE265D" w:rsidRPr="00016704">
              <w:rPr>
                <w:b/>
                <w:bCs/>
                <w:sz w:val="22"/>
                <w:szCs w:val="22"/>
              </w:rPr>
              <w:t>l</w:t>
            </w:r>
            <w:r w:rsidRPr="00016704">
              <w:rPr>
                <w:b/>
                <w:bCs/>
                <w:sz w:val="22"/>
                <w:szCs w:val="22"/>
              </w:rPr>
              <w:t>)</w:t>
            </w:r>
          </w:p>
        </w:tc>
      </w:tr>
      <w:tr w:rsidR="00786210" w:rsidRPr="00016704" w14:paraId="7F913083" w14:textId="77777777" w:rsidTr="008E07AE">
        <w:trPr>
          <w:trHeight w:val="242"/>
        </w:trPr>
        <w:tc>
          <w:tcPr>
            <w:tcW w:w="1041" w:type="pct"/>
            <w:vMerge w:val="restart"/>
            <w:vAlign w:val="center"/>
          </w:tcPr>
          <w:p w14:paraId="543BBEB4" w14:textId="77777777" w:rsidR="00786210" w:rsidRPr="00016704" w:rsidRDefault="00786210" w:rsidP="00786210">
            <w:pPr>
              <w:tabs>
                <w:tab w:val="left" w:pos="284"/>
              </w:tabs>
              <w:jc w:val="center"/>
              <w:rPr>
                <w:sz w:val="22"/>
                <w:szCs w:val="22"/>
              </w:rPr>
            </w:pPr>
            <w:r w:rsidRPr="00016704">
              <w:rPr>
                <w:sz w:val="22"/>
                <w:szCs w:val="22"/>
              </w:rPr>
              <w:t>20 mg/kg ceftolozana / 10 mg/kg tazobaktama**</w:t>
            </w:r>
          </w:p>
        </w:tc>
        <w:tc>
          <w:tcPr>
            <w:tcW w:w="989" w:type="pct"/>
            <w:vAlign w:val="center"/>
          </w:tcPr>
          <w:p w14:paraId="130FE24D" w14:textId="77777777" w:rsidR="00786210" w:rsidRPr="00016704" w:rsidRDefault="00786210" w:rsidP="00786210">
            <w:pPr>
              <w:tabs>
                <w:tab w:val="left" w:pos="284"/>
              </w:tabs>
              <w:jc w:val="center"/>
              <w:rPr>
                <w:sz w:val="22"/>
                <w:szCs w:val="22"/>
              </w:rPr>
            </w:pPr>
            <w:r w:rsidRPr="00016704">
              <w:rPr>
                <w:sz w:val="22"/>
                <w:szCs w:val="22"/>
              </w:rPr>
              <w:t>50 i više</w:t>
            </w:r>
          </w:p>
        </w:tc>
        <w:tc>
          <w:tcPr>
            <w:tcW w:w="990" w:type="pct"/>
            <w:vAlign w:val="center"/>
          </w:tcPr>
          <w:p w14:paraId="63694E75" w14:textId="77777777" w:rsidR="00786210" w:rsidRPr="00016704" w:rsidRDefault="00786210" w:rsidP="00786210">
            <w:pPr>
              <w:tabs>
                <w:tab w:val="left" w:pos="284"/>
              </w:tabs>
              <w:jc w:val="center"/>
              <w:rPr>
                <w:sz w:val="22"/>
                <w:szCs w:val="22"/>
              </w:rPr>
            </w:pPr>
            <w:r w:rsidRPr="00016704">
              <w:rPr>
                <w:sz w:val="22"/>
                <w:szCs w:val="22"/>
              </w:rPr>
              <w:t>1000</w:t>
            </w:r>
          </w:p>
        </w:tc>
        <w:tc>
          <w:tcPr>
            <w:tcW w:w="990" w:type="pct"/>
            <w:vAlign w:val="center"/>
          </w:tcPr>
          <w:p w14:paraId="59F3B7F8" w14:textId="77777777" w:rsidR="00786210" w:rsidRPr="00016704" w:rsidRDefault="00786210" w:rsidP="00786210">
            <w:pPr>
              <w:tabs>
                <w:tab w:val="left" w:pos="284"/>
              </w:tabs>
              <w:jc w:val="center"/>
              <w:rPr>
                <w:sz w:val="22"/>
                <w:szCs w:val="22"/>
              </w:rPr>
            </w:pPr>
            <w:r w:rsidRPr="00016704">
              <w:rPr>
                <w:sz w:val="22"/>
                <w:szCs w:val="22"/>
              </w:rPr>
              <w:t>500</w:t>
            </w:r>
          </w:p>
        </w:tc>
        <w:tc>
          <w:tcPr>
            <w:tcW w:w="990" w:type="pct"/>
            <w:vAlign w:val="center"/>
          </w:tcPr>
          <w:p w14:paraId="75E57A49" w14:textId="77777777" w:rsidR="00786210" w:rsidRPr="00016704" w:rsidRDefault="00786210" w:rsidP="00786210">
            <w:pPr>
              <w:tabs>
                <w:tab w:val="left" w:pos="284"/>
              </w:tabs>
              <w:jc w:val="center"/>
              <w:rPr>
                <w:sz w:val="22"/>
                <w:szCs w:val="22"/>
              </w:rPr>
            </w:pPr>
            <w:r w:rsidRPr="00016704">
              <w:rPr>
                <w:sz w:val="22"/>
                <w:szCs w:val="22"/>
              </w:rPr>
              <w:t>100</w:t>
            </w:r>
          </w:p>
        </w:tc>
      </w:tr>
      <w:tr w:rsidR="00786210" w:rsidRPr="00016704" w14:paraId="60D7083D" w14:textId="77777777" w:rsidTr="008E07AE">
        <w:trPr>
          <w:trHeight w:val="271"/>
        </w:trPr>
        <w:tc>
          <w:tcPr>
            <w:tcW w:w="1041" w:type="pct"/>
            <w:vMerge/>
            <w:vAlign w:val="center"/>
          </w:tcPr>
          <w:p w14:paraId="7FFF044D" w14:textId="77777777" w:rsidR="00786210" w:rsidRPr="00016704" w:rsidRDefault="00786210" w:rsidP="00786210">
            <w:pPr>
              <w:tabs>
                <w:tab w:val="left" w:pos="284"/>
              </w:tabs>
              <w:jc w:val="center"/>
              <w:rPr>
                <w:sz w:val="22"/>
                <w:szCs w:val="22"/>
              </w:rPr>
            </w:pPr>
          </w:p>
        </w:tc>
        <w:tc>
          <w:tcPr>
            <w:tcW w:w="989" w:type="pct"/>
            <w:vAlign w:val="center"/>
          </w:tcPr>
          <w:p w14:paraId="755501C5" w14:textId="77777777" w:rsidR="00786210" w:rsidRPr="00016704" w:rsidRDefault="00786210" w:rsidP="00786210">
            <w:pPr>
              <w:tabs>
                <w:tab w:val="left" w:pos="284"/>
              </w:tabs>
              <w:jc w:val="center"/>
              <w:rPr>
                <w:sz w:val="22"/>
                <w:szCs w:val="22"/>
              </w:rPr>
            </w:pPr>
            <w:r w:rsidRPr="00016704">
              <w:rPr>
                <w:sz w:val="22"/>
                <w:szCs w:val="22"/>
              </w:rPr>
              <w:t>40</w:t>
            </w:r>
          </w:p>
        </w:tc>
        <w:tc>
          <w:tcPr>
            <w:tcW w:w="990" w:type="pct"/>
            <w:vAlign w:val="center"/>
          </w:tcPr>
          <w:p w14:paraId="5931CFE3" w14:textId="77777777" w:rsidR="00786210" w:rsidRPr="00016704" w:rsidRDefault="00786210" w:rsidP="00786210">
            <w:pPr>
              <w:tabs>
                <w:tab w:val="left" w:pos="284"/>
              </w:tabs>
              <w:jc w:val="center"/>
              <w:rPr>
                <w:sz w:val="22"/>
                <w:szCs w:val="22"/>
              </w:rPr>
            </w:pPr>
            <w:r w:rsidRPr="00016704">
              <w:rPr>
                <w:sz w:val="22"/>
                <w:szCs w:val="22"/>
              </w:rPr>
              <w:t>800</w:t>
            </w:r>
          </w:p>
        </w:tc>
        <w:tc>
          <w:tcPr>
            <w:tcW w:w="990" w:type="pct"/>
            <w:vAlign w:val="center"/>
          </w:tcPr>
          <w:p w14:paraId="670111E7" w14:textId="77777777" w:rsidR="00786210" w:rsidRPr="00016704" w:rsidRDefault="00786210" w:rsidP="00786210">
            <w:pPr>
              <w:tabs>
                <w:tab w:val="left" w:pos="284"/>
              </w:tabs>
              <w:jc w:val="center"/>
              <w:rPr>
                <w:sz w:val="22"/>
                <w:szCs w:val="22"/>
              </w:rPr>
            </w:pPr>
            <w:r w:rsidRPr="00016704">
              <w:rPr>
                <w:sz w:val="22"/>
                <w:szCs w:val="22"/>
              </w:rPr>
              <w:t>400</w:t>
            </w:r>
          </w:p>
        </w:tc>
        <w:tc>
          <w:tcPr>
            <w:tcW w:w="990" w:type="pct"/>
            <w:vAlign w:val="center"/>
          </w:tcPr>
          <w:p w14:paraId="2F18ADF9" w14:textId="77777777" w:rsidR="00786210" w:rsidRPr="00016704" w:rsidRDefault="00786210" w:rsidP="00786210">
            <w:pPr>
              <w:tabs>
                <w:tab w:val="left" w:pos="284"/>
              </w:tabs>
              <w:jc w:val="center"/>
              <w:rPr>
                <w:sz w:val="22"/>
                <w:szCs w:val="22"/>
              </w:rPr>
            </w:pPr>
            <w:r w:rsidRPr="00016704">
              <w:rPr>
                <w:sz w:val="22"/>
                <w:szCs w:val="22"/>
              </w:rPr>
              <w:t>80</w:t>
            </w:r>
          </w:p>
        </w:tc>
      </w:tr>
      <w:tr w:rsidR="00786210" w:rsidRPr="00016704" w14:paraId="31E278A5" w14:textId="77777777" w:rsidTr="008E07AE">
        <w:trPr>
          <w:trHeight w:val="255"/>
        </w:trPr>
        <w:tc>
          <w:tcPr>
            <w:tcW w:w="1041" w:type="pct"/>
            <w:vMerge/>
            <w:vAlign w:val="center"/>
          </w:tcPr>
          <w:p w14:paraId="346403BF" w14:textId="77777777" w:rsidR="00786210" w:rsidRPr="00016704" w:rsidRDefault="00786210" w:rsidP="00786210">
            <w:pPr>
              <w:tabs>
                <w:tab w:val="left" w:pos="284"/>
              </w:tabs>
              <w:jc w:val="center"/>
              <w:rPr>
                <w:sz w:val="22"/>
                <w:szCs w:val="22"/>
              </w:rPr>
            </w:pPr>
          </w:p>
        </w:tc>
        <w:tc>
          <w:tcPr>
            <w:tcW w:w="989" w:type="pct"/>
            <w:vAlign w:val="center"/>
          </w:tcPr>
          <w:p w14:paraId="7BF08C53" w14:textId="77777777" w:rsidR="00786210" w:rsidRPr="00016704" w:rsidRDefault="00786210" w:rsidP="00786210">
            <w:pPr>
              <w:tabs>
                <w:tab w:val="left" w:pos="284"/>
              </w:tabs>
              <w:jc w:val="center"/>
              <w:rPr>
                <w:sz w:val="22"/>
                <w:szCs w:val="22"/>
              </w:rPr>
            </w:pPr>
            <w:r w:rsidRPr="00016704">
              <w:rPr>
                <w:sz w:val="22"/>
                <w:szCs w:val="22"/>
              </w:rPr>
              <w:t>30</w:t>
            </w:r>
          </w:p>
        </w:tc>
        <w:tc>
          <w:tcPr>
            <w:tcW w:w="990" w:type="pct"/>
            <w:vAlign w:val="center"/>
          </w:tcPr>
          <w:p w14:paraId="56445977" w14:textId="77777777" w:rsidR="00786210" w:rsidRPr="00016704" w:rsidRDefault="00786210" w:rsidP="00786210">
            <w:pPr>
              <w:tabs>
                <w:tab w:val="left" w:pos="284"/>
              </w:tabs>
              <w:jc w:val="center"/>
              <w:rPr>
                <w:sz w:val="22"/>
                <w:szCs w:val="22"/>
              </w:rPr>
            </w:pPr>
            <w:r w:rsidRPr="00016704">
              <w:rPr>
                <w:sz w:val="22"/>
                <w:szCs w:val="22"/>
              </w:rPr>
              <w:t>600</w:t>
            </w:r>
          </w:p>
        </w:tc>
        <w:tc>
          <w:tcPr>
            <w:tcW w:w="990" w:type="pct"/>
            <w:vAlign w:val="center"/>
          </w:tcPr>
          <w:p w14:paraId="17291A40" w14:textId="77777777" w:rsidR="00786210" w:rsidRPr="00016704" w:rsidRDefault="00786210" w:rsidP="00786210">
            <w:pPr>
              <w:tabs>
                <w:tab w:val="left" w:pos="284"/>
              </w:tabs>
              <w:jc w:val="center"/>
              <w:rPr>
                <w:sz w:val="22"/>
                <w:szCs w:val="22"/>
              </w:rPr>
            </w:pPr>
            <w:r w:rsidRPr="00016704">
              <w:rPr>
                <w:sz w:val="22"/>
                <w:szCs w:val="22"/>
              </w:rPr>
              <w:t>300</w:t>
            </w:r>
          </w:p>
        </w:tc>
        <w:tc>
          <w:tcPr>
            <w:tcW w:w="990" w:type="pct"/>
            <w:vAlign w:val="center"/>
          </w:tcPr>
          <w:p w14:paraId="1EE0D1EF" w14:textId="77777777" w:rsidR="00786210" w:rsidRPr="00016704" w:rsidRDefault="00786210" w:rsidP="00786210">
            <w:pPr>
              <w:tabs>
                <w:tab w:val="left" w:pos="284"/>
              </w:tabs>
              <w:jc w:val="center"/>
              <w:rPr>
                <w:sz w:val="22"/>
                <w:szCs w:val="22"/>
              </w:rPr>
            </w:pPr>
            <w:r w:rsidRPr="00016704">
              <w:rPr>
                <w:sz w:val="22"/>
                <w:szCs w:val="22"/>
              </w:rPr>
              <w:t>60</w:t>
            </w:r>
          </w:p>
        </w:tc>
      </w:tr>
      <w:tr w:rsidR="00786210" w:rsidRPr="00016704" w14:paraId="3A80EB8E" w14:textId="77777777" w:rsidTr="008E07AE">
        <w:trPr>
          <w:trHeight w:val="271"/>
        </w:trPr>
        <w:tc>
          <w:tcPr>
            <w:tcW w:w="1041" w:type="pct"/>
            <w:vMerge/>
            <w:vAlign w:val="center"/>
          </w:tcPr>
          <w:p w14:paraId="583B1BF8" w14:textId="77777777" w:rsidR="00786210" w:rsidRPr="00016704" w:rsidRDefault="00786210" w:rsidP="00786210">
            <w:pPr>
              <w:tabs>
                <w:tab w:val="left" w:pos="284"/>
              </w:tabs>
              <w:jc w:val="center"/>
              <w:rPr>
                <w:sz w:val="22"/>
                <w:szCs w:val="22"/>
              </w:rPr>
            </w:pPr>
          </w:p>
        </w:tc>
        <w:tc>
          <w:tcPr>
            <w:tcW w:w="989" w:type="pct"/>
            <w:vAlign w:val="center"/>
          </w:tcPr>
          <w:p w14:paraId="6EACE49D" w14:textId="77777777" w:rsidR="00786210" w:rsidRPr="00016704" w:rsidRDefault="00786210" w:rsidP="00786210">
            <w:pPr>
              <w:tabs>
                <w:tab w:val="left" w:pos="284"/>
              </w:tabs>
              <w:jc w:val="center"/>
              <w:rPr>
                <w:sz w:val="22"/>
                <w:szCs w:val="22"/>
              </w:rPr>
            </w:pPr>
            <w:r w:rsidRPr="00016704">
              <w:rPr>
                <w:sz w:val="22"/>
                <w:szCs w:val="22"/>
              </w:rPr>
              <w:t>20</w:t>
            </w:r>
          </w:p>
        </w:tc>
        <w:tc>
          <w:tcPr>
            <w:tcW w:w="990" w:type="pct"/>
            <w:vAlign w:val="center"/>
          </w:tcPr>
          <w:p w14:paraId="79CB4DF9" w14:textId="77777777" w:rsidR="00786210" w:rsidRPr="00016704" w:rsidRDefault="00786210" w:rsidP="00786210">
            <w:pPr>
              <w:tabs>
                <w:tab w:val="left" w:pos="284"/>
              </w:tabs>
              <w:jc w:val="center"/>
              <w:rPr>
                <w:sz w:val="22"/>
                <w:szCs w:val="22"/>
              </w:rPr>
            </w:pPr>
            <w:r w:rsidRPr="00016704">
              <w:rPr>
                <w:sz w:val="22"/>
                <w:szCs w:val="22"/>
              </w:rPr>
              <w:t>400</w:t>
            </w:r>
          </w:p>
        </w:tc>
        <w:tc>
          <w:tcPr>
            <w:tcW w:w="990" w:type="pct"/>
            <w:vAlign w:val="center"/>
          </w:tcPr>
          <w:p w14:paraId="077B3BE0" w14:textId="77777777" w:rsidR="00786210" w:rsidRPr="00016704" w:rsidRDefault="00786210" w:rsidP="00786210">
            <w:pPr>
              <w:tabs>
                <w:tab w:val="left" w:pos="284"/>
              </w:tabs>
              <w:jc w:val="center"/>
              <w:rPr>
                <w:sz w:val="22"/>
                <w:szCs w:val="22"/>
              </w:rPr>
            </w:pPr>
            <w:r w:rsidRPr="00016704">
              <w:rPr>
                <w:sz w:val="22"/>
                <w:szCs w:val="22"/>
              </w:rPr>
              <w:t>200</w:t>
            </w:r>
          </w:p>
        </w:tc>
        <w:tc>
          <w:tcPr>
            <w:tcW w:w="990" w:type="pct"/>
            <w:vAlign w:val="center"/>
          </w:tcPr>
          <w:p w14:paraId="1DB4C1F1" w14:textId="77777777" w:rsidR="00786210" w:rsidRPr="00016704" w:rsidRDefault="00786210" w:rsidP="00786210">
            <w:pPr>
              <w:tabs>
                <w:tab w:val="left" w:pos="284"/>
              </w:tabs>
              <w:jc w:val="center"/>
              <w:rPr>
                <w:sz w:val="22"/>
                <w:szCs w:val="22"/>
              </w:rPr>
            </w:pPr>
            <w:r w:rsidRPr="00016704">
              <w:rPr>
                <w:sz w:val="22"/>
                <w:szCs w:val="22"/>
              </w:rPr>
              <w:t>40</w:t>
            </w:r>
          </w:p>
        </w:tc>
      </w:tr>
      <w:tr w:rsidR="00786210" w:rsidRPr="00016704" w14:paraId="720C9BB8" w14:textId="77777777" w:rsidTr="008E07AE">
        <w:trPr>
          <w:trHeight w:val="255"/>
        </w:trPr>
        <w:tc>
          <w:tcPr>
            <w:tcW w:w="1041" w:type="pct"/>
            <w:vMerge/>
            <w:vAlign w:val="center"/>
          </w:tcPr>
          <w:p w14:paraId="7ED9787B" w14:textId="77777777" w:rsidR="00786210" w:rsidRPr="00016704" w:rsidRDefault="00786210" w:rsidP="00786210">
            <w:pPr>
              <w:tabs>
                <w:tab w:val="left" w:pos="284"/>
              </w:tabs>
              <w:jc w:val="center"/>
              <w:rPr>
                <w:sz w:val="22"/>
                <w:szCs w:val="22"/>
              </w:rPr>
            </w:pPr>
          </w:p>
        </w:tc>
        <w:tc>
          <w:tcPr>
            <w:tcW w:w="989" w:type="pct"/>
            <w:vAlign w:val="center"/>
          </w:tcPr>
          <w:p w14:paraId="77EFF4FA" w14:textId="77777777" w:rsidR="00786210" w:rsidRPr="00016704" w:rsidRDefault="00786210" w:rsidP="00786210">
            <w:pPr>
              <w:tabs>
                <w:tab w:val="left" w:pos="284"/>
              </w:tabs>
              <w:jc w:val="center"/>
              <w:rPr>
                <w:sz w:val="22"/>
                <w:szCs w:val="22"/>
              </w:rPr>
            </w:pPr>
            <w:r w:rsidRPr="00016704">
              <w:rPr>
                <w:sz w:val="22"/>
                <w:szCs w:val="22"/>
              </w:rPr>
              <w:t>15</w:t>
            </w:r>
          </w:p>
        </w:tc>
        <w:tc>
          <w:tcPr>
            <w:tcW w:w="990" w:type="pct"/>
            <w:vAlign w:val="center"/>
          </w:tcPr>
          <w:p w14:paraId="4B96030C" w14:textId="77777777" w:rsidR="00786210" w:rsidRPr="00016704" w:rsidRDefault="00786210" w:rsidP="00786210">
            <w:pPr>
              <w:tabs>
                <w:tab w:val="left" w:pos="284"/>
              </w:tabs>
              <w:jc w:val="center"/>
              <w:rPr>
                <w:sz w:val="22"/>
                <w:szCs w:val="22"/>
              </w:rPr>
            </w:pPr>
            <w:r w:rsidRPr="00016704">
              <w:rPr>
                <w:sz w:val="22"/>
                <w:szCs w:val="22"/>
              </w:rPr>
              <w:t>300</w:t>
            </w:r>
          </w:p>
        </w:tc>
        <w:tc>
          <w:tcPr>
            <w:tcW w:w="990" w:type="pct"/>
            <w:vAlign w:val="center"/>
          </w:tcPr>
          <w:p w14:paraId="54FFB04F" w14:textId="77777777" w:rsidR="00786210" w:rsidRPr="00016704" w:rsidRDefault="00786210" w:rsidP="00786210">
            <w:pPr>
              <w:tabs>
                <w:tab w:val="left" w:pos="284"/>
              </w:tabs>
              <w:jc w:val="center"/>
              <w:rPr>
                <w:sz w:val="22"/>
                <w:szCs w:val="22"/>
              </w:rPr>
            </w:pPr>
            <w:r w:rsidRPr="00016704">
              <w:rPr>
                <w:sz w:val="22"/>
                <w:szCs w:val="22"/>
              </w:rPr>
              <w:t>150</w:t>
            </w:r>
          </w:p>
        </w:tc>
        <w:tc>
          <w:tcPr>
            <w:tcW w:w="990" w:type="pct"/>
            <w:vAlign w:val="center"/>
          </w:tcPr>
          <w:p w14:paraId="701BB571" w14:textId="77777777" w:rsidR="00786210" w:rsidRPr="00016704" w:rsidRDefault="00786210" w:rsidP="00786210">
            <w:pPr>
              <w:tabs>
                <w:tab w:val="left" w:pos="284"/>
              </w:tabs>
              <w:jc w:val="center"/>
              <w:rPr>
                <w:sz w:val="22"/>
                <w:szCs w:val="22"/>
              </w:rPr>
            </w:pPr>
            <w:r w:rsidRPr="00016704">
              <w:rPr>
                <w:sz w:val="22"/>
                <w:szCs w:val="22"/>
              </w:rPr>
              <w:t>30</w:t>
            </w:r>
          </w:p>
        </w:tc>
      </w:tr>
      <w:tr w:rsidR="00786210" w:rsidRPr="00016704" w14:paraId="0EDB7EB3" w14:textId="77777777" w:rsidTr="008E07AE">
        <w:trPr>
          <w:trHeight w:val="271"/>
        </w:trPr>
        <w:tc>
          <w:tcPr>
            <w:tcW w:w="1041" w:type="pct"/>
            <w:vMerge/>
            <w:vAlign w:val="center"/>
          </w:tcPr>
          <w:p w14:paraId="68BEE2CB" w14:textId="77777777" w:rsidR="00786210" w:rsidRPr="00016704" w:rsidRDefault="00786210" w:rsidP="00786210">
            <w:pPr>
              <w:tabs>
                <w:tab w:val="left" w:pos="284"/>
              </w:tabs>
              <w:jc w:val="center"/>
              <w:rPr>
                <w:sz w:val="22"/>
                <w:szCs w:val="22"/>
              </w:rPr>
            </w:pPr>
          </w:p>
        </w:tc>
        <w:tc>
          <w:tcPr>
            <w:tcW w:w="989" w:type="pct"/>
            <w:vAlign w:val="center"/>
          </w:tcPr>
          <w:p w14:paraId="7E0F76CF" w14:textId="77777777" w:rsidR="00786210" w:rsidRPr="00016704" w:rsidRDefault="00786210" w:rsidP="00786210">
            <w:pPr>
              <w:tabs>
                <w:tab w:val="left" w:pos="284"/>
              </w:tabs>
              <w:jc w:val="center"/>
              <w:rPr>
                <w:sz w:val="22"/>
                <w:szCs w:val="22"/>
              </w:rPr>
            </w:pPr>
            <w:r w:rsidRPr="00016704">
              <w:rPr>
                <w:sz w:val="22"/>
                <w:szCs w:val="22"/>
              </w:rPr>
              <w:t>10</w:t>
            </w:r>
          </w:p>
        </w:tc>
        <w:tc>
          <w:tcPr>
            <w:tcW w:w="990" w:type="pct"/>
            <w:vAlign w:val="center"/>
          </w:tcPr>
          <w:p w14:paraId="324DE713" w14:textId="77777777" w:rsidR="00786210" w:rsidRPr="00016704" w:rsidRDefault="00786210" w:rsidP="00786210">
            <w:pPr>
              <w:tabs>
                <w:tab w:val="left" w:pos="284"/>
              </w:tabs>
              <w:jc w:val="center"/>
              <w:rPr>
                <w:sz w:val="22"/>
                <w:szCs w:val="22"/>
              </w:rPr>
            </w:pPr>
            <w:r w:rsidRPr="00016704">
              <w:rPr>
                <w:sz w:val="22"/>
                <w:szCs w:val="22"/>
              </w:rPr>
              <w:t>200</w:t>
            </w:r>
          </w:p>
        </w:tc>
        <w:tc>
          <w:tcPr>
            <w:tcW w:w="990" w:type="pct"/>
            <w:vAlign w:val="center"/>
          </w:tcPr>
          <w:p w14:paraId="71A691C0" w14:textId="77777777" w:rsidR="00786210" w:rsidRPr="00016704" w:rsidRDefault="00786210" w:rsidP="00786210">
            <w:pPr>
              <w:tabs>
                <w:tab w:val="left" w:pos="284"/>
              </w:tabs>
              <w:jc w:val="center"/>
              <w:rPr>
                <w:sz w:val="22"/>
                <w:szCs w:val="22"/>
              </w:rPr>
            </w:pPr>
            <w:r w:rsidRPr="00016704">
              <w:rPr>
                <w:sz w:val="22"/>
                <w:szCs w:val="22"/>
              </w:rPr>
              <w:t>100</w:t>
            </w:r>
          </w:p>
        </w:tc>
        <w:tc>
          <w:tcPr>
            <w:tcW w:w="990" w:type="pct"/>
            <w:vAlign w:val="center"/>
          </w:tcPr>
          <w:p w14:paraId="1E326864" w14:textId="77777777" w:rsidR="00786210" w:rsidRPr="00016704" w:rsidRDefault="00786210" w:rsidP="00786210">
            <w:pPr>
              <w:tabs>
                <w:tab w:val="left" w:pos="284"/>
              </w:tabs>
              <w:jc w:val="center"/>
              <w:rPr>
                <w:sz w:val="22"/>
                <w:szCs w:val="22"/>
              </w:rPr>
            </w:pPr>
            <w:r w:rsidRPr="00016704">
              <w:rPr>
                <w:sz w:val="22"/>
                <w:szCs w:val="22"/>
              </w:rPr>
              <w:t>20</w:t>
            </w:r>
          </w:p>
        </w:tc>
      </w:tr>
      <w:tr w:rsidR="00786210" w:rsidRPr="00016704" w14:paraId="12142993" w14:textId="77777777" w:rsidTr="008E07AE">
        <w:trPr>
          <w:trHeight w:val="255"/>
        </w:trPr>
        <w:tc>
          <w:tcPr>
            <w:tcW w:w="1041" w:type="pct"/>
            <w:vMerge/>
            <w:vAlign w:val="center"/>
          </w:tcPr>
          <w:p w14:paraId="15985F9D" w14:textId="77777777" w:rsidR="00786210" w:rsidRPr="00016704" w:rsidRDefault="00786210" w:rsidP="00786210">
            <w:pPr>
              <w:tabs>
                <w:tab w:val="left" w:pos="284"/>
              </w:tabs>
              <w:jc w:val="center"/>
              <w:rPr>
                <w:sz w:val="22"/>
                <w:szCs w:val="22"/>
              </w:rPr>
            </w:pPr>
          </w:p>
        </w:tc>
        <w:tc>
          <w:tcPr>
            <w:tcW w:w="989" w:type="pct"/>
            <w:vAlign w:val="center"/>
          </w:tcPr>
          <w:p w14:paraId="1198C18F" w14:textId="77777777" w:rsidR="00786210" w:rsidRPr="00016704" w:rsidRDefault="00786210" w:rsidP="00786210">
            <w:pPr>
              <w:tabs>
                <w:tab w:val="left" w:pos="284"/>
              </w:tabs>
              <w:jc w:val="center"/>
              <w:rPr>
                <w:sz w:val="22"/>
                <w:szCs w:val="22"/>
              </w:rPr>
            </w:pPr>
            <w:r w:rsidRPr="00016704">
              <w:rPr>
                <w:sz w:val="22"/>
                <w:szCs w:val="22"/>
              </w:rPr>
              <w:t>5</w:t>
            </w:r>
          </w:p>
        </w:tc>
        <w:tc>
          <w:tcPr>
            <w:tcW w:w="990" w:type="pct"/>
            <w:vAlign w:val="center"/>
          </w:tcPr>
          <w:p w14:paraId="2C465548" w14:textId="77777777" w:rsidR="00786210" w:rsidRPr="00016704" w:rsidRDefault="00786210" w:rsidP="00786210">
            <w:pPr>
              <w:tabs>
                <w:tab w:val="left" w:pos="284"/>
              </w:tabs>
              <w:jc w:val="center"/>
              <w:rPr>
                <w:sz w:val="22"/>
                <w:szCs w:val="22"/>
              </w:rPr>
            </w:pPr>
            <w:r w:rsidRPr="00016704">
              <w:rPr>
                <w:sz w:val="22"/>
                <w:szCs w:val="22"/>
              </w:rPr>
              <w:t>100</w:t>
            </w:r>
          </w:p>
        </w:tc>
        <w:tc>
          <w:tcPr>
            <w:tcW w:w="990" w:type="pct"/>
            <w:vAlign w:val="center"/>
          </w:tcPr>
          <w:p w14:paraId="214265D4" w14:textId="77777777" w:rsidR="00786210" w:rsidRPr="00016704" w:rsidRDefault="00786210" w:rsidP="00786210">
            <w:pPr>
              <w:tabs>
                <w:tab w:val="left" w:pos="284"/>
              </w:tabs>
              <w:jc w:val="center"/>
              <w:rPr>
                <w:sz w:val="22"/>
                <w:szCs w:val="22"/>
              </w:rPr>
            </w:pPr>
            <w:r w:rsidRPr="00016704">
              <w:rPr>
                <w:sz w:val="22"/>
                <w:szCs w:val="22"/>
              </w:rPr>
              <w:t>50</w:t>
            </w:r>
          </w:p>
        </w:tc>
        <w:tc>
          <w:tcPr>
            <w:tcW w:w="990" w:type="pct"/>
            <w:vAlign w:val="center"/>
          </w:tcPr>
          <w:p w14:paraId="0B49321D" w14:textId="77777777" w:rsidR="00786210" w:rsidRPr="00016704" w:rsidRDefault="00786210" w:rsidP="00786210">
            <w:pPr>
              <w:tabs>
                <w:tab w:val="left" w:pos="284"/>
              </w:tabs>
              <w:jc w:val="center"/>
              <w:rPr>
                <w:sz w:val="22"/>
                <w:szCs w:val="22"/>
              </w:rPr>
            </w:pPr>
            <w:r w:rsidRPr="00016704">
              <w:rPr>
                <w:sz w:val="22"/>
                <w:szCs w:val="22"/>
              </w:rPr>
              <w:t>10</w:t>
            </w:r>
          </w:p>
        </w:tc>
      </w:tr>
      <w:tr w:rsidR="00786210" w:rsidRPr="00016704" w14:paraId="7FCC04C4" w14:textId="77777777" w:rsidTr="008E07AE">
        <w:trPr>
          <w:trHeight w:val="271"/>
        </w:trPr>
        <w:tc>
          <w:tcPr>
            <w:tcW w:w="1041" w:type="pct"/>
            <w:vMerge/>
            <w:vAlign w:val="center"/>
          </w:tcPr>
          <w:p w14:paraId="2A8BB83B" w14:textId="77777777" w:rsidR="00786210" w:rsidRPr="00016704" w:rsidRDefault="00786210" w:rsidP="00786210">
            <w:pPr>
              <w:tabs>
                <w:tab w:val="left" w:pos="284"/>
              </w:tabs>
              <w:jc w:val="center"/>
              <w:rPr>
                <w:sz w:val="22"/>
                <w:szCs w:val="22"/>
              </w:rPr>
            </w:pPr>
          </w:p>
        </w:tc>
        <w:tc>
          <w:tcPr>
            <w:tcW w:w="989" w:type="pct"/>
            <w:vAlign w:val="center"/>
          </w:tcPr>
          <w:p w14:paraId="4D278261" w14:textId="77777777" w:rsidR="00786210" w:rsidRPr="00016704" w:rsidRDefault="00786210" w:rsidP="00786210">
            <w:pPr>
              <w:tabs>
                <w:tab w:val="left" w:pos="284"/>
              </w:tabs>
              <w:jc w:val="center"/>
              <w:rPr>
                <w:sz w:val="22"/>
                <w:szCs w:val="22"/>
              </w:rPr>
            </w:pPr>
            <w:r w:rsidRPr="00016704">
              <w:rPr>
                <w:sz w:val="22"/>
                <w:szCs w:val="22"/>
              </w:rPr>
              <w:t>3</w:t>
            </w:r>
          </w:p>
        </w:tc>
        <w:tc>
          <w:tcPr>
            <w:tcW w:w="990" w:type="pct"/>
            <w:vAlign w:val="center"/>
          </w:tcPr>
          <w:p w14:paraId="7FC19FFF" w14:textId="77777777" w:rsidR="00786210" w:rsidRPr="00016704" w:rsidRDefault="00786210" w:rsidP="00786210">
            <w:pPr>
              <w:tabs>
                <w:tab w:val="left" w:pos="284"/>
              </w:tabs>
              <w:jc w:val="center"/>
              <w:rPr>
                <w:sz w:val="22"/>
                <w:szCs w:val="22"/>
              </w:rPr>
            </w:pPr>
            <w:r w:rsidRPr="00016704">
              <w:rPr>
                <w:sz w:val="22"/>
                <w:szCs w:val="22"/>
              </w:rPr>
              <w:t>60</w:t>
            </w:r>
          </w:p>
        </w:tc>
        <w:tc>
          <w:tcPr>
            <w:tcW w:w="990" w:type="pct"/>
            <w:vAlign w:val="center"/>
          </w:tcPr>
          <w:p w14:paraId="4223F4E5" w14:textId="77777777" w:rsidR="00786210" w:rsidRPr="00016704" w:rsidRDefault="00786210" w:rsidP="00786210">
            <w:pPr>
              <w:tabs>
                <w:tab w:val="left" w:pos="284"/>
              </w:tabs>
              <w:jc w:val="center"/>
              <w:rPr>
                <w:sz w:val="22"/>
                <w:szCs w:val="22"/>
              </w:rPr>
            </w:pPr>
            <w:r w:rsidRPr="00016704">
              <w:rPr>
                <w:sz w:val="22"/>
                <w:szCs w:val="22"/>
              </w:rPr>
              <w:t>30</w:t>
            </w:r>
          </w:p>
        </w:tc>
        <w:tc>
          <w:tcPr>
            <w:tcW w:w="990" w:type="pct"/>
            <w:vAlign w:val="center"/>
          </w:tcPr>
          <w:p w14:paraId="7876C762" w14:textId="77777777" w:rsidR="00786210" w:rsidRPr="00016704" w:rsidRDefault="00786210" w:rsidP="00786210">
            <w:pPr>
              <w:tabs>
                <w:tab w:val="left" w:pos="284"/>
              </w:tabs>
              <w:jc w:val="center"/>
              <w:rPr>
                <w:sz w:val="22"/>
                <w:szCs w:val="22"/>
              </w:rPr>
            </w:pPr>
            <w:r w:rsidRPr="00016704">
              <w:rPr>
                <w:sz w:val="22"/>
                <w:szCs w:val="22"/>
              </w:rPr>
              <w:t>6</w:t>
            </w:r>
          </w:p>
        </w:tc>
      </w:tr>
      <w:tr w:rsidR="00786210" w:rsidRPr="00016704" w14:paraId="4FF49246" w14:textId="77777777" w:rsidTr="008E07AE">
        <w:trPr>
          <w:trHeight w:val="206"/>
        </w:trPr>
        <w:tc>
          <w:tcPr>
            <w:tcW w:w="1041" w:type="pct"/>
            <w:vMerge/>
            <w:vAlign w:val="center"/>
          </w:tcPr>
          <w:p w14:paraId="50DFD14F" w14:textId="77777777" w:rsidR="00786210" w:rsidRPr="00016704" w:rsidRDefault="00786210" w:rsidP="00786210">
            <w:pPr>
              <w:tabs>
                <w:tab w:val="left" w:pos="284"/>
              </w:tabs>
              <w:jc w:val="center"/>
              <w:rPr>
                <w:sz w:val="22"/>
                <w:szCs w:val="22"/>
              </w:rPr>
            </w:pPr>
          </w:p>
        </w:tc>
        <w:tc>
          <w:tcPr>
            <w:tcW w:w="989" w:type="pct"/>
            <w:vAlign w:val="center"/>
          </w:tcPr>
          <w:p w14:paraId="356D9226" w14:textId="77777777" w:rsidR="00786210" w:rsidRPr="00016704" w:rsidRDefault="00786210" w:rsidP="00786210">
            <w:pPr>
              <w:tabs>
                <w:tab w:val="left" w:pos="284"/>
              </w:tabs>
              <w:jc w:val="center"/>
              <w:rPr>
                <w:sz w:val="22"/>
                <w:szCs w:val="22"/>
              </w:rPr>
            </w:pPr>
            <w:r w:rsidRPr="00016704">
              <w:rPr>
                <w:sz w:val="22"/>
                <w:szCs w:val="22"/>
              </w:rPr>
              <w:t>1,5</w:t>
            </w:r>
          </w:p>
        </w:tc>
        <w:tc>
          <w:tcPr>
            <w:tcW w:w="990" w:type="pct"/>
            <w:vAlign w:val="center"/>
          </w:tcPr>
          <w:p w14:paraId="478C9C76" w14:textId="77777777" w:rsidR="00786210" w:rsidRPr="00016704" w:rsidRDefault="00786210" w:rsidP="00786210">
            <w:pPr>
              <w:tabs>
                <w:tab w:val="left" w:pos="284"/>
              </w:tabs>
              <w:jc w:val="center"/>
              <w:rPr>
                <w:sz w:val="22"/>
                <w:szCs w:val="22"/>
              </w:rPr>
            </w:pPr>
            <w:r w:rsidRPr="00016704">
              <w:rPr>
                <w:sz w:val="22"/>
                <w:szCs w:val="22"/>
              </w:rPr>
              <w:t>30</w:t>
            </w:r>
          </w:p>
        </w:tc>
        <w:tc>
          <w:tcPr>
            <w:tcW w:w="990" w:type="pct"/>
            <w:vAlign w:val="center"/>
          </w:tcPr>
          <w:p w14:paraId="785B40D7" w14:textId="77777777" w:rsidR="00786210" w:rsidRPr="00016704" w:rsidRDefault="00786210" w:rsidP="00786210">
            <w:pPr>
              <w:tabs>
                <w:tab w:val="left" w:pos="284"/>
              </w:tabs>
              <w:jc w:val="center"/>
              <w:rPr>
                <w:sz w:val="22"/>
                <w:szCs w:val="22"/>
              </w:rPr>
            </w:pPr>
            <w:r w:rsidRPr="00016704">
              <w:rPr>
                <w:sz w:val="22"/>
                <w:szCs w:val="22"/>
              </w:rPr>
              <w:t>15</w:t>
            </w:r>
          </w:p>
        </w:tc>
        <w:tc>
          <w:tcPr>
            <w:tcW w:w="990" w:type="pct"/>
            <w:vAlign w:val="center"/>
          </w:tcPr>
          <w:p w14:paraId="5FD38079" w14:textId="77777777" w:rsidR="00786210" w:rsidRPr="00016704" w:rsidRDefault="00786210" w:rsidP="00786210">
            <w:pPr>
              <w:tabs>
                <w:tab w:val="left" w:pos="284"/>
              </w:tabs>
              <w:jc w:val="center"/>
              <w:rPr>
                <w:sz w:val="22"/>
                <w:szCs w:val="22"/>
              </w:rPr>
            </w:pPr>
            <w:r w:rsidRPr="00016704">
              <w:rPr>
                <w:sz w:val="22"/>
                <w:szCs w:val="22"/>
              </w:rPr>
              <w:t>3</w:t>
            </w:r>
          </w:p>
        </w:tc>
      </w:tr>
    </w:tbl>
    <w:p w14:paraId="749C6BFB" w14:textId="1560EC13" w:rsidR="00786210" w:rsidRPr="00016704" w:rsidRDefault="00786210" w:rsidP="00DF55F5">
      <w:pPr>
        <w:tabs>
          <w:tab w:val="center" w:pos="4536"/>
          <w:tab w:val="right" w:pos="9072"/>
        </w:tabs>
        <w:jc w:val="both"/>
        <w:rPr>
          <w:sz w:val="22"/>
          <w:szCs w:val="22"/>
          <w:lang w:val="hr-HR"/>
        </w:rPr>
      </w:pPr>
      <w:r w:rsidRPr="00016704">
        <w:rPr>
          <w:sz w:val="22"/>
          <w:szCs w:val="22"/>
          <w:lang w:val="hr-HR"/>
        </w:rPr>
        <w:t>*</w:t>
      </w:r>
      <w:r w:rsidRPr="00016704">
        <w:rPr>
          <w:sz w:val="22"/>
          <w:szCs w:val="22"/>
        </w:rPr>
        <w:t xml:space="preserve"> </w:t>
      </w:r>
      <w:r w:rsidRPr="00016704">
        <w:rPr>
          <w:sz w:val="22"/>
          <w:szCs w:val="22"/>
          <w:lang w:val="hr-HR"/>
        </w:rPr>
        <w:t>Definisano kao &gt; 32 ned</w:t>
      </w:r>
      <w:r w:rsidR="00C74333" w:rsidRPr="00016704">
        <w:rPr>
          <w:sz w:val="22"/>
          <w:szCs w:val="22"/>
          <w:lang w:val="hr-HR"/>
        </w:rPr>
        <w:t>j</w:t>
      </w:r>
      <w:r w:rsidRPr="00016704">
        <w:rPr>
          <w:sz w:val="22"/>
          <w:szCs w:val="22"/>
          <w:lang w:val="hr-HR"/>
        </w:rPr>
        <w:t>elje gestacionog perioda i ≥ 7 dana postanatalnog perioda.</w:t>
      </w:r>
    </w:p>
    <w:p w14:paraId="1DA278F2" w14:textId="2FDCEAC4" w:rsidR="00DA29F6" w:rsidRPr="00016704" w:rsidRDefault="00DA29F6" w:rsidP="00A5582E">
      <w:pPr>
        <w:tabs>
          <w:tab w:val="left" w:pos="567"/>
        </w:tabs>
        <w:jc w:val="both"/>
        <w:rPr>
          <w:sz w:val="22"/>
          <w:szCs w:val="22"/>
          <w:lang w:val="hr-HR"/>
        </w:rPr>
      </w:pPr>
      <w:r w:rsidRPr="00016704">
        <w:rPr>
          <w:sz w:val="22"/>
          <w:szCs w:val="22"/>
          <w:lang w:val="hr-HR"/>
        </w:rPr>
        <w:t>** Kod djece tjelesne mase &gt; 50 kg sa eGFR &gt; 50 m</w:t>
      </w:r>
      <w:r w:rsidR="00407661" w:rsidRPr="00016704">
        <w:rPr>
          <w:sz w:val="22"/>
          <w:szCs w:val="22"/>
          <w:lang w:val="hr-HR"/>
        </w:rPr>
        <w:t>l</w:t>
      </w:r>
      <w:r w:rsidRPr="00016704">
        <w:rPr>
          <w:sz w:val="22"/>
          <w:szCs w:val="22"/>
          <w:lang w:val="hr-HR"/>
        </w:rPr>
        <w:t>/min/1,73 m</w:t>
      </w:r>
      <w:r w:rsidRPr="00016704">
        <w:rPr>
          <w:sz w:val="22"/>
          <w:szCs w:val="22"/>
          <w:vertAlign w:val="superscript"/>
          <w:lang w:val="hr-HR"/>
        </w:rPr>
        <w:t>2</w:t>
      </w:r>
      <w:r w:rsidRPr="00016704">
        <w:rPr>
          <w:sz w:val="22"/>
          <w:szCs w:val="22"/>
          <w:lang w:val="hr-HR"/>
        </w:rPr>
        <w:t xml:space="preserve"> se ne smije prekoračiti maksimalna doza od 1 g ceftolozana/0,5 g tazobaktama.</w:t>
      </w:r>
    </w:p>
    <w:p w14:paraId="5D3D037D" w14:textId="77777777" w:rsidR="00786210" w:rsidRPr="00016704" w:rsidRDefault="00786210">
      <w:pPr>
        <w:tabs>
          <w:tab w:val="left" w:pos="567"/>
        </w:tabs>
        <w:jc w:val="both"/>
        <w:rPr>
          <w:sz w:val="22"/>
          <w:szCs w:val="22"/>
          <w:lang w:val="hr-HR"/>
        </w:rPr>
      </w:pPr>
    </w:p>
    <w:p w14:paraId="08BBB6D1" w14:textId="02B0AEE5" w:rsidR="00786210" w:rsidRPr="00016704" w:rsidRDefault="00786210">
      <w:pPr>
        <w:tabs>
          <w:tab w:val="left" w:pos="284"/>
          <w:tab w:val="center" w:pos="4536"/>
          <w:tab w:val="right" w:pos="9072"/>
        </w:tabs>
        <w:jc w:val="both"/>
        <w:rPr>
          <w:sz w:val="22"/>
          <w:szCs w:val="22"/>
          <w:lang w:val="hr-HR"/>
        </w:rPr>
      </w:pPr>
      <w:r w:rsidRPr="00016704">
        <w:rPr>
          <w:sz w:val="22"/>
          <w:szCs w:val="22"/>
          <w:lang w:val="hr-HR"/>
        </w:rPr>
        <w:t>Sa mikrobiološke tačke gledišta, lijek se mora prim</w:t>
      </w:r>
      <w:r w:rsidR="00C74333" w:rsidRPr="00016704">
        <w:rPr>
          <w:sz w:val="22"/>
          <w:szCs w:val="22"/>
          <w:lang w:val="hr-HR"/>
        </w:rPr>
        <w:t>ij</w:t>
      </w:r>
      <w:r w:rsidRPr="00016704">
        <w:rPr>
          <w:sz w:val="22"/>
          <w:szCs w:val="22"/>
          <w:lang w:val="hr-HR"/>
        </w:rPr>
        <w:t>eniti odmah nakon rekonstitucije. Ukoliko se ne prim</w:t>
      </w:r>
      <w:r w:rsidR="00C74333" w:rsidRPr="00016704">
        <w:rPr>
          <w:sz w:val="22"/>
          <w:szCs w:val="22"/>
          <w:lang w:val="hr-HR"/>
        </w:rPr>
        <w:t>ij</w:t>
      </w:r>
      <w:r w:rsidRPr="00016704">
        <w:rPr>
          <w:sz w:val="22"/>
          <w:szCs w:val="22"/>
          <w:lang w:val="hr-HR"/>
        </w:rPr>
        <w:t>eni odmah, vr</w:t>
      </w:r>
      <w:r w:rsidR="00C74333" w:rsidRPr="00016704">
        <w:rPr>
          <w:sz w:val="22"/>
          <w:szCs w:val="22"/>
          <w:lang w:val="hr-HR"/>
        </w:rPr>
        <w:t>ij</w:t>
      </w:r>
      <w:r w:rsidRPr="00016704">
        <w:rPr>
          <w:sz w:val="22"/>
          <w:szCs w:val="22"/>
          <w:lang w:val="hr-HR"/>
        </w:rPr>
        <w:t>eme čuvanja i uslovi čuvanja pr</w:t>
      </w:r>
      <w:r w:rsidR="00C74333" w:rsidRPr="00016704">
        <w:rPr>
          <w:sz w:val="22"/>
          <w:szCs w:val="22"/>
          <w:lang w:val="hr-HR"/>
        </w:rPr>
        <w:t>ij</w:t>
      </w:r>
      <w:r w:rsidRPr="00016704">
        <w:rPr>
          <w:sz w:val="22"/>
          <w:szCs w:val="22"/>
          <w:lang w:val="hr-HR"/>
        </w:rPr>
        <w:t>e prim</w:t>
      </w:r>
      <w:r w:rsidR="00C74333" w:rsidRPr="00016704">
        <w:rPr>
          <w:sz w:val="22"/>
          <w:szCs w:val="22"/>
          <w:lang w:val="hr-HR"/>
        </w:rPr>
        <w:t>j</w:t>
      </w:r>
      <w:r w:rsidRPr="00016704">
        <w:rPr>
          <w:sz w:val="22"/>
          <w:szCs w:val="22"/>
          <w:lang w:val="hr-HR"/>
        </w:rPr>
        <w:t xml:space="preserve">ene su odgovornost korisnika i normalno lijek ne bi trebao da se čuva duže od 24 sata na temperaturi od </w:t>
      </w:r>
      <w:r w:rsidRPr="00016704">
        <w:rPr>
          <w:bCs/>
          <w:sz w:val="22"/>
          <w:szCs w:val="22"/>
          <w:lang w:val="hr-HR"/>
        </w:rPr>
        <w:t>2 °C do 8 °C,</w:t>
      </w:r>
      <w:r w:rsidRPr="00016704">
        <w:rPr>
          <w:sz w:val="22"/>
          <w:szCs w:val="22"/>
          <w:lang w:val="hr-HR"/>
        </w:rPr>
        <w:t xml:space="preserve"> osim ako su rekonstitucija i razblaživanje sprovedeni u kontrolisanim i validiranim aseptičkim uslovima.</w:t>
      </w:r>
    </w:p>
    <w:p w14:paraId="246132B0" w14:textId="77777777" w:rsidR="00786210" w:rsidRPr="00016704" w:rsidRDefault="00786210">
      <w:pPr>
        <w:tabs>
          <w:tab w:val="left" w:pos="284"/>
          <w:tab w:val="center" w:pos="4536"/>
          <w:tab w:val="right" w:pos="9072"/>
        </w:tabs>
        <w:jc w:val="both"/>
        <w:rPr>
          <w:sz w:val="22"/>
          <w:szCs w:val="22"/>
          <w:lang w:val="hr-HR"/>
        </w:rPr>
      </w:pPr>
    </w:p>
    <w:p w14:paraId="3FE25DB5" w14:textId="49D01ABA" w:rsidR="00786210" w:rsidRPr="00016704" w:rsidRDefault="00786210">
      <w:pPr>
        <w:tabs>
          <w:tab w:val="left" w:pos="284"/>
        </w:tabs>
        <w:jc w:val="both"/>
        <w:rPr>
          <w:caps/>
          <w:sz w:val="22"/>
          <w:szCs w:val="22"/>
          <w:lang w:val="sr-Latn-CS"/>
        </w:rPr>
      </w:pPr>
      <w:r w:rsidRPr="00016704">
        <w:rPr>
          <w:b/>
          <w:sz w:val="22"/>
          <w:szCs w:val="22"/>
          <w:lang w:val="hr-HR"/>
        </w:rPr>
        <w:t>Jedna od aktivnih supstanci, ceftolozan, može imati štetne uticaje ukoliko dosp</w:t>
      </w:r>
      <w:r w:rsidR="00C74333" w:rsidRPr="00016704">
        <w:rPr>
          <w:b/>
          <w:sz w:val="22"/>
          <w:szCs w:val="22"/>
          <w:lang w:val="hr-HR"/>
        </w:rPr>
        <w:t>ij</w:t>
      </w:r>
      <w:r w:rsidRPr="00016704">
        <w:rPr>
          <w:b/>
          <w:sz w:val="22"/>
          <w:szCs w:val="22"/>
          <w:lang w:val="hr-HR"/>
        </w:rPr>
        <w:t>e u vodenu sredinu. Nemojte bacati bilo koje neiskorišćene ljekove ili otpadni materijal u otpadne vode. Svu neiskorišćenu količinu lijeka ili otpadnog materijala nakon njegove upotrebe treba ukloniti, u skladu sa važećim propisima. Ove mjere će pomoći u očuvanju životne sredine.</w:t>
      </w:r>
    </w:p>
    <w:p w14:paraId="425E3F15" w14:textId="77777777" w:rsidR="00786210" w:rsidRPr="00016704" w:rsidRDefault="00786210" w:rsidP="00854BF0">
      <w:pPr>
        <w:jc w:val="both"/>
        <w:rPr>
          <w:bCs/>
          <w:sz w:val="22"/>
          <w:szCs w:val="22"/>
          <w:lang w:val="sr-Latn-CS"/>
        </w:rPr>
      </w:pPr>
    </w:p>
    <w:p w14:paraId="5A15B25C" w14:textId="77777777" w:rsidR="00753754" w:rsidRPr="00016704" w:rsidRDefault="00753754" w:rsidP="00753754">
      <w:pPr>
        <w:rPr>
          <w:bCs/>
          <w:sz w:val="22"/>
          <w:szCs w:val="22"/>
          <w:lang w:val="sr-Latn-CS"/>
        </w:rPr>
      </w:pPr>
    </w:p>
    <w:p w14:paraId="2C368BEA" w14:textId="77777777" w:rsidR="00753754" w:rsidRPr="00016704" w:rsidRDefault="00753754" w:rsidP="00753754">
      <w:pPr>
        <w:rPr>
          <w:bCs/>
          <w:sz w:val="22"/>
          <w:szCs w:val="22"/>
          <w:lang w:val="sr-Latn-CS"/>
        </w:rPr>
      </w:pPr>
    </w:p>
    <w:p w14:paraId="09EEAFC9" w14:textId="77777777" w:rsidR="00440196" w:rsidRPr="00016704" w:rsidRDefault="00440196" w:rsidP="00440196">
      <w:pPr>
        <w:rPr>
          <w:bCs/>
          <w:sz w:val="22"/>
          <w:szCs w:val="22"/>
          <w:lang w:val="sr-Latn-CS"/>
        </w:rPr>
      </w:pPr>
    </w:p>
    <w:p w14:paraId="24DA67F8" w14:textId="77777777" w:rsidR="00440196" w:rsidRPr="00016704" w:rsidRDefault="00440196" w:rsidP="00DB53F4">
      <w:pPr>
        <w:rPr>
          <w:b/>
          <w:sz w:val="22"/>
          <w:szCs w:val="22"/>
          <w:lang w:val="sr-Latn-CS"/>
        </w:rPr>
      </w:pPr>
    </w:p>
    <w:sectPr w:rsidR="00440196" w:rsidRPr="00016704"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C02F85" w16cex:dateUtc="2023-09-28T1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68FF9E" w16cid:durableId="28C02F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26A1C" w14:textId="77777777" w:rsidR="00E46B2B" w:rsidRDefault="00E46B2B">
      <w:r>
        <w:separator/>
      </w:r>
    </w:p>
  </w:endnote>
  <w:endnote w:type="continuationSeparator" w:id="0">
    <w:p w14:paraId="17310B81" w14:textId="77777777" w:rsidR="00E46B2B" w:rsidRDefault="00E46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68BBF"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FBF54D"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922AE" w14:textId="6CB43320"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016704">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016704">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C38D3"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3EEA6" w14:textId="77777777" w:rsidR="00E46B2B" w:rsidRDefault="00E46B2B">
      <w:r>
        <w:separator/>
      </w:r>
    </w:p>
  </w:footnote>
  <w:footnote w:type="continuationSeparator" w:id="0">
    <w:p w14:paraId="5492BC72" w14:textId="77777777" w:rsidR="00E46B2B" w:rsidRDefault="00E46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87CA8" w14:textId="77777777" w:rsidR="00890846" w:rsidRDefault="00EF65C8">
    <w:pPr>
      <w:pStyle w:val="Header"/>
      <w:rPr>
        <w:sz w:val="16"/>
        <w:szCs w:val="16"/>
      </w:rPr>
    </w:pPr>
    <w:r w:rsidRPr="005319EA">
      <w:rPr>
        <w:noProof/>
        <w:sz w:val="16"/>
        <w:szCs w:val="16"/>
      </w:rPr>
      <w:drawing>
        <wp:inline distT="0" distB="0" distL="0" distR="0" wp14:anchorId="5865E16A" wp14:editId="57857274">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5C3295A" w14:textId="77777777" w:rsidR="00890846" w:rsidRDefault="00890846">
    <w:pPr>
      <w:pStyle w:val="Header"/>
      <w:rPr>
        <w:sz w:val="16"/>
        <w:szCs w:val="16"/>
      </w:rPr>
    </w:pPr>
  </w:p>
  <w:p w14:paraId="7B161FF5"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1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F20578"/>
    <w:multiLevelType w:val="hybridMultilevel"/>
    <w:tmpl w:val="18827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5832296"/>
    <w:multiLevelType w:val="hybridMultilevel"/>
    <w:tmpl w:val="314E09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E70870"/>
    <w:multiLevelType w:val="hybridMultilevel"/>
    <w:tmpl w:val="E0E6663C"/>
    <w:lvl w:ilvl="0" w:tplc="0409000F">
      <w:start w:val="1"/>
      <w:numFmt w:val="decimal"/>
      <w:lvlText w:val="%1."/>
      <w:lvlJc w:val="left"/>
      <w:pPr>
        <w:ind w:left="144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16"/>
  </w:num>
  <w:num w:numId="16">
    <w:abstractNumId w:val="25"/>
  </w:num>
  <w:num w:numId="17">
    <w:abstractNumId w:val="11"/>
    <w:lvlOverride w:ilvl="0">
      <w:startOverride w:val="1"/>
    </w:lvlOverride>
  </w:num>
  <w:num w:numId="18">
    <w:abstractNumId w:val="23"/>
  </w:num>
  <w:num w:numId="19">
    <w:abstractNumId w:val="21"/>
  </w:num>
  <w:num w:numId="20">
    <w:abstractNumId w:val="19"/>
  </w:num>
  <w:num w:numId="21">
    <w:abstractNumId w:val="17"/>
  </w:num>
  <w:num w:numId="22">
    <w:abstractNumId w:val="12"/>
  </w:num>
  <w:num w:numId="23">
    <w:abstractNumId w:val="13"/>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27"/>
  </w:num>
  <w:num w:numId="30">
    <w:abstractNumId w:val="2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631"/>
    <w:rsid w:val="00004B28"/>
    <w:rsid w:val="00005D7D"/>
    <w:rsid w:val="00006E5C"/>
    <w:rsid w:val="00007DC9"/>
    <w:rsid w:val="000119D9"/>
    <w:rsid w:val="00012793"/>
    <w:rsid w:val="0001398E"/>
    <w:rsid w:val="000144AC"/>
    <w:rsid w:val="00015B8A"/>
    <w:rsid w:val="00016262"/>
    <w:rsid w:val="00016704"/>
    <w:rsid w:val="0002193F"/>
    <w:rsid w:val="000241E3"/>
    <w:rsid w:val="00024245"/>
    <w:rsid w:val="0002593D"/>
    <w:rsid w:val="00025F37"/>
    <w:rsid w:val="00027069"/>
    <w:rsid w:val="0002783F"/>
    <w:rsid w:val="00031CFD"/>
    <w:rsid w:val="000341C6"/>
    <w:rsid w:val="0004033B"/>
    <w:rsid w:val="0004255D"/>
    <w:rsid w:val="000431EF"/>
    <w:rsid w:val="00045553"/>
    <w:rsid w:val="00047229"/>
    <w:rsid w:val="000534C0"/>
    <w:rsid w:val="000537EA"/>
    <w:rsid w:val="000553AB"/>
    <w:rsid w:val="00063BF3"/>
    <w:rsid w:val="0006657B"/>
    <w:rsid w:val="00070BAB"/>
    <w:rsid w:val="00071B1A"/>
    <w:rsid w:val="00071EEF"/>
    <w:rsid w:val="00072C6A"/>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0747"/>
    <w:rsid w:val="0010177B"/>
    <w:rsid w:val="00103180"/>
    <w:rsid w:val="00104023"/>
    <w:rsid w:val="00104BAB"/>
    <w:rsid w:val="00111371"/>
    <w:rsid w:val="00123901"/>
    <w:rsid w:val="00125032"/>
    <w:rsid w:val="00125236"/>
    <w:rsid w:val="00130E5B"/>
    <w:rsid w:val="001327A9"/>
    <w:rsid w:val="001346AA"/>
    <w:rsid w:val="00134B56"/>
    <w:rsid w:val="00135822"/>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1F7396"/>
    <w:rsid w:val="00200104"/>
    <w:rsid w:val="00200DF5"/>
    <w:rsid w:val="00201374"/>
    <w:rsid w:val="00203D65"/>
    <w:rsid w:val="0020566A"/>
    <w:rsid w:val="00206CF1"/>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27F3"/>
    <w:rsid w:val="002B301E"/>
    <w:rsid w:val="002B3EBC"/>
    <w:rsid w:val="002B4447"/>
    <w:rsid w:val="002B4ADA"/>
    <w:rsid w:val="002B5DE3"/>
    <w:rsid w:val="002B6650"/>
    <w:rsid w:val="002B6EA3"/>
    <w:rsid w:val="002C6682"/>
    <w:rsid w:val="002D4B25"/>
    <w:rsid w:val="002D56CD"/>
    <w:rsid w:val="002D7DF8"/>
    <w:rsid w:val="002E0261"/>
    <w:rsid w:val="002E15EE"/>
    <w:rsid w:val="002E2EC8"/>
    <w:rsid w:val="002E5013"/>
    <w:rsid w:val="002E5FDD"/>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0799"/>
    <w:rsid w:val="00371CCC"/>
    <w:rsid w:val="003731D0"/>
    <w:rsid w:val="00377385"/>
    <w:rsid w:val="00383CAA"/>
    <w:rsid w:val="00384EA9"/>
    <w:rsid w:val="00387233"/>
    <w:rsid w:val="00390487"/>
    <w:rsid w:val="00390924"/>
    <w:rsid w:val="003920A5"/>
    <w:rsid w:val="00396B66"/>
    <w:rsid w:val="00397C68"/>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E7106"/>
    <w:rsid w:val="003F1984"/>
    <w:rsid w:val="003F1ECA"/>
    <w:rsid w:val="003F2DBF"/>
    <w:rsid w:val="003F43B4"/>
    <w:rsid w:val="00400912"/>
    <w:rsid w:val="00405585"/>
    <w:rsid w:val="004064CB"/>
    <w:rsid w:val="004068E7"/>
    <w:rsid w:val="00407661"/>
    <w:rsid w:val="00413E18"/>
    <w:rsid w:val="004166C4"/>
    <w:rsid w:val="00416AF0"/>
    <w:rsid w:val="00417A42"/>
    <w:rsid w:val="004205CC"/>
    <w:rsid w:val="004228B9"/>
    <w:rsid w:val="0042441A"/>
    <w:rsid w:val="00424645"/>
    <w:rsid w:val="00426B3B"/>
    <w:rsid w:val="00430180"/>
    <w:rsid w:val="0043781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95A39"/>
    <w:rsid w:val="004A0078"/>
    <w:rsid w:val="004A5CDF"/>
    <w:rsid w:val="004A6C86"/>
    <w:rsid w:val="004A7514"/>
    <w:rsid w:val="004B2780"/>
    <w:rsid w:val="004B29EB"/>
    <w:rsid w:val="004B6BB6"/>
    <w:rsid w:val="004C19EC"/>
    <w:rsid w:val="004C2D24"/>
    <w:rsid w:val="004C4FB4"/>
    <w:rsid w:val="004D2F3A"/>
    <w:rsid w:val="004D368C"/>
    <w:rsid w:val="004D60D6"/>
    <w:rsid w:val="004D6EBE"/>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2562"/>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D66A6"/>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4D96"/>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2F8C"/>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44EAE"/>
    <w:rsid w:val="00752322"/>
    <w:rsid w:val="007524D0"/>
    <w:rsid w:val="00753754"/>
    <w:rsid w:val="00755903"/>
    <w:rsid w:val="00755FC3"/>
    <w:rsid w:val="00756B6F"/>
    <w:rsid w:val="00762662"/>
    <w:rsid w:val="00763206"/>
    <w:rsid w:val="007632B9"/>
    <w:rsid w:val="007633E3"/>
    <w:rsid w:val="00765261"/>
    <w:rsid w:val="007662F7"/>
    <w:rsid w:val="00772F4C"/>
    <w:rsid w:val="00773F67"/>
    <w:rsid w:val="00784958"/>
    <w:rsid w:val="00786210"/>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C79AF"/>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2315"/>
    <w:rsid w:val="00835CF6"/>
    <w:rsid w:val="0084036D"/>
    <w:rsid w:val="00840A50"/>
    <w:rsid w:val="00840DBC"/>
    <w:rsid w:val="008413C2"/>
    <w:rsid w:val="00841A08"/>
    <w:rsid w:val="00842F83"/>
    <w:rsid w:val="008437AF"/>
    <w:rsid w:val="008475F6"/>
    <w:rsid w:val="0085398E"/>
    <w:rsid w:val="00854BF0"/>
    <w:rsid w:val="00855687"/>
    <w:rsid w:val="00856F31"/>
    <w:rsid w:val="0086367B"/>
    <w:rsid w:val="008642BD"/>
    <w:rsid w:val="0086712D"/>
    <w:rsid w:val="0087395E"/>
    <w:rsid w:val="0087404B"/>
    <w:rsid w:val="00875AF7"/>
    <w:rsid w:val="00877ED5"/>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6168"/>
    <w:rsid w:val="008D7ED7"/>
    <w:rsid w:val="008E3485"/>
    <w:rsid w:val="008E7128"/>
    <w:rsid w:val="008F0594"/>
    <w:rsid w:val="008F4CFF"/>
    <w:rsid w:val="008F55C9"/>
    <w:rsid w:val="008F566C"/>
    <w:rsid w:val="00901880"/>
    <w:rsid w:val="00902A3E"/>
    <w:rsid w:val="00907BF3"/>
    <w:rsid w:val="00911701"/>
    <w:rsid w:val="00914FD1"/>
    <w:rsid w:val="0091694A"/>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71BFD"/>
    <w:rsid w:val="00985C83"/>
    <w:rsid w:val="00986B3F"/>
    <w:rsid w:val="00987AEE"/>
    <w:rsid w:val="009907A2"/>
    <w:rsid w:val="0099132A"/>
    <w:rsid w:val="00991D9E"/>
    <w:rsid w:val="00991E7D"/>
    <w:rsid w:val="009971B0"/>
    <w:rsid w:val="00997732"/>
    <w:rsid w:val="009A1129"/>
    <w:rsid w:val="009A1960"/>
    <w:rsid w:val="009A4ACB"/>
    <w:rsid w:val="009A548F"/>
    <w:rsid w:val="009B2D68"/>
    <w:rsid w:val="009B3EAE"/>
    <w:rsid w:val="009B7712"/>
    <w:rsid w:val="009C33E7"/>
    <w:rsid w:val="009C4818"/>
    <w:rsid w:val="009C6A6B"/>
    <w:rsid w:val="009D13B3"/>
    <w:rsid w:val="009D3392"/>
    <w:rsid w:val="009D535F"/>
    <w:rsid w:val="009E257E"/>
    <w:rsid w:val="009E3730"/>
    <w:rsid w:val="009E3DB3"/>
    <w:rsid w:val="009E4453"/>
    <w:rsid w:val="009F0589"/>
    <w:rsid w:val="009F6E4D"/>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5582E"/>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6ED6"/>
    <w:rsid w:val="00A87ACB"/>
    <w:rsid w:val="00A900D5"/>
    <w:rsid w:val="00A922B3"/>
    <w:rsid w:val="00A92C66"/>
    <w:rsid w:val="00A94974"/>
    <w:rsid w:val="00AA169E"/>
    <w:rsid w:val="00AA52C2"/>
    <w:rsid w:val="00AA5D13"/>
    <w:rsid w:val="00AB4731"/>
    <w:rsid w:val="00AB488A"/>
    <w:rsid w:val="00AB5137"/>
    <w:rsid w:val="00AB5584"/>
    <w:rsid w:val="00AC0F67"/>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0A85"/>
    <w:rsid w:val="00B42F73"/>
    <w:rsid w:val="00B43E19"/>
    <w:rsid w:val="00B46B55"/>
    <w:rsid w:val="00B46BE5"/>
    <w:rsid w:val="00B46C91"/>
    <w:rsid w:val="00B47308"/>
    <w:rsid w:val="00B54E17"/>
    <w:rsid w:val="00B5690F"/>
    <w:rsid w:val="00B60222"/>
    <w:rsid w:val="00B66349"/>
    <w:rsid w:val="00B71B51"/>
    <w:rsid w:val="00B72426"/>
    <w:rsid w:val="00B72FDA"/>
    <w:rsid w:val="00B7529A"/>
    <w:rsid w:val="00B82353"/>
    <w:rsid w:val="00B86396"/>
    <w:rsid w:val="00B8710A"/>
    <w:rsid w:val="00B91092"/>
    <w:rsid w:val="00B92E9B"/>
    <w:rsid w:val="00B97CA7"/>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909"/>
    <w:rsid w:val="00BE1CFA"/>
    <w:rsid w:val="00BE3FAC"/>
    <w:rsid w:val="00BF1A10"/>
    <w:rsid w:val="00BF353B"/>
    <w:rsid w:val="00C016C0"/>
    <w:rsid w:val="00C04194"/>
    <w:rsid w:val="00C04C5F"/>
    <w:rsid w:val="00C13630"/>
    <w:rsid w:val="00C14C1B"/>
    <w:rsid w:val="00C17F0F"/>
    <w:rsid w:val="00C22BE5"/>
    <w:rsid w:val="00C23B01"/>
    <w:rsid w:val="00C269D7"/>
    <w:rsid w:val="00C30F92"/>
    <w:rsid w:val="00C325D1"/>
    <w:rsid w:val="00C42008"/>
    <w:rsid w:val="00C43CCE"/>
    <w:rsid w:val="00C45B64"/>
    <w:rsid w:val="00C45B7C"/>
    <w:rsid w:val="00C527B5"/>
    <w:rsid w:val="00C54EE5"/>
    <w:rsid w:val="00C5558E"/>
    <w:rsid w:val="00C64BFF"/>
    <w:rsid w:val="00C66783"/>
    <w:rsid w:val="00C720CA"/>
    <w:rsid w:val="00C74333"/>
    <w:rsid w:val="00C74F9D"/>
    <w:rsid w:val="00C77D13"/>
    <w:rsid w:val="00C82354"/>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D7D15"/>
    <w:rsid w:val="00CE3E04"/>
    <w:rsid w:val="00CE3FCF"/>
    <w:rsid w:val="00CE402B"/>
    <w:rsid w:val="00CE4FC8"/>
    <w:rsid w:val="00CE6BB2"/>
    <w:rsid w:val="00CE74A5"/>
    <w:rsid w:val="00CF11B7"/>
    <w:rsid w:val="00CF1B2D"/>
    <w:rsid w:val="00CF6FD4"/>
    <w:rsid w:val="00D00E59"/>
    <w:rsid w:val="00D01E45"/>
    <w:rsid w:val="00D03C24"/>
    <w:rsid w:val="00D0580B"/>
    <w:rsid w:val="00D10F18"/>
    <w:rsid w:val="00D125C2"/>
    <w:rsid w:val="00D14EBE"/>
    <w:rsid w:val="00D159B6"/>
    <w:rsid w:val="00D178E2"/>
    <w:rsid w:val="00D17CBD"/>
    <w:rsid w:val="00D23391"/>
    <w:rsid w:val="00D2354D"/>
    <w:rsid w:val="00D25CE6"/>
    <w:rsid w:val="00D26BDF"/>
    <w:rsid w:val="00D270D2"/>
    <w:rsid w:val="00D32FA5"/>
    <w:rsid w:val="00D33D32"/>
    <w:rsid w:val="00D33E11"/>
    <w:rsid w:val="00D358A5"/>
    <w:rsid w:val="00D35E5C"/>
    <w:rsid w:val="00D41A0C"/>
    <w:rsid w:val="00D44586"/>
    <w:rsid w:val="00D45A18"/>
    <w:rsid w:val="00D46B3A"/>
    <w:rsid w:val="00D5482E"/>
    <w:rsid w:val="00D55132"/>
    <w:rsid w:val="00D57CE1"/>
    <w:rsid w:val="00D64AE6"/>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29F6"/>
    <w:rsid w:val="00DA43D3"/>
    <w:rsid w:val="00DA4FA9"/>
    <w:rsid w:val="00DA7663"/>
    <w:rsid w:val="00DB019A"/>
    <w:rsid w:val="00DB1EB2"/>
    <w:rsid w:val="00DB34F0"/>
    <w:rsid w:val="00DB4456"/>
    <w:rsid w:val="00DB53F4"/>
    <w:rsid w:val="00DC730A"/>
    <w:rsid w:val="00DD12E9"/>
    <w:rsid w:val="00DD40A8"/>
    <w:rsid w:val="00DE41C7"/>
    <w:rsid w:val="00DE44D4"/>
    <w:rsid w:val="00DF55F5"/>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46B2B"/>
    <w:rsid w:val="00E520B8"/>
    <w:rsid w:val="00E529D9"/>
    <w:rsid w:val="00E55C58"/>
    <w:rsid w:val="00E57592"/>
    <w:rsid w:val="00E6105D"/>
    <w:rsid w:val="00E622AB"/>
    <w:rsid w:val="00E62DDA"/>
    <w:rsid w:val="00E6440F"/>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1F0B"/>
    <w:rsid w:val="00ED3781"/>
    <w:rsid w:val="00ED4841"/>
    <w:rsid w:val="00ED7528"/>
    <w:rsid w:val="00EE2DC2"/>
    <w:rsid w:val="00EE7BD3"/>
    <w:rsid w:val="00EF08DD"/>
    <w:rsid w:val="00EF2BAF"/>
    <w:rsid w:val="00EF3089"/>
    <w:rsid w:val="00EF4298"/>
    <w:rsid w:val="00EF65C8"/>
    <w:rsid w:val="00F01E3B"/>
    <w:rsid w:val="00F0212A"/>
    <w:rsid w:val="00F02314"/>
    <w:rsid w:val="00F03137"/>
    <w:rsid w:val="00F0521F"/>
    <w:rsid w:val="00F075EE"/>
    <w:rsid w:val="00F07897"/>
    <w:rsid w:val="00F1575B"/>
    <w:rsid w:val="00F202FB"/>
    <w:rsid w:val="00F20BD2"/>
    <w:rsid w:val="00F22B28"/>
    <w:rsid w:val="00F2562D"/>
    <w:rsid w:val="00F264C2"/>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4AAB"/>
    <w:rsid w:val="00F850ED"/>
    <w:rsid w:val="00F8537B"/>
    <w:rsid w:val="00F92454"/>
    <w:rsid w:val="00F92A2F"/>
    <w:rsid w:val="00F93716"/>
    <w:rsid w:val="00F96E5A"/>
    <w:rsid w:val="00FA151C"/>
    <w:rsid w:val="00FA22AD"/>
    <w:rsid w:val="00FA2A7B"/>
    <w:rsid w:val="00FA5394"/>
    <w:rsid w:val="00FB0AF5"/>
    <w:rsid w:val="00FB1BBF"/>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E265D"/>
    <w:rsid w:val="00FF0642"/>
    <w:rsid w:val="00FF1310"/>
    <w:rsid w:val="00FF1F9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507AD0"/>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971BFD"/>
    <w:pPr>
      <w:ind w:left="720"/>
      <w:contextualSpacing/>
    </w:pPr>
  </w:style>
  <w:style w:type="paragraph" w:customStyle="1" w:styleId="Default">
    <w:name w:val="Default"/>
    <w:rsid w:val="00370799"/>
    <w:pPr>
      <w:autoSpaceDE w:val="0"/>
      <w:autoSpaceDN w:val="0"/>
      <w:adjustRightInd w:val="0"/>
    </w:pPr>
    <w:rPr>
      <w:color w:val="000000"/>
      <w:sz w:val="24"/>
      <w:szCs w:val="24"/>
      <w:lang w:val="en-US"/>
    </w:rPr>
  </w:style>
  <w:style w:type="paragraph" w:styleId="Revision">
    <w:name w:val="Revision"/>
    <w:hidden/>
    <w:uiPriority w:val="99"/>
    <w:semiHidden/>
    <w:rsid w:val="00D64AE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670E7-1FFF-4038-AFFC-2AF3D970C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2948</Words>
  <Characters>16804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Olja Borozan</cp:lastModifiedBy>
  <cp:revision>4</cp:revision>
  <cp:lastPrinted>2010-03-01T14:10:00Z</cp:lastPrinted>
  <dcterms:created xsi:type="dcterms:W3CDTF">2023-09-28T15:05:00Z</dcterms:created>
  <dcterms:modified xsi:type="dcterms:W3CDTF">2023-10-25T06:22:00Z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81acc0d-dcc4-4dc9-a2c5-be70b05a2fe6_Enabled">
    <vt:lpwstr>true</vt:lpwstr>
  </property>
  <property fmtid="{D5CDD505-2E9C-101B-9397-08002B2CF9AE}" pid="4" name="MSIP_Label_e81acc0d-dcc4-4dc9-a2c5-be70b05a2fe6_SetDate">
    <vt:lpwstr>2022-11-03T11:52:29Z</vt:lpwstr>
  </property>
  <property fmtid="{D5CDD505-2E9C-101B-9397-08002B2CF9AE}" pid="5" name="MSIP_Label_e81acc0d-dcc4-4dc9-a2c5-be70b05a2fe6_Method">
    <vt:lpwstr>Privileged</vt:lpwstr>
  </property>
  <property fmtid="{D5CDD505-2E9C-101B-9397-08002B2CF9AE}" pid="6" name="MSIP_Label_e81acc0d-dcc4-4dc9-a2c5-be70b05a2fe6_Name">
    <vt:lpwstr>e81acc0d-dcc4-4dc9-a2c5-be70b05a2fe6</vt:lpwstr>
  </property>
  <property fmtid="{D5CDD505-2E9C-101B-9397-08002B2CF9AE}" pid="7" name="MSIP_Label_e81acc0d-dcc4-4dc9-a2c5-be70b05a2fe6_SiteId">
    <vt:lpwstr>a00de4ec-48a8-43a6-be74-e31274e2060d</vt:lpwstr>
  </property>
  <property fmtid="{D5CDD505-2E9C-101B-9397-08002B2CF9AE}" pid="8" name="MSIP_Label_e81acc0d-dcc4-4dc9-a2c5-be70b05a2fe6_ActionId">
    <vt:lpwstr>aefae18d-11bf-433e-9c19-f7e312c92c66</vt:lpwstr>
  </property>
  <property fmtid="{D5CDD505-2E9C-101B-9397-08002B2CF9AE}" pid="9" name="MSIP_Label_e81acc0d-dcc4-4dc9-a2c5-be70b05a2fe6_ContentBits">
    <vt:lpwstr>0</vt:lpwstr>
  </property>
  <property fmtid="{D5CDD505-2E9C-101B-9397-08002B2CF9AE}" pid="10" name="MerckAIPLabel">
    <vt:lpwstr>NotClassified</vt:lpwstr>
  </property>
  <property fmtid="{D5CDD505-2E9C-101B-9397-08002B2CF9AE}" pid="11" name="MerckAIPDataExchange">
    <vt:lpwstr>!MRKMIP@NotClassified</vt:lpwstr>
  </property>
</Properties>
</file>