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ED5E" w14:textId="6C4C86CD" w:rsidR="002510A5" w:rsidRPr="00E87295" w:rsidRDefault="002510A5" w:rsidP="00E8617D">
      <w:pPr>
        <w:jc w:val="center"/>
        <w:rPr>
          <w:b/>
          <w:bCs/>
          <w:iCs/>
          <w:sz w:val="22"/>
          <w:szCs w:val="22"/>
          <w:u w:val="single"/>
        </w:rPr>
      </w:pPr>
      <w:r w:rsidRPr="00E87295">
        <w:rPr>
          <w:b/>
          <w:bCs/>
          <w:iCs/>
          <w:sz w:val="22"/>
          <w:szCs w:val="22"/>
          <w:u w:val="single"/>
        </w:rPr>
        <w:t>SAŽETAK KARAKTERISTIKA LIJEKA</w:t>
      </w:r>
    </w:p>
    <w:p w14:paraId="5A76DE34" w14:textId="77777777" w:rsidR="00CA570E" w:rsidRPr="00E87295" w:rsidRDefault="00CA570E" w:rsidP="00317932">
      <w:pPr>
        <w:spacing w:afterLines="80" w:after="192"/>
        <w:jc w:val="center"/>
        <w:rPr>
          <w:b/>
          <w:bCs/>
          <w:iCs/>
          <w:sz w:val="22"/>
          <w:szCs w:val="22"/>
          <w:u w:val="single"/>
        </w:rPr>
      </w:pPr>
    </w:p>
    <w:p w14:paraId="6D8010A0" w14:textId="77777777" w:rsidR="003C17AB" w:rsidRPr="00E87295" w:rsidRDefault="003C17AB" w:rsidP="00F2157B">
      <w:pPr>
        <w:tabs>
          <w:tab w:val="left" w:pos="540"/>
          <w:tab w:val="left" w:pos="569"/>
        </w:tabs>
        <w:jc w:val="both"/>
        <w:rPr>
          <w:noProof/>
          <w:sz w:val="22"/>
          <w:szCs w:val="22"/>
          <w:lang w:val="hr-HR"/>
        </w:rPr>
      </w:pPr>
    </w:p>
    <w:p w14:paraId="650AB785" w14:textId="77777777" w:rsidR="00C37FD7" w:rsidRPr="00E87295" w:rsidRDefault="00C37FD7" w:rsidP="00F2157B">
      <w:pPr>
        <w:tabs>
          <w:tab w:val="left" w:pos="540"/>
          <w:tab w:val="left" w:pos="569"/>
        </w:tabs>
        <w:jc w:val="both"/>
        <w:rPr>
          <w:bCs/>
          <w:sz w:val="22"/>
          <w:szCs w:val="22"/>
        </w:rPr>
      </w:pPr>
    </w:p>
    <w:p w14:paraId="672F61B9" w14:textId="77777777" w:rsidR="00411B4B" w:rsidRPr="00E87295" w:rsidRDefault="00411B4B" w:rsidP="00F2157B">
      <w:pPr>
        <w:tabs>
          <w:tab w:val="left" w:pos="540"/>
          <w:tab w:val="left" w:pos="569"/>
        </w:tabs>
        <w:jc w:val="both"/>
        <w:rPr>
          <w:b/>
          <w:bCs/>
          <w:sz w:val="22"/>
          <w:szCs w:val="22"/>
        </w:rPr>
      </w:pPr>
      <w:r w:rsidRPr="00E87295">
        <w:rPr>
          <w:b/>
          <w:bCs/>
          <w:sz w:val="22"/>
          <w:szCs w:val="22"/>
        </w:rPr>
        <w:t>1.</w:t>
      </w:r>
      <w:r w:rsidR="00F5167F" w:rsidRPr="00E87295">
        <w:rPr>
          <w:b/>
          <w:bCs/>
          <w:sz w:val="22"/>
          <w:szCs w:val="22"/>
        </w:rPr>
        <w:tab/>
      </w:r>
      <w:r w:rsidR="002846DB" w:rsidRPr="00E87295">
        <w:rPr>
          <w:b/>
          <w:bCs/>
          <w:sz w:val="22"/>
          <w:szCs w:val="22"/>
        </w:rPr>
        <w:t xml:space="preserve">NAZIV </w:t>
      </w:r>
      <w:r w:rsidRPr="00E87295">
        <w:rPr>
          <w:b/>
          <w:bCs/>
          <w:sz w:val="22"/>
          <w:szCs w:val="22"/>
        </w:rPr>
        <w:t>LIJEKA</w:t>
      </w:r>
    </w:p>
    <w:p w14:paraId="1FC4F271" w14:textId="77777777" w:rsidR="00EC2532" w:rsidRPr="00E87295" w:rsidRDefault="00EC2532" w:rsidP="00F2157B">
      <w:pPr>
        <w:jc w:val="both"/>
        <w:rPr>
          <w:sz w:val="22"/>
          <w:szCs w:val="22"/>
          <w:lang w:val="pl-PL"/>
        </w:rPr>
      </w:pPr>
    </w:p>
    <w:p w14:paraId="619592AB" w14:textId="0DEAF0EC" w:rsidR="007677A5" w:rsidRPr="00E87295" w:rsidRDefault="00D53FE0" w:rsidP="00F2157B">
      <w:pPr>
        <w:spacing w:afterLines="80" w:after="192"/>
        <w:jc w:val="both"/>
        <w:rPr>
          <w:sz w:val="22"/>
          <w:szCs w:val="22"/>
          <w:lang w:val="sr-Latn-RS"/>
        </w:rPr>
      </w:pPr>
      <w:r w:rsidRPr="00E87295">
        <w:rPr>
          <w:sz w:val="22"/>
          <w:szCs w:val="22"/>
          <w:lang w:val="sr-Latn-RS"/>
        </w:rPr>
        <w:t>Tremfya</w:t>
      </w:r>
      <w:r w:rsidR="007677A5" w:rsidRPr="00E87295">
        <w:rPr>
          <w:sz w:val="22"/>
          <w:szCs w:val="22"/>
          <w:lang w:val="sr-Latn-RS"/>
        </w:rPr>
        <w:t>, 100 mg/ml, rastvor za injekciju u napunjenom injekcionom špricu</w:t>
      </w:r>
    </w:p>
    <w:p w14:paraId="42289E1C" w14:textId="77777777" w:rsidR="007677A5" w:rsidRPr="00E87295" w:rsidRDefault="007677A5" w:rsidP="00F2157B">
      <w:pPr>
        <w:spacing w:afterLines="80" w:after="192"/>
        <w:jc w:val="both"/>
        <w:rPr>
          <w:sz w:val="22"/>
          <w:szCs w:val="22"/>
          <w:lang w:val="sr-Latn-RS"/>
        </w:rPr>
      </w:pPr>
      <w:r w:rsidRPr="00E87295">
        <w:rPr>
          <w:sz w:val="22"/>
          <w:szCs w:val="22"/>
          <w:lang w:val="sr-Latn-RS"/>
        </w:rPr>
        <w:t>INN: guselkumab</w:t>
      </w:r>
    </w:p>
    <w:p w14:paraId="499922DD" w14:textId="77777777" w:rsidR="00530BD7" w:rsidRPr="00E87295" w:rsidRDefault="00530BD7" w:rsidP="00F2157B">
      <w:pPr>
        <w:jc w:val="both"/>
        <w:rPr>
          <w:bCs/>
          <w:sz w:val="22"/>
          <w:szCs w:val="22"/>
          <w:lang w:val="sv-SE"/>
        </w:rPr>
      </w:pPr>
    </w:p>
    <w:p w14:paraId="12DB562C" w14:textId="77777777" w:rsidR="00411B4B" w:rsidRPr="00E87295" w:rsidRDefault="00411B4B" w:rsidP="00F2157B">
      <w:pPr>
        <w:tabs>
          <w:tab w:val="left" w:pos="540"/>
          <w:tab w:val="left" w:pos="569"/>
        </w:tabs>
        <w:jc w:val="both"/>
        <w:rPr>
          <w:b/>
          <w:bCs/>
          <w:sz w:val="22"/>
          <w:szCs w:val="22"/>
        </w:rPr>
      </w:pPr>
      <w:r w:rsidRPr="00E87295">
        <w:rPr>
          <w:b/>
          <w:bCs/>
          <w:sz w:val="22"/>
          <w:szCs w:val="22"/>
        </w:rPr>
        <w:t xml:space="preserve">2. </w:t>
      </w:r>
      <w:r w:rsidR="00F5167F" w:rsidRPr="00E87295">
        <w:rPr>
          <w:b/>
          <w:bCs/>
          <w:sz w:val="22"/>
          <w:szCs w:val="22"/>
        </w:rPr>
        <w:tab/>
      </w:r>
      <w:r w:rsidRPr="00E87295">
        <w:rPr>
          <w:b/>
          <w:bCs/>
          <w:sz w:val="22"/>
          <w:szCs w:val="22"/>
        </w:rPr>
        <w:t>KVALITATIVNI I KVANTITATIVNI SASTAV</w:t>
      </w:r>
    </w:p>
    <w:p w14:paraId="0385A051" w14:textId="77777777" w:rsidR="005A0B2E" w:rsidRPr="00E87295" w:rsidRDefault="005A0B2E" w:rsidP="00F2157B">
      <w:pPr>
        <w:jc w:val="both"/>
        <w:rPr>
          <w:sz w:val="22"/>
          <w:szCs w:val="22"/>
          <w:lang w:val="sr-Latn-CS"/>
        </w:rPr>
      </w:pPr>
    </w:p>
    <w:p w14:paraId="3863FE18" w14:textId="77777777" w:rsidR="007677A5" w:rsidRPr="00E87295" w:rsidRDefault="007677A5" w:rsidP="00F2157B">
      <w:pPr>
        <w:ind w:left="20"/>
        <w:jc w:val="both"/>
        <w:rPr>
          <w:sz w:val="22"/>
          <w:szCs w:val="22"/>
          <w:lang w:val="sr-Latn-RS"/>
        </w:rPr>
      </w:pPr>
      <w:r w:rsidRPr="00E87295">
        <w:rPr>
          <w:sz w:val="22"/>
          <w:szCs w:val="22"/>
          <w:lang w:val="sr-Latn-RS"/>
        </w:rPr>
        <w:t>Jedan napunjen</w:t>
      </w:r>
      <w:r w:rsidR="00AA1931" w:rsidRPr="00E87295">
        <w:rPr>
          <w:sz w:val="22"/>
          <w:szCs w:val="22"/>
          <w:lang w:val="sr-Latn-RS"/>
        </w:rPr>
        <w:t>i</w:t>
      </w:r>
      <w:r w:rsidRPr="00E87295">
        <w:rPr>
          <w:sz w:val="22"/>
          <w:szCs w:val="22"/>
          <w:lang w:val="sr-Latn-RS"/>
        </w:rPr>
        <w:t xml:space="preserve"> injekcioni špric sadrži 100 mg guselkumaba u 1 ml rastvora.</w:t>
      </w:r>
    </w:p>
    <w:p w14:paraId="6355220C" w14:textId="77777777" w:rsidR="00515CB7" w:rsidRPr="00E87295" w:rsidRDefault="00515CB7" w:rsidP="00515CB7">
      <w:pPr>
        <w:ind w:left="20"/>
        <w:jc w:val="both"/>
        <w:rPr>
          <w:sz w:val="22"/>
          <w:szCs w:val="22"/>
          <w:lang w:val="sr-Latn-RS"/>
        </w:rPr>
      </w:pPr>
    </w:p>
    <w:p w14:paraId="6F17C12C" w14:textId="00C518F0" w:rsidR="007677A5" w:rsidRPr="00E87295" w:rsidRDefault="007677A5" w:rsidP="00F2157B">
      <w:pPr>
        <w:ind w:left="20"/>
        <w:jc w:val="both"/>
        <w:rPr>
          <w:sz w:val="22"/>
          <w:szCs w:val="22"/>
          <w:lang w:val="sr-Latn-RS"/>
        </w:rPr>
      </w:pPr>
      <w:r w:rsidRPr="00E87295">
        <w:rPr>
          <w:sz w:val="22"/>
          <w:szCs w:val="22"/>
          <w:lang w:val="sr-Latn-RS"/>
        </w:rPr>
        <w:t xml:space="preserve">Guselkumab je </w:t>
      </w:r>
      <w:r w:rsidR="00426E76" w:rsidRPr="00E87295">
        <w:rPr>
          <w:sz w:val="22"/>
          <w:szCs w:val="22"/>
          <w:lang w:val="sr-Latn-RS"/>
        </w:rPr>
        <w:t xml:space="preserve">potpuno </w:t>
      </w:r>
      <w:r w:rsidRPr="00E87295">
        <w:rPr>
          <w:sz w:val="22"/>
          <w:szCs w:val="22"/>
          <w:lang w:val="sr-Latn-RS"/>
        </w:rPr>
        <w:t>humano monoklonsko imunoglobulinsko G1 lambda (IgG1</w:t>
      </w:r>
      <w:r w:rsidRPr="00E87295">
        <w:rPr>
          <w:sz w:val="22"/>
          <w:szCs w:val="22"/>
          <w:lang w:val="sr-Latn-RS"/>
        </w:rPr>
        <w:sym w:font="Symbol" w:char="F06C"/>
      </w:r>
      <w:r w:rsidRPr="00E87295">
        <w:rPr>
          <w:sz w:val="22"/>
          <w:szCs w:val="22"/>
          <w:lang w:val="sr-Latn-RS"/>
        </w:rPr>
        <w:t>)</w:t>
      </w:r>
      <w:r w:rsidR="006876BF" w:rsidRPr="00E87295">
        <w:rPr>
          <w:sz w:val="22"/>
          <w:szCs w:val="22"/>
          <w:lang w:val="sr-Latn-RS"/>
        </w:rPr>
        <w:t xml:space="preserve"> antitijelo</w:t>
      </w:r>
      <w:r w:rsidRPr="00E87295">
        <w:rPr>
          <w:sz w:val="22"/>
          <w:szCs w:val="22"/>
          <w:lang w:val="sr-Latn-RS"/>
        </w:rPr>
        <w:t xml:space="preserve">, </w:t>
      </w:r>
      <w:r w:rsidRPr="00C929E2">
        <w:rPr>
          <w:sz w:val="22"/>
          <w:szCs w:val="22"/>
          <w:lang w:val="sr-Latn-RS"/>
        </w:rPr>
        <w:t>proizvedeno primjenom rekombinantne DNK tehnologije iz ćelija jajnika kineskog hrčka.</w:t>
      </w:r>
    </w:p>
    <w:p w14:paraId="7D5AA8BF" w14:textId="77777777" w:rsidR="007677A5" w:rsidRPr="00E87295" w:rsidRDefault="007677A5" w:rsidP="00E8617D">
      <w:pPr>
        <w:jc w:val="both"/>
        <w:rPr>
          <w:sz w:val="22"/>
          <w:szCs w:val="22"/>
          <w:lang w:val="sr-Latn-CS"/>
        </w:rPr>
      </w:pPr>
    </w:p>
    <w:p w14:paraId="1A0899A8" w14:textId="77777777" w:rsidR="0003793F" w:rsidRPr="00E87295" w:rsidRDefault="0003793F" w:rsidP="00F2157B">
      <w:pPr>
        <w:jc w:val="both"/>
        <w:rPr>
          <w:sz w:val="22"/>
          <w:szCs w:val="22"/>
          <w:lang w:val="sr-Latn-CS"/>
        </w:rPr>
      </w:pPr>
      <w:r w:rsidRPr="00E87295">
        <w:rPr>
          <w:sz w:val="22"/>
          <w:szCs w:val="22"/>
          <w:lang w:val="sr-Latn-CS"/>
        </w:rPr>
        <w:t>Za spisak svih ekscipijenasa, pogledati dio 6.1.</w:t>
      </w:r>
    </w:p>
    <w:p w14:paraId="56FB75A8" w14:textId="77777777" w:rsidR="0003793F" w:rsidRPr="00E87295" w:rsidRDefault="0003793F" w:rsidP="00F2157B">
      <w:pPr>
        <w:jc w:val="both"/>
        <w:rPr>
          <w:sz w:val="22"/>
          <w:szCs w:val="22"/>
          <w:lang w:val="sr-Latn-CS"/>
        </w:rPr>
      </w:pPr>
    </w:p>
    <w:p w14:paraId="07DD8DA5" w14:textId="77777777" w:rsidR="00C37FD7" w:rsidRPr="00E87295" w:rsidRDefault="00C37FD7" w:rsidP="00F2157B">
      <w:pPr>
        <w:jc w:val="both"/>
        <w:rPr>
          <w:sz w:val="22"/>
          <w:szCs w:val="22"/>
          <w:lang w:val="sr-Latn-CS"/>
        </w:rPr>
      </w:pPr>
    </w:p>
    <w:p w14:paraId="598F9DB9" w14:textId="77777777" w:rsidR="00411B4B" w:rsidRPr="00C929E2" w:rsidRDefault="00411B4B" w:rsidP="00F2157B">
      <w:pPr>
        <w:tabs>
          <w:tab w:val="left" w:pos="540"/>
          <w:tab w:val="left" w:pos="569"/>
        </w:tabs>
        <w:jc w:val="both"/>
        <w:rPr>
          <w:b/>
          <w:bCs/>
          <w:sz w:val="22"/>
          <w:szCs w:val="22"/>
          <w:lang w:val="sr-Latn-CS"/>
        </w:rPr>
      </w:pPr>
      <w:r w:rsidRPr="00C929E2">
        <w:rPr>
          <w:b/>
          <w:bCs/>
          <w:sz w:val="22"/>
          <w:szCs w:val="22"/>
          <w:lang w:val="sr-Latn-CS"/>
        </w:rPr>
        <w:t xml:space="preserve">3. </w:t>
      </w:r>
      <w:r w:rsidR="00F5167F" w:rsidRPr="00C929E2">
        <w:rPr>
          <w:b/>
          <w:bCs/>
          <w:sz w:val="22"/>
          <w:szCs w:val="22"/>
          <w:lang w:val="sr-Latn-CS"/>
        </w:rPr>
        <w:tab/>
      </w:r>
      <w:r w:rsidRPr="00E87295">
        <w:rPr>
          <w:b/>
          <w:bCs/>
          <w:sz w:val="22"/>
          <w:szCs w:val="22"/>
        </w:rPr>
        <w:t>FARMACEUTSKI</w:t>
      </w:r>
      <w:r w:rsidRPr="00C929E2">
        <w:rPr>
          <w:b/>
          <w:bCs/>
          <w:sz w:val="22"/>
          <w:szCs w:val="22"/>
          <w:lang w:val="sr-Latn-CS"/>
        </w:rPr>
        <w:t xml:space="preserve"> </w:t>
      </w:r>
      <w:r w:rsidRPr="00E87295">
        <w:rPr>
          <w:b/>
          <w:bCs/>
          <w:sz w:val="22"/>
          <w:szCs w:val="22"/>
        </w:rPr>
        <w:t>OBLIK</w:t>
      </w:r>
      <w:r w:rsidR="009F2D23" w:rsidRPr="00C929E2">
        <w:rPr>
          <w:b/>
          <w:bCs/>
          <w:sz w:val="22"/>
          <w:szCs w:val="22"/>
          <w:lang w:val="sr-Latn-CS"/>
        </w:rPr>
        <w:t xml:space="preserve"> </w:t>
      </w:r>
    </w:p>
    <w:p w14:paraId="75A2B78B" w14:textId="77777777" w:rsidR="00411B4B" w:rsidRPr="00E87295" w:rsidRDefault="00411B4B" w:rsidP="00F2157B">
      <w:pPr>
        <w:jc w:val="both"/>
        <w:rPr>
          <w:bCs/>
          <w:sz w:val="22"/>
          <w:szCs w:val="22"/>
          <w:lang w:val="sr-Latn-CS"/>
        </w:rPr>
      </w:pPr>
    </w:p>
    <w:p w14:paraId="7E683A91" w14:textId="3181BE22" w:rsidR="007677A5" w:rsidRPr="00E87295" w:rsidRDefault="007677A5" w:rsidP="00F2157B">
      <w:pPr>
        <w:ind w:left="20"/>
        <w:jc w:val="both"/>
        <w:rPr>
          <w:sz w:val="22"/>
          <w:szCs w:val="22"/>
          <w:lang w:val="sr-Latn-RS"/>
        </w:rPr>
      </w:pPr>
      <w:r w:rsidRPr="00E87295">
        <w:rPr>
          <w:sz w:val="22"/>
          <w:szCs w:val="22"/>
          <w:lang w:val="sr-Latn-RS"/>
        </w:rPr>
        <w:t>Rastvor za injekciju u napunjenom injekcionom špricu.</w:t>
      </w:r>
    </w:p>
    <w:p w14:paraId="5967E04A" w14:textId="77777777" w:rsidR="006876BF" w:rsidRPr="00E87295" w:rsidRDefault="006876BF" w:rsidP="00F2157B">
      <w:pPr>
        <w:ind w:left="20"/>
        <w:jc w:val="both"/>
        <w:rPr>
          <w:sz w:val="22"/>
          <w:szCs w:val="22"/>
          <w:lang w:val="sr-Latn-RS"/>
        </w:rPr>
      </w:pPr>
    </w:p>
    <w:p w14:paraId="7F9BBC3E" w14:textId="77777777" w:rsidR="007677A5" w:rsidRPr="00E87295" w:rsidRDefault="007677A5" w:rsidP="00F2157B">
      <w:pPr>
        <w:ind w:left="20"/>
        <w:jc w:val="both"/>
        <w:rPr>
          <w:sz w:val="22"/>
          <w:szCs w:val="22"/>
          <w:lang w:val="sr-Latn-RS"/>
        </w:rPr>
      </w:pPr>
      <w:r w:rsidRPr="00E87295">
        <w:rPr>
          <w:sz w:val="22"/>
          <w:szCs w:val="22"/>
          <w:lang w:val="sr-Latn-RS"/>
        </w:rPr>
        <w:t>Rastvor je bistar i bezbojan do sv</w:t>
      </w:r>
      <w:r w:rsidR="00566A94" w:rsidRPr="00E87295">
        <w:rPr>
          <w:sz w:val="22"/>
          <w:szCs w:val="22"/>
          <w:lang w:val="sr-Latn-RS"/>
        </w:rPr>
        <w:t>ij</w:t>
      </w:r>
      <w:r w:rsidRPr="00E87295">
        <w:rPr>
          <w:sz w:val="22"/>
          <w:szCs w:val="22"/>
          <w:lang w:val="sr-Latn-RS"/>
        </w:rPr>
        <w:t>etložute boje.</w:t>
      </w:r>
    </w:p>
    <w:p w14:paraId="14918233" w14:textId="74A13451" w:rsidR="00EC2532" w:rsidRPr="00E87295" w:rsidRDefault="00EC2532" w:rsidP="00515CB7">
      <w:pPr>
        <w:jc w:val="both"/>
        <w:rPr>
          <w:bCs/>
          <w:sz w:val="22"/>
          <w:szCs w:val="22"/>
          <w:lang w:val="sr-Latn-CS"/>
        </w:rPr>
      </w:pPr>
    </w:p>
    <w:p w14:paraId="6760F664" w14:textId="77777777" w:rsidR="00515CB7" w:rsidRPr="00E87295" w:rsidRDefault="00515CB7" w:rsidP="00E8617D">
      <w:pPr>
        <w:jc w:val="both"/>
        <w:rPr>
          <w:bCs/>
          <w:sz w:val="22"/>
          <w:szCs w:val="22"/>
          <w:lang w:val="sr-Latn-CS"/>
        </w:rPr>
      </w:pPr>
    </w:p>
    <w:p w14:paraId="2D3C92C1" w14:textId="77777777" w:rsidR="00411B4B" w:rsidRPr="00C929E2" w:rsidRDefault="00411B4B" w:rsidP="006846CF">
      <w:pPr>
        <w:tabs>
          <w:tab w:val="left" w:pos="540"/>
          <w:tab w:val="left" w:pos="569"/>
        </w:tabs>
        <w:jc w:val="both"/>
        <w:rPr>
          <w:b/>
          <w:bCs/>
          <w:sz w:val="22"/>
          <w:szCs w:val="22"/>
          <w:lang w:val="sr-Latn-CS"/>
        </w:rPr>
      </w:pPr>
      <w:r w:rsidRPr="00C929E2">
        <w:rPr>
          <w:b/>
          <w:bCs/>
          <w:sz w:val="22"/>
          <w:szCs w:val="22"/>
          <w:lang w:val="sr-Latn-CS"/>
        </w:rPr>
        <w:t xml:space="preserve">4. </w:t>
      </w:r>
      <w:r w:rsidR="00480FB1" w:rsidRPr="00C929E2">
        <w:rPr>
          <w:b/>
          <w:bCs/>
          <w:sz w:val="22"/>
          <w:szCs w:val="22"/>
          <w:lang w:val="sr-Latn-CS"/>
        </w:rPr>
        <w:tab/>
      </w:r>
      <w:r w:rsidRPr="00E87295">
        <w:rPr>
          <w:b/>
          <w:bCs/>
          <w:sz w:val="22"/>
          <w:szCs w:val="22"/>
        </w:rPr>
        <w:t>KLINI</w:t>
      </w:r>
      <w:r w:rsidRPr="00C929E2">
        <w:rPr>
          <w:b/>
          <w:bCs/>
          <w:sz w:val="22"/>
          <w:szCs w:val="22"/>
          <w:lang w:val="sr-Latn-CS"/>
        </w:rPr>
        <w:t>Č</w:t>
      </w:r>
      <w:r w:rsidRPr="00E87295">
        <w:rPr>
          <w:b/>
          <w:bCs/>
          <w:sz w:val="22"/>
          <w:szCs w:val="22"/>
        </w:rPr>
        <w:t>KI</w:t>
      </w:r>
      <w:r w:rsidRPr="00C929E2">
        <w:rPr>
          <w:b/>
          <w:bCs/>
          <w:sz w:val="22"/>
          <w:szCs w:val="22"/>
          <w:lang w:val="sr-Latn-CS"/>
        </w:rPr>
        <w:t xml:space="preserve"> </w:t>
      </w:r>
      <w:r w:rsidRPr="00E87295">
        <w:rPr>
          <w:b/>
          <w:bCs/>
          <w:sz w:val="22"/>
          <w:szCs w:val="22"/>
        </w:rPr>
        <w:t>PODACI</w:t>
      </w:r>
    </w:p>
    <w:p w14:paraId="07D6C0BF" w14:textId="77777777" w:rsidR="00CD6F02" w:rsidRPr="00C929E2" w:rsidRDefault="00CD6F02" w:rsidP="006846CF">
      <w:pPr>
        <w:tabs>
          <w:tab w:val="left" w:pos="540"/>
          <w:tab w:val="left" w:pos="569"/>
        </w:tabs>
        <w:jc w:val="both"/>
        <w:rPr>
          <w:bCs/>
          <w:sz w:val="22"/>
          <w:szCs w:val="22"/>
          <w:lang w:val="sr-Latn-CS"/>
        </w:rPr>
      </w:pPr>
    </w:p>
    <w:p w14:paraId="54AD0F91" w14:textId="77777777" w:rsidR="00411B4B" w:rsidRPr="00C929E2" w:rsidRDefault="00411B4B" w:rsidP="006846CF">
      <w:pPr>
        <w:tabs>
          <w:tab w:val="left" w:pos="540"/>
          <w:tab w:val="left" w:pos="569"/>
        </w:tabs>
        <w:jc w:val="both"/>
        <w:rPr>
          <w:b/>
          <w:bCs/>
          <w:sz w:val="22"/>
          <w:szCs w:val="22"/>
          <w:lang w:val="sr-Latn-CS"/>
        </w:rPr>
      </w:pPr>
      <w:r w:rsidRPr="00C929E2">
        <w:rPr>
          <w:b/>
          <w:bCs/>
          <w:sz w:val="22"/>
          <w:szCs w:val="22"/>
          <w:lang w:val="sr-Latn-CS"/>
        </w:rPr>
        <w:t xml:space="preserve">4.1. </w:t>
      </w:r>
      <w:r w:rsidR="00480FB1" w:rsidRPr="00C929E2">
        <w:rPr>
          <w:b/>
          <w:bCs/>
          <w:sz w:val="22"/>
          <w:szCs w:val="22"/>
          <w:lang w:val="sr-Latn-CS"/>
        </w:rPr>
        <w:tab/>
      </w:r>
      <w:proofErr w:type="spellStart"/>
      <w:r w:rsidRPr="00E87295">
        <w:rPr>
          <w:b/>
          <w:bCs/>
          <w:sz w:val="22"/>
          <w:szCs w:val="22"/>
        </w:rPr>
        <w:t>Terapijske</w:t>
      </w:r>
      <w:proofErr w:type="spellEnd"/>
      <w:r w:rsidRPr="00C929E2">
        <w:rPr>
          <w:b/>
          <w:bCs/>
          <w:sz w:val="22"/>
          <w:szCs w:val="22"/>
          <w:lang w:val="sr-Latn-CS"/>
        </w:rPr>
        <w:t xml:space="preserve"> </w:t>
      </w:r>
      <w:proofErr w:type="spellStart"/>
      <w:r w:rsidRPr="00E87295">
        <w:rPr>
          <w:b/>
          <w:bCs/>
          <w:sz w:val="22"/>
          <w:szCs w:val="22"/>
        </w:rPr>
        <w:t>indikacije</w:t>
      </w:r>
      <w:proofErr w:type="spellEnd"/>
    </w:p>
    <w:p w14:paraId="0E3AFFA7" w14:textId="5F69DAAE" w:rsidR="007677A5" w:rsidRPr="00C929E2" w:rsidRDefault="007677A5" w:rsidP="006846CF">
      <w:pPr>
        <w:tabs>
          <w:tab w:val="left" w:pos="540"/>
          <w:tab w:val="left" w:pos="569"/>
        </w:tabs>
        <w:jc w:val="both"/>
        <w:rPr>
          <w:b/>
          <w:bCs/>
          <w:sz w:val="22"/>
          <w:szCs w:val="22"/>
          <w:lang w:val="sr-Latn-CS"/>
        </w:rPr>
      </w:pPr>
    </w:p>
    <w:p w14:paraId="7AF72D5C" w14:textId="3D87EF02" w:rsidR="006652E4" w:rsidRPr="00E87295" w:rsidRDefault="006652E4" w:rsidP="00E87295">
      <w:pPr>
        <w:jc w:val="both"/>
        <w:rPr>
          <w:sz w:val="22"/>
          <w:szCs w:val="22"/>
          <w:u w:val="single"/>
          <w:lang w:val="sr-Latn-RS"/>
        </w:rPr>
      </w:pPr>
      <w:r w:rsidRPr="00E87295">
        <w:rPr>
          <w:sz w:val="22"/>
          <w:szCs w:val="22"/>
          <w:u w:val="single"/>
          <w:lang w:val="sr-Latn-RS"/>
        </w:rPr>
        <w:t>Psorijaza tipa plaka</w:t>
      </w:r>
    </w:p>
    <w:p w14:paraId="06048847" w14:textId="77777777" w:rsidR="006652E4" w:rsidRPr="00C929E2" w:rsidRDefault="006652E4">
      <w:pPr>
        <w:tabs>
          <w:tab w:val="left" w:pos="540"/>
          <w:tab w:val="left" w:pos="569"/>
        </w:tabs>
        <w:jc w:val="both"/>
        <w:rPr>
          <w:b/>
          <w:bCs/>
          <w:sz w:val="22"/>
          <w:szCs w:val="22"/>
          <w:lang w:val="sr-Latn-CS"/>
        </w:rPr>
      </w:pPr>
    </w:p>
    <w:p w14:paraId="086E5235" w14:textId="64396152" w:rsidR="007677A5" w:rsidRPr="00E87295" w:rsidRDefault="007677A5">
      <w:pPr>
        <w:ind w:left="20"/>
        <w:jc w:val="both"/>
        <w:rPr>
          <w:sz w:val="22"/>
          <w:szCs w:val="22"/>
          <w:lang w:val="sr-Latn-RS"/>
        </w:rPr>
      </w:pPr>
      <w:r w:rsidRPr="00E87295">
        <w:rPr>
          <w:sz w:val="22"/>
          <w:szCs w:val="22"/>
          <w:lang w:val="sr-Latn-RS"/>
        </w:rPr>
        <w:t>Lijek Tremfya je indikovan za liječenje umjeren</w:t>
      </w:r>
      <w:r w:rsidR="00CB4999" w:rsidRPr="00E87295">
        <w:rPr>
          <w:sz w:val="22"/>
          <w:szCs w:val="22"/>
          <w:lang w:val="sr-Latn-RS"/>
        </w:rPr>
        <w:t>e</w:t>
      </w:r>
      <w:r w:rsidRPr="00E87295">
        <w:rPr>
          <w:sz w:val="22"/>
          <w:szCs w:val="22"/>
          <w:lang w:val="sr-Latn-RS"/>
        </w:rPr>
        <w:t xml:space="preserve"> do tešk</w:t>
      </w:r>
      <w:r w:rsidR="00CB4999" w:rsidRPr="00E87295">
        <w:rPr>
          <w:sz w:val="22"/>
          <w:szCs w:val="22"/>
          <w:lang w:val="sr-Latn-RS"/>
        </w:rPr>
        <w:t>e plak</w:t>
      </w:r>
      <w:r w:rsidRPr="00E87295">
        <w:rPr>
          <w:sz w:val="22"/>
          <w:szCs w:val="22"/>
          <w:lang w:val="sr-Latn-RS"/>
        </w:rPr>
        <w:t xml:space="preserve"> psorijaz</w:t>
      </w:r>
      <w:r w:rsidR="00CB4999" w:rsidRPr="00E87295">
        <w:rPr>
          <w:sz w:val="22"/>
          <w:szCs w:val="22"/>
          <w:lang w:val="sr-Latn-RS"/>
        </w:rPr>
        <w:t>e</w:t>
      </w:r>
      <w:r w:rsidRPr="00E87295">
        <w:rPr>
          <w:sz w:val="22"/>
          <w:szCs w:val="22"/>
          <w:lang w:val="sr-Latn-RS"/>
        </w:rPr>
        <w:t xml:space="preserve"> </w:t>
      </w:r>
      <w:r w:rsidR="00CB4999" w:rsidRPr="00E87295">
        <w:rPr>
          <w:sz w:val="22"/>
          <w:szCs w:val="22"/>
          <w:lang w:val="sr-Latn-RS"/>
        </w:rPr>
        <w:t>kod odraslih</w:t>
      </w:r>
      <w:r w:rsidRPr="00E87295">
        <w:rPr>
          <w:sz w:val="22"/>
          <w:szCs w:val="22"/>
          <w:lang w:val="sr-Latn-RS"/>
        </w:rPr>
        <w:t xml:space="preserve"> koji su kandidati za sistemsku terapiju.</w:t>
      </w:r>
    </w:p>
    <w:p w14:paraId="0B547900" w14:textId="2D95D1C5" w:rsidR="00411B4B" w:rsidRPr="00C929E2" w:rsidRDefault="00411B4B">
      <w:pPr>
        <w:tabs>
          <w:tab w:val="left" w:pos="540"/>
          <w:tab w:val="left" w:pos="569"/>
        </w:tabs>
        <w:jc w:val="both"/>
        <w:rPr>
          <w:bCs/>
          <w:sz w:val="22"/>
          <w:szCs w:val="22"/>
          <w:lang w:val="sr-Latn-CS"/>
        </w:rPr>
      </w:pPr>
    </w:p>
    <w:p w14:paraId="70D4C761" w14:textId="77777777" w:rsidR="006652E4" w:rsidRPr="00E87295" w:rsidRDefault="006652E4" w:rsidP="00E87295">
      <w:pPr>
        <w:jc w:val="both"/>
        <w:rPr>
          <w:sz w:val="22"/>
          <w:szCs w:val="22"/>
          <w:u w:val="single"/>
          <w:lang w:val="sr-Latn-RS"/>
        </w:rPr>
      </w:pPr>
      <w:r w:rsidRPr="00E87295">
        <w:rPr>
          <w:sz w:val="22"/>
          <w:szCs w:val="22"/>
          <w:u w:val="single"/>
          <w:lang w:val="sr-Latn-RS"/>
        </w:rPr>
        <w:t>Psorijatični artritis</w:t>
      </w:r>
    </w:p>
    <w:p w14:paraId="2DF1D065" w14:textId="77777777" w:rsidR="006652E4" w:rsidRPr="00E87295" w:rsidRDefault="006652E4" w:rsidP="00E87295">
      <w:pPr>
        <w:jc w:val="both"/>
        <w:rPr>
          <w:sz w:val="22"/>
          <w:szCs w:val="22"/>
          <w:lang w:val="sr-Latn-RS"/>
        </w:rPr>
      </w:pPr>
    </w:p>
    <w:p w14:paraId="30D48BC8" w14:textId="2FB8E326" w:rsidR="006652E4" w:rsidRPr="00E87295" w:rsidRDefault="006652E4" w:rsidP="00E87295">
      <w:pPr>
        <w:jc w:val="both"/>
        <w:rPr>
          <w:sz w:val="22"/>
          <w:szCs w:val="22"/>
          <w:lang w:val="sr-Latn-RS"/>
        </w:rPr>
      </w:pPr>
      <w:r w:rsidRPr="00E87295">
        <w:rPr>
          <w:sz w:val="22"/>
          <w:szCs w:val="22"/>
          <w:lang w:val="sr-Latn-RS"/>
        </w:rPr>
        <w:t>L</w:t>
      </w:r>
      <w:r w:rsidR="009F5282" w:rsidRPr="00E87295">
        <w:rPr>
          <w:sz w:val="22"/>
          <w:szCs w:val="22"/>
          <w:lang w:val="sr-Latn-RS"/>
        </w:rPr>
        <w:t>ij</w:t>
      </w:r>
      <w:r w:rsidRPr="00E87295">
        <w:rPr>
          <w:sz w:val="22"/>
          <w:szCs w:val="22"/>
          <w:lang w:val="sr-Latn-RS"/>
        </w:rPr>
        <w:t>ek Tremfya, kao monoterapija ili u kombinaciji sa metotreksatom (MTX), je indikovan za l</w:t>
      </w:r>
      <w:r w:rsidR="009F5282" w:rsidRPr="00E87295">
        <w:rPr>
          <w:sz w:val="22"/>
          <w:szCs w:val="22"/>
          <w:lang w:val="sr-Latn-RS"/>
        </w:rPr>
        <w:t>ij</w:t>
      </w:r>
      <w:r w:rsidRPr="00E87295">
        <w:rPr>
          <w:sz w:val="22"/>
          <w:szCs w:val="22"/>
          <w:lang w:val="sr-Latn-RS"/>
        </w:rPr>
        <w:t>ečenje aktivnog psorijatičnog artritisa kod odraslih pacijenata koji imaju neadekvatan odgovor ili koji ni</w:t>
      </w:r>
      <w:r w:rsidR="006846CF" w:rsidRPr="00E87295">
        <w:rPr>
          <w:sz w:val="22"/>
          <w:szCs w:val="22"/>
          <w:lang w:val="sr-Latn-RS"/>
        </w:rPr>
        <w:t>je</w:t>
      </w:r>
      <w:r w:rsidRPr="00E87295">
        <w:rPr>
          <w:sz w:val="22"/>
          <w:szCs w:val="22"/>
          <w:lang w:val="sr-Latn-RS"/>
        </w:rPr>
        <w:t>su podnosili prethodni antireumatski l</w:t>
      </w:r>
      <w:r w:rsidR="009F5282" w:rsidRPr="00E87295">
        <w:rPr>
          <w:sz w:val="22"/>
          <w:szCs w:val="22"/>
          <w:lang w:val="sr-Latn-RS"/>
        </w:rPr>
        <w:t>ij</w:t>
      </w:r>
      <w:r w:rsidRPr="00E87295">
        <w:rPr>
          <w:sz w:val="22"/>
          <w:szCs w:val="22"/>
          <w:lang w:val="sr-Latn-RS"/>
        </w:rPr>
        <w:t xml:space="preserve">ek koji modifikuje bolest (engl. </w:t>
      </w:r>
      <w:r w:rsidRPr="00E87295">
        <w:rPr>
          <w:i/>
          <w:iCs/>
          <w:sz w:val="22"/>
          <w:szCs w:val="22"/>
          <w:lang w:val="sr-Latn-RS"/>
        </w:rPr>
        <w:t>disease-modifying antirheumatic drug - DMARD</w:t>
      </w:r>
      <w:r w:rsidRPr="00E87295">
        <w:rPr>
          <w:sz w:val="22"/>
          <w:szCs w:val="22"/>
          <w:lang w:val="sr-Latn-RS"/>
        </w:rPr>
        <w:t>) (</w:t>
      </w:r>
      <w:r w:rsidR="006846CF" w:rsidRPr="00E87295">
        <w:rPr>
          <w:sz w:val="22"/>
          <w:szCs w:val="22"/>
          <w:lang w:val="sr-Latn-RS"/>
        </w:rPr>
        <w:t>vidjeti</w:t>
      </w:r>
      <w:r w:rsidRPr="00E87295">
        <w:rPr>
          <w:sz w:val="22"/>
          <w:szCs w:val="22"/>
          <w:lang w:val="sr-Latn-RS"/>
        </w:rPr>
        <w:t xml:space="preserve"> </w:t>
      </w:r>
      <w:r w:rsidR="006846CF" w:rsidRPr="00E87295">
        <w:rPr>
          <w:sz w:val="22"/>
          <w:szCs w:val="22"/>
          <w:lang w:val="sr-Latn-RS"/>
        </w:rPr>
        <w:t>dio</w:t>
      </w:r>
      <w:r w:rsidRPr="00E87295">
        <w:rPr>
          <w:sz w:val="22"/>
          <w:szCs w:val="22"/>
          <w:lang w:val="sr-Latn-RS"/>
        </w:rPr>
        <w:t xml:space="preserve"> 5.1).</w:t>
      </w:r>
    </w:p>
    <w:p w14:paraId="16951860" w14:textId="77777777" w:rsidR="006652E4" w:rsidRPr="00C929E2" w:rsidRDefault="006652E4">
      <w:pPr>
        <w:tabs>
          <w:tab w:val="left" w:pos="540"/>
          <w:tab w:val="left" w:pos="569"/>
        </w:tabs>
        <w:jc w:val="both"/>
        <w:rPr>
          <w:bCs/>
          <w:sz w:val="22"/>
          <w:szCs w:val="22"/>
          <w:lang w:val="sr-Latn-CS"/>
        </w:rPr>
      </w:pPr>
    </w:p>
    <w:p w14:paraId="42B29BE3" w14:textId="77777777" w:rsidR="00411B4B" w:rsidRPr="00C929E2" w:rsidRDefault="00411B4B">
      <w:pPr>
        <w:tabs>
          <w:tab w:val="left" w:pos="540"/>
          <w:tab w:val="left" w:pos="569"/>
        </w:tabs>
        <w:jc w:val="both"/>
        <w:rPr>
          <w:b/>
          <w:bCs/>
          <w:sz w:val="22"/>
          <w:szCs w:val="22"/>
          <w:lang w:val="sr-Latn-CS"/>
        </w:rPr>
      </w:pPr>
      <w:r w:rsidRPr="00C929E2">
        <w:rPr>
          <w:b/>
          <w:bCs/>
          <w:sz w:val="22"/>
          <w:szCs w:val="22"/>
          <w:lang w:val="sr-Latn-CS"/>
        </w:rPr>
        <w:t xml:space="preserve">4.2. </w:t>
      </w:r>
      <w:r w:rsidR="00480FB1" w:rsidRPr="00C929E2">
        <w:rPr>
          <w:b/>
          <w:bCs/>
          <w:sz w:val="22"/>
          <w:szCs w:val="22"/>
          <w:lang w:val="sr-Latn-CS"/>
        </w:rPr>
        <w:tab/>
      </w:r>
      <w:proofErr w:type="spellStart"/>
      <w:r w:rsidRPr="00E87295">
        <w:rPr>
          <w:b/>
          <w:bCs/>
          <w:sz w:val="22"/>
          <w:szCs w:val="22"/>
        </w:rPr>
        <w:t>Doziranje</w:t>
      </w:r>
      <w:proofErr w:type="spellEnd"/>
      <w:r w:rsidRPr="00C929E2">
        <w:rPr>
          <w:b/>
          <w:bCs/>
          <w:sz w:val="22"/>
          <w:szCs w:val="22"/>
          <w:lang w:val="sr-Latn-CS"/>
        </w:rPr>
        <w:t xml:space="preserve"> </w:t>
      </w:r>
      <w:proofErr w:type="spellStart"/>
      <w:r w:rsidRPr="00E87295">
        <w:rPr>
          <w:b/>
          <w:bCs/>
          <w:sz w:val="22"/>
          <w:szCs w:val="22"/>
        </w:rPr>
        <w:t>i</w:t>
      </w:r>
      <w:proofErr w:type="spellEnd"/>
      <w:r w:rsidRPr="00C929E2">
        <w:rPr>
          <w:b/>
          <w:bCs/>
          <w:sz w:val="22"/>
          <w:szCs w:val="22"/>
          <w:lang w:val="sr-Latn-CS"/>
        </w:rPr>
        <w:t xml:space="preserve"> </w:t>
      </w:r>
      <w:proofErr w:type="spellStart"/>
      <w:r w:rsidRPr="00E87295">
        <w:rPr>
          <w:b/>
          <w:bCs/>
          <w:sz w:val="22"/>
          <w:szCs w:val="22"/>
        </w:rPr>
        <w:t>na</w:t>
      </w:r>
      <w:proofErr w:type="spellEnd"/>
      <w:r w:rsidRPr="00C929E2">
        <w:rPr>
          <w:b/>
          <w:bCs/>
          <w:sz w:val="22"/>
          <w:szCs w:val="22"/>
          <w:lang w:val="sr-Latn-CS"/>
        </w:rPr>
        <w:t>č</w:t>
      </w:r>
      <w:r w:rsidRPr="00E87295">
        <w:rPr>
          <w:b/>
          <w:bCs/>
          <w:sz w:val="22"/>
          <w:szCs w:val="22"/>
        </w:rPr>
        <w:t>in</w:t>
      </w:r>
      <w:r w:rsidRPr="00C929E2">
        <w:rPr>
          <w:b/>
          <w:bCs/>
          <w:sz w:val="22"/>
          <w:szCs w:val="22"/>
          <w:lang w:val="sr-Latn-CS"/>
        </w:rPr>
        <w:t xml:space="preserve"> </w:t>
      </w:r>
      <w:proofErr w:type="spellStart"/>
      <w:r w:rsidRPr="00E87295">
        <w:rPr>
          <w:b/>
          <w:bCs/>
          <w:sz w:val="22"/>
          <w:szCs w:val="22"/>
        </w:rPr>
        <w:t>primjene</w:t>
      </w:r>
      <w:proofErr w:type="spellEnd"/>
    </w:p>
    <w:p w14:paraId="591337B8" w14:textId="77777777" w:rsidR="0072020E" w:rsidRPr="00C929E2" w:rsidRDefault="0072020E">
      <w:pPr>
        <w:tabs>
          <w:tab w:val="left" w:pos="540"/>
          <w:tab w:val="left" w:pos="569"/>
        </w:tabs>
        <w:jc w:val="both"/>
        <w:rPr>
          <w:bCs/>
          <w:sz w:val="22"/>
          <w:szCs w:val="22"/>
          <w:lang w:val="sr-Latn-CS"/>
        </w:rPr>
      </w:pPr>
    </w:p>
    <w:p w14:paraId="514D6908" w14:textId="5493705A" w:rsidR="007677A5" w:rsidRPr="00E87295" w:rsidRDefault="00A91E1D">
      <w:pPr>
        <w:spacing w:after="176"/>
        <w:ind w:left="20"/>
        <w:jc w:val="both"/>
        <w:rPr>
          <w:sz w:val="22"/>
          <w:szCs w:val="22"/>
          <w:lang w:val="sr-Latn-RS"/>
        </w:rPr>
      </w:pPr>
      <w:r w:rsidRPr="00E87295">
        <w:rPr>
          <w:sz w:val="22"/>
          <w:szCs w:val="22"/>
          <w:lang w:val="sr-Latn-RS"/>
        </w:rPr>
        <w:t>Ovaj lijek</w:t>
      </w:r>
      <w:r w:rsidR="007677A5" w:rsidRPr="00E87295">
        <w:rPr>
          <w:sz w:val="22"/>
          <w:szCs w:val="22"/>
          <w:lang w:val="sr-Latn-RS"/>
        </w:rPr>
        <w:t xml:space="preserve"> je nam</w:t>
      </w:r>
      <w:r w:rsidR="006846CF" w:rsidRPr="00E87295">
        <w:rPr>
          <w:sz w:val="22"/>
          <w:szCs w:val="22"/>
          <w:lang w:val="sr-Latn-RS"/>
        </w:rPr>
        <w:t>i</w:t>
      </w:r>
      <w:r w:rsidR="007677A5" w:rsidRPr="00E87295">
        <w:rPr>
          <w:sz w:val="22"/>
          <w:szCs w:val="22"/>
          <w:lang w:val="sr-Latn-RS"/>
        </w:rPr>
        <w:t xml:space="preserve">jenjen za primjenu prema uputstvu i pod nadzorom ljekara </w:t>
      </w:r>
      <w:r w:rsidR="00CB4999" w:rsidRPr="00E87295">
        <w:rPr>
          <w:sz w:val="22"/>
          <w:szCs w:val="22"/>
          <w:lang w:val="sr-Latn-RS"/>
        </w:rPr>
        <w:t xml:space="preserve">koji ima iskustva </w:t>
      </w:r>
      <w:r w:rsidR="007677A5" w:rsidRPr="00E87295">
        <w:rPr>
          <w:sz w:val="22"/>
          <w:szCs w:val="22"/>
          <w:lang w:val="sr-Latn-RS"/>
        </w:rPr>
        <w:t xml:space="preserve">u postavljanju dijagnoze i liječenju </w:t>
      </w:r>
      <w:r w:rsidR="006652E4" w:rsidRPr="00E87295">
        <w:rPr>
          <w:sz w:val="22"/>
          <w:szCs w:val="22"/>
          <w:lang w:val="sr-Latn-RS"/>
        </w:rPr>
        <w:t>stanja za koja je indikovan.</w:t>
      </w:r>
    </w:p>
    <w:p w14:paraId="21C333EC" w14:textId="77777777" w:rsidR="00452E9D" w:rsidRPr="00C929E2" w:rsidRDefault="00452E9D">
      <w:pPr>
        <w:tabs>
          <w:tab w:val="left" w:pos="540"/>
          <w:tab w:val="left" w:pos="569"/>
        </w:tabs>
        <w:jc w:val="both"/>
        <w:rPr>
          <w:bCs/>
          <w:sz w:val="22"/>
          <w:szCs w:val="22"/>
          <w:u w:val="single"/>
          <w:lang w:val="sr-Latn-RS"/>
        </w:rPr>
      </w:pPr>
      <w:r w:rsidRPr="00C929E2">
        <w:rPr>
          <w:bCs/>
          <w:sz w:val="22"/>
          <w:szCs w:val="22"/>
          <w:u w:val="single"/>
          <w:lang w:val="sr-Latn-RS"/>
        </w:rPr>
        <w:t>Doziranje</w:t>
      </w:r>
    </w:p>
    <w:p w14:paraId="56B5CC01" w14:textId="77777777" w:rsidR="006652E4" w:rsidRPr="00E87295" w:rsidRDefault="006652E4" w:rsidP="00E87295">
      <w:pPr>
        <w:jc w:val="both"/>
        <w:rPr>
          <w:rStyle w:val="BodyText1"/>
          <w:i/>
          <w:iCs/>
          <w:sz w:val="22"/>
          <w:szCs w:val="22"/>
          <w:lang w:val="sr-Latn-RS"/>
        </w:rPr>
      </w:pPr>
      <w:r w:rsidRPr="00E87295">
        <w:rPr>
          <w:rStyle w:val="BodyText1"/>
          <w:i/>
          <w:iCs/>
          <w:sz w:val="22"/>
          <w:szCs w:val="22"/>
          <w:lang w:val="sr-Latn-RS"/>
        </w:rPr>
        <w:t>Psorijaza tipa plaka</w:t>
      </w:r>
    </w:p>
    <w:p w14:paraId="4A4B9DAB" w14:textId="6C33D92B" w:rsidR="007677A5" w:rsidRPr="00E87295" w:rsidRDefault="007677A5">
      <w:pPr>
        <w:spacing w:after="212"/>
        <w:jc w:val="both"/>
        <w:rPr>
          <w:sz w:val="22"/>
          <w:szCs w:val="22"/>
          <w:lang w:val="sr-Latn-RS"/>
        </w:rPr>
      </w:pPr>
      <w:r w:rsidRPr="00E87295">
        <w:rPr>
          <w:sz w:val="22"/>
          <w:szCs w:val="22"/>
          <w:lang w:val="sr-Latn-RS"/>
        </w:rPr>
        <w:t>Preporučena doza je 100 mg su</w:t>
      </w:r>
      <w:r w:rsidR="00CB4999" w:rsidRPr="00E87295">
        <w:rPr>
          <w:sz w:val="22"/>
          <w:szCs w:val="22"/>
          <w:lang w:val="sr-Latn-RS"/>
        </w:rPr>
        <w:t>b</w:t>
      </w:r>
      <w:r w:rsidRPr="00E87295">
        <w:rPr>
          <w:sz w:val="22"/>
          <w:szCs w:val="22"/>
          <w:lang w:val="sr-Latn-RS"/>
        </w:rPr>
        <w:t>kutanom injekcijom u nultoj (0.) i 4. ned</w:t>
      </w:r>
      <w:r w:rsidR="00CB4999" w:rsidRPr="00E87295">
        <w:rPr>
          <w:sz w:val="22"/>
          <w:szCs w:val="22"/>
          <w:lang w:val="sr-Latn-RS"/>
        </w:rPr>
        <w:t>j</w:t>
      </w:r>
      <w:r w:rsidRPr="00E87295">
        <w:rPr>
          <w:sz w:val="22"/>
          <w:szCs w:val="22"/>
          <w:lang w:val="sr-Latn-RS"/>
        </w:rPr>
        <w:t>elji, nakon čega se primjenjuje doza održavanja na svakih 8 ned</w:t>
      </w:r>
      <w:r w:rsidR="00CB4999" w:rsidRPr="00E87295">
        <w:rPr>
          <w:sz w:val="22"/>
          <w:szCs w:val="22"/>
          <w:lang w:val="sr-Latn-RS"/>
        </w:rPr>
        <w:t>j</w:t>
      </w:r>
      <w:r w:rsidRPr="00E87295">
        <w:rPr>
          <w:sz w:val="22"/>
          <w:szCs w:val="22"/>
          <w:lang w:val="sr-Latn-RS"/>
        </w:rPr>
        <w:t>elja</w:t>
      </w:r>
      <w:r w:rsidR="00345CFA" w:rsidRPr="00E87295">
        <w:rPr>
          <w:sz w:val="22"/>
          <w:szCs w:val="22"/>
          <w:lang w:val="sr-Latn-RS"/>
        </w:rPr>
        <w:t xml:space="preserve"> (q8w)</w:t>
      </w:r>
      <w:r w:rsidRPr="00E87295">
        <w:rPr>
          <w:sz w:val="22"/>
          <w:szCs w:val="22"/>
          <w:lang w:val="sr-Latn-RS"/>
        </w:rPr>
        <w:t>.</w:t>
      </w:r>
    </w:p>
    <w:p w14:paraId="51EC8236" w14:textId="281FFA2A" w:rsidR="007677A5" w:rsidRPr="00E87295" w:rsidRDefault="007677A5">
      <w:pPr>
        <w:spacing w:after="212"/>
        <w:ind w:left="20"/>
        <w:jc w:val="both"/>
        <w:rPr>
          <w:sz w:val="22"/>
          <w:szCs w:val="22"/>
          <w:lang w:val="sr-Latn-RS"/>
        </w:rPr>
      </w:pPr>
      <w:r w:rsidRPr="00E87295">
        <w:rPr>
          <w:sz w:val="22"/>
          <w:szCs w:val="22"/>
          <w:lang w:val="sr-Latn-RS"/>
        </w:rPr>
        <w:t>Kod pacijenata kod kojih se nije javio odgovor na terapiju</w:t>
      </w:r>
      <w:r w:rsidR="00CB4999" w:rsidRPr="00E87295">
        <w:rPr>
          <w:sz w:val="22"/>
          <w:szCs w:val="22"/>
          <w:lang w:val="sr-Latn-RS"/>
        </w:rPr>
        <w:t xml:space="preserve"> nakon </w:t>
      </w:r>
      <w:r w:rsidRPr="00E87295">
        <w:rPr>
          <w:sz w:val="22"/>
          <w:szCs w:val="22"/>
          <w:lang w:val="sr-Latn-RS"/>
        </w:rPr>
        <w:t>16 ned</w:t>
      </w:r>
      <w:r w:rsidR="00CB4999" w:rsidRPr="00E87295">
        <w:rPr>
          <w:sz w:val="22"/>
          <w:szCs w:val="22"/>
          <w:lang w:val="sr-Latn-RS"/>
        </w:rPr>
        <w:t>j</w:t>
      </w:r>
      <w:r w:rsidRPr="00E87295">
        <w:rPr>
          <w:sz w:val="22"/>
          <w:szCs w:val="22"/>
          <w:lang w:val="sr-Latn-RS"/>
        </w:rPr>
        <w:t>elja liječenja potrebno je razmotriti prekid liječenja.</w:t>
      </w:r>
    </w:p>
    <w:p w14:paraId="405EC3FE" w14:textId="77777777" w:rsidR="006652E4" w:rsidRPr="00E87295" w:rsidRDefault="006652E4" w:rsidP="00E87295">
      <w:pPr>
        <w:keepNext/>
        <w:autoSpaceDE w:val="0"/>
        <w:autoSpaceDN w:val="0"/>
        <w:adjustRightInd w:val="0"/>
        <w:jc w:val="both"/>
        <w:rPr>
          <w:i/>
          <w:sz w:val="22"/>
          <w:szCs w:val="22"/>
          <w:u w:val="single"/>
          <w:lang w:val="sr-Latn-RS"/>
        </w:rPr>
      </w:pPr>
      <w:r w:rsidRPr="00E87295">
        <w:rPr>
          <w:i/>
          <w:sz w:val="22"/>
          <w:szCs w:val="22"/>
          <w:u w:val="single"/>
          <w:lang w:val="sr-Latn-RS"/>
        </w:rPr>
        <w:lastRenderedPageBreak/>
        <w:t>Psorijatični artritis</w:t>
      </w:r>
    </w:p>
    <w:p w14:paraId="0E91C456" w14:textId="4A12B869" w:rsidR="006652E4" w:rsidRPr="00E87295" w:rsidRDefault="006652E4" w:rsidP="00E87295">
      <w:pPr>
        <w:jc w:val="both"/>
        <w:rPr>
          <w:sz w:val="22"/>
          <w:szCs w:val="22"/>
          <w:lang w:val="sr-Latn-RS"/>
        </w:rPr>
      </w:pPr>
      <w:r w:rsidRPr="00E87295">
        <w:rPr>
          <w:iCs/>
          <w:sz w:val="22"/>
          <w:szCs w:val="22"/>
          <w:lang w:val="sr-Latn-RS"/>
        </w:rPr>
        <w:t xml:space="preserve">Preporučena doza </w:t>
      </w:r>
      <w:r w:rsidRPr="00E87295">
        <w:rPr>
          <w:sz w:val="22"/>
          <w:szCs w:val="22"/>
          <w:lang w:val="sr-Latn-RS"/>
        </w:rPr>
        <w:t>je 100 mg prim</w:t>
      </w:r>
      <w:r w:rsidR="006846CF" w:rsidRPr="00E87295">
        <w:rPr>
          <w:sz w:val="22"/>
          <w:szCs w:val="22"/>
          <w:lang w:val="sr-Latn-RS"/>
        </w:rPr>
        <w:t>i</w:t>
      </w:r>
      <w:r w:rsidR="009F5282" w:rsidRPr="00E87295">
        <w:rPr>
          <w:sz w:val="22"/>
          <w:szCs w:val="22"/>
          <w:lang w:val="sr-Latn-RS"/>
        </w:rPr>
        <w:t>j</w:t>
      </w:r>
      <w:r w:rsidRPr="00E87295">
        <w:rPr>
          <w:sz w:val="22"/>
          <w:szCs w:val="22"/>
          <w:lang w:val="sr-Latn-RS"/>
        </w:rPr>
        <w:t>enjena supkutanom injekcijom u nultoj (0.) i 4. nedelji, nakon čega se prim</w:t>
      </w:r>
      <w:r w:rsidR="009F5282" w:rsidRPr="00E87295">
        <w:rPr>
          <w:sz w:val="22"/>
          <w:szCs w:val="22"/>
          <w:lang w:val="sr-Latn-RS"/>
        </w:rPr>
        <w:t>j</w:t>
      </w:r>
      <w:r w:rsidRPr="00E87295">
        <w:rPr>
          <w:sz w:val="22"/>
          <w:szCs w:val="22"/>
          <w:lang w:val="sr-Latn-RS"/>
        </w:rPr>
        <w:t>enjuje doza održavanja na svakih 8 nedelja. Za pacijente u visokom riziku od oštećenja zglobova, po kliničkoj proc</w:t>
      </w:r>
      <w:r w:rsidR="009F5282" w:rsidRPr="00E87295">
        <w:rPr>
          <w:sz w:val="22"/>
          <w:szCs w:val="22"/>
          <w:lang w:val="sr-Latn-RS"/>
        </w:rPr>
        <w:t>j</w:t>
      </w:r>
      <w:r w:rsidRPr="00E87295">
        <w:rPr>
          <w:sz w:val="22"/>
          <w:szCs w:val="22"/>
          <w:lang w:val="sr-Latn-RS"/>
        </w:rPr>
        <w:t>eni, može se razmotriti i doza od 100mg na svake 4 nedelje</w:t>
      </w:r>
      <w:r w:rsidR="00345CFA" w:rsidRPr="00E87295">
        <w:rPr>
          <w:sz w:val="22"/>
          <w:szCs w:val="22"/>
          <w:lang w:val="sr-Latn-RS"/>
        </w:rPr>
        <w:t xml:space="preserve"> (q4w) </w:t>
      </w:r>
      <w:r w:rsidRPr="00E87295">
        <w:rPr>
          <w:sz w:val="22"/>
          <w:szCs w:val="22"/>
          <w:lang w:val="sr-Latn-RS"/>
        </w:rPr>
        <w:t>(vid</w:t>
      </w:r>
      <w:r w:rsidR="006846CF" w:rsidRPr="00E87295">
        <w:rPr>
          <w:sz w:val="22"/>
          <w:szCs w:val="22"/>
          <w:lang w:val="sr-Latn-RS"/>
        </w:rPr>
        <w:t>j</w:t>
      </w:r>
      <w:r w:rsidRPr="00E87295">
        <w:rPr>
          <w:sz w:val="22"/>
          <w:szCs w:val="22"/>
          <w:lang w:val="sr-Latn-RS"/>
        </w:rPr>
        <w:t xml:space="preserve">eti </w:t>
      </w:r>
      <w:r w:rsidR="006846CF" w:rsidRPr="00E87295">
        <w:rPr>
          <w:sz w:val="22"/>
          <w:szCs w:val="22"/>
          <w:lang w:val="sr-Latn-RS"/>
        </w:rPr>
        <w:t>dio</w:t>
      </w:r>
      <w:r w:rsidRPr="00E87295">
        <w:rPr>
          <w:sz w:val="22"/>
          <w:szCs w:val="22"/>
          <w:lang w:val="sr-Latn-RS"/>
        </w:rPr>
        <w:t xml:space="preserve"> 5.1).</w:t>
      </w:r>
    </w:p>
    <w:p w14:paraId="0925E1A6" w14:textId="77777777" w:rsidR="006652E4" w:rsidRPr="00E87295" w:rsidRDefault="006652E4" w:rsidP="00E87295">
      <w:pPr>
        <w:jc w:val="both"/>
        <w:rPr>
          <w:sz w:val="22"/>
          <w:szCs w:val="22"/>
          <w:lang w:val="sr-Latn-RS"/>
        </w:rPr>
      </w:pPr>
    </w:p>
    <w:p w14:paraId="0D4E5EF2" w14:textId="3B406E9F" w:rsidR="006652E4" w:rsidRPr="00E87295" w:rsidRDefault="006652E4" w:rsidP="00E87295">
      <w:pPr>
        <w:jc w:val="both"/>
        <w:rPr>
          <w:sz w:val="22"/>
          <w:szCs w:val="22"/>
          <w:lang w:val="sr-Latn-RS"/>
        </w:rPr>
      </w:pPr>
      <w:r w:rsidRPr="00E87295">
        <w:rPr>
          <w:sz w:val="22"/>
          <w:szCs w:val="22"/>
          <w:lang w:val="sr-Latn-RS"/>
        </w:rPr>
        <w:t>Kod pacijenata kod kojih se nije javio odgovor na terapiju posle 24 ned</w:t>
      </w:r>
      <w:r w:rsidR="009F5282" w:rsidRPr="00E87295">
        <w:rPr>
          <w:sz w:val="22"/>
          <w:szCs w:val="22"/>
          <w:lang w:val="sr-Latn-RS"/>
        </w:rPr>
        <w:t>j</w:t>
      </w:r>
      <w:r w:rsidRPr="00E87295">
        <w:rPr>
          <w:sz w:val="22"/>
          <w:szCs w:val="22"/>
          <w:lang w:val="sr-Latn-RS"/>
        </w:rPr>
        <w:t>elje l</w:t>
      </w:r>
      <w:r w:rsidR="009F5282" w:rsidRPr="00E87295">
        <w:rPr>
          <w:sz w:val="22"/>
          <w:szCs w:val="22"/>
          <w:lang w:val="sr-Latn-RS"/>
        </w:rPr>
        <w:t>ij</w:t>
      </w:r>
      <w:r w:rsidRPr="00E87295">
        <w:rPr>
          <w:sz w:val="22"/>
          <w:szCs w:val="22"/>
          <w:lang w:val="sr-Latn-RS"/>
        </w:rPr>
        <w:t>ečenja potrebno je razmotriti prekid l</w:t>
      </w:r>
      <w:r w:rsidR="009F5282" w:rsidRPr="00E87295">
        <w:rPr>
          <w:sz w:val="22"/>
          <w:szCs w:val="22"/>
          <w:lang w:val="sr-Latn-RS"/>
        </w:rPr>
        <w:t>ij</w:t>
      </w:r>
      <w:r w:rsidRPr="00E87295">
        <w:rPr>
          <w:sz w:val="22"/>
          <w:szCs w:val="22"/>
          <w:lang w:val="sr-Latn-RS"/>
        </w:rPr>
        <w:t>ečenja.</w:t>
      </w:r>
    </w:p>
    <w:p w14:paraId="129D21E3" w14:textId="77777777" w:rsidR="006652E4" w:rsidRPr="00E87295" w:rsidRDefault="006652E4" w:rsidP="00E87295">
      <w:pPr>
        <w:jc w:val="both"/>
        <w:rPr>
          <w:sz w:val="22"/>
          <w:szCs w:val="22"/>
          <w:lang w:val="sr-Latn-RS"/>
        </w:rPr>
      </w:pPr>
    </w:p>
    <w:p w14:paraId="3129CF3E" w14:textId="6F5C531E" w:rsidR="006652E4" w:rsidRPr="00E87295" w:rsidRDefault="006652E4" w:rsidP="00E87295">
      <w:pPr>
        <w:keepNext/>
        <w:autoSpaceDE w:val="0"/>
        <w:autoSpaceDN w:val="0"/>
        <w:adjustRightInd w:val="0"/>
        <w:jc w:val="both"/>
        <w:rPr>
          <w:iCs/>
          <w:sz w:val="22"/>
          <w:szCs w:val="22"/>
          <w:u w:val="single"/>
          <w:lang w:val="sr-Latn-RS"/>
        </w:rPr>
      </w:pPr>
      <w:r w:rsidRPr="00E87295">
        <w:rPr>
          <w:iCs/>
          <w:sz w:val="22"/>
          <w:szCs w:val="22"/>
          <w:u w:val="single"/>
          <w:lang w:val="sr-Latn-RS"/>
        </w:rPr>
        <w:t xml:space="preserve">Posebne populacije </w:t>
      </w:r>
    </w:p>
    <w:p w14:paraId="43EDA44D" w14:textId="77777777" w:rsidR="006846CF" w:rsidRPr="00E87295" w:rsidRDefault="006846CF" w:rsidP="00E87295">
      <w:pPr>
        <w:keepNext/>
        <w:autoSpaceDE w:val="0"/>
        <w:autoSpaceDN w:val="0"/>
        <w:adjustRightInd w:val="0"/>
        <w:jc w:val="both"/>
        <w:rPr>
          <w:iCs/>
          <w:sz w:val="22"/>
          <w:szCs w:val="22"/>
          <w:u w:val="single"/>
          <w:lang w:val="sr-Latn-RS"/>
        </w:rPr>
      </w:pPr>
    </w:p>
    <w:p w14:paraId="794C2A54" w14:textId="77777777" w:rsidR="007677A5" w:rsidRPr="00E87295" w:rsidRDefault="007677A5">
      <w:pPr>
        <w:keepNext/>
        <w:autoSpaceDE w:val="0"/>
        <w:autoSpaceDN w:val="0"/>
        <w:adjustRightInd w:val="0"/>
        <w:jc w:val="both"/>
        <w:rPr>
          <w:i/>
          <w:sz w:val="22"/>
          <w:szCs w:val="22"/>
        </w:rPr>
      </w:pPr>
      <w:proofErr w:type="spellStart"/>
      <w:r w:rsidRPr="00E87295">
        <w:rPr>
          <w:i/>
          <w:sz w:val="22"/>
          <w:szCs w:val="22"/>
        </w:rPr>
        <w:t>Pacijenti</w:t>
      </w:r>
      <w:proofErr w:type="spellEnd"/>
      <w:r w:rsidRPr="00E87295">
        <w:rPr>
          <w:i/>
          <w:sz w:val="22"/>
          <w:szCs w:val="22"/>
        </w:rPr>
        <w:t xml:space="preserve"> </w:t>
      </w:r>
      <w:proofErr w:type="spellStart"/>
      <w:r w:rsidRPr="00E87295">
        <w:rPr>
          <w:i/>
          <w:sz w:val="22"/>
          <w:szCs w:val="22"/>
        </w:rPr>
        <w:t>starijeg</w:t>
      </w:r>
      <w:proofErr w:type="spellEnd"/>
      <w:r w:rsidRPr="00E87295">
        <w:rPr>
          <w:i/>
          <w:sz w:val="22"/>
          <w:szCs w:val="22"/>
        </w:rPr>
        <w:t xml:space="preserve"> </w:t>
      </w:r>
      <w:proofErr w:type="spellStart"/>
      <w:r w:rsidRPr="00E87295">
        <w:rPr>
          <w:i/>
          <w:sz w:val="22"/>
          <w:szCs w:val="22"/>
        </w:rPr>
        <w:t>životnog</w:t>
      </w:r>
      <w:proofErr w:type="spellEnd"/>
      <w:r w:rsidRPr="00E87295">
        <w:rPr>
          <w:i/>
          <w:sz w:val="22"/>
          <w:szCs w:val="22"/>
        </w:rPr>
        <w:t xml:space="preserve"> </w:t>
      </w:r>
      <w:proofErr w:type="spellStart"/>
      <w:r w:rsidRPr="00E87295">
        <w:rPr>
          <w:i/>
          <w:sz w:val="22"/>
          <w:szCs w:val="22"/>
        </w:rPr>
        <w:t>doba</w:t>
      </w:r>
      <w:proofErr w:type="spellEnd"/>
      <w:r w:rsidRPr="00E87295">
        <w:rPr>
          <w:i/>
          <w:sz w:val="22"/>
          <w:szCs w:val="22"/>
        </w:rPr>
        <w:t xml:space="preserve"> (≥ 65 </w:t>
      </w:r>
      <w:proofErr w:type="spellStart"/>
      <w:r w:rsidRPr="00E87295">
        <w:rPr>
          <w:i/>
          <w:sz w:val="22"/>
          <w:szCs w:val="22"/>
        </w:rPr>
        <w:t>godina</w:t>
      </w:r>
      <w:proofErr w:type="spellEnd"/>
      <w:r w:rsidRPr="00E87295">
        <w:rPr>
          <w:i/>
          <w:sz w:val="22"/>
          <w:szCs w:val="22"/>
        </w:rPr>
        <w:t>)</w:t>
      </w:r>
    </w:p>
    <w:p w14:paraId="7A00DB1D" w14:textId="4B395EFF" w:rsidR="007677A5" w:rsidRPr="00E87295" w:rsidRDefault="007677A5">
      <w:pPr>
        <w:autoSpaceDE w:val="0"/>
        <w:autoSpaceDN w:val="0"/>
        <w:adjustRightInd w:val="0"/>
        <w:jc w:val="both"/>
        <w:rPr>
          <w:sz w:val="22"/>
          <w:szCs w:val="22"/>
        </w:rPr>
      </w:pPr>
      <w:proofErr w:type="spellStart"/>
      <w:r w:rsidRPr="00E87295">
        <w:rPr>
          <w:sz w:val="22"/>
          <w:szCs w:val="22"/>
        </w:rPr>
        <w:t>Nije</w:t>
      </w:r>
      <w:proofErr w:type="spellEnd"/>
      <w:r w:rsidRPr="00E87295">
        <w:rPr>
          <w:sz w:val="22"/>
          <w:szCs w:val="22"/>
        </w:rPr>
        <w:t xml:space="preserve"> </w:t>
      </w:r>
      <w:proofErr w:type="spellStart"/>
      <w:r w:rsidRPr="00E87295">
        <w:rPr>
          <w:sz w:val="22"/>
          <w:szCs w:val="22"/>
        </w:rPr>
        <w:t>potrebno</w:t>
      </w:r>
      <w:proofErr w:type="spellEnd"/>
      <w:r w:rsidRPr="00E87295">
        <w:rPr>
          <w:sz w:val="22"/>
          <w:szCs w:val="22"/>
        </w:rPr>
        <w:t xml:space="preserve"> </w:t>
      </w:r>
      <w:proofErr w:type="spellStart"/>
      <w:r w:rsidRPr="00E87295">
        <w:rPr>
          <w:sz w:val="22"/>
          <w:szCs w:val="22"/>
        </w:rPr>
        <w:t>podešavanje</w:t>
      </w:r>
      <w:proofErr w:type="spellEnd"/>
      <w:r w:rsidRPr="00E87295">
        <w:rPr>
          <w:sz w:val="22"/>
          <w:szCs w:val="22"/>
        </w:rPr>
        <w:t xml:space="preserve"> doze (</w:t>
      </w:r>
      <w:proofErr w:type="spellStart"/>
      <w:r w:rsidRPr="00E87295">
        <w:rPr>
          <w:sz w:val="22"/>
          <w:szCs w:val="22"/>
        </w:rPr>
        <w:t>vid</w:t>
      </w:r>
      <w:r w:rsidR="00CB4999" w:rsidRPr="00E87295">
        <w:rPr>
          <w:sz w:val="22"/>
          <w:szCs w:val="22"/>
        </w:rPr>
        <w:t>j</w:t>
      </w:r>
      <w:r w:rsidRPr="00E87295">
        <w:rPr>
          <w:sz w:val="22"/>
          <w:szCs w:val="22"/>
        </w:rPr>
        <w:t>eti</w:t>
      </w:r>
      <w:proofErr w:type="spellEnd"/>
      <w:r w:rsidRPr="00E87295">
        <w:rPr>
          <w:sz w:val="22"/>
          <w:szCs w:val="22"/>
        </w:rPr>
        <w:t xml:space="preserve"> </w:t>
      </w:r>
      <w:proofErr w:type="spellStart"/>
      <w:r w:rsidR="006846CF" w:rsidRPr="00E87295">
        <w:rPr>
          <w:sz w:val="22"/>
          <w:szCs w:val="22"/>
        </w:rPr>
        <w:t>dio</w:t>
      </w:r>
      <w:proofErr w:type="spellEnd"/>
      <w:r w:rsidRPr="00E87295">
        <w:rPr>
          <w:sz w:val="22"/>
          <w:szCs w:val="22"/>
        </w:rPr>
        <w:t> 5.2).</w:t>
      </w:r>
    </w:p>
    <w:p w14:paraId="0DE2D875" w14:textId="55521B81" w:rsidR="007677A5" w:rsidRPr="00E87295" w:rsidRDefault="007677A5">
      <w:pPr>
        <w:spacing w:after="180"/>
        <w:ind w:left="20"/>
        <w:jc w:val="both"/>
        <w:rPr>
          <w:sz w:val="22"/>
          <w:szCs w:val="22"/>
          <w:lang w:val="sr-Latn-RS"/>
        </w:rPr>
      </w:pPr>
      <w:r w:rsidRPr="00E87295">
        <w:rPr>
          <w:sz w:val="22"/>
          <w:szCs w:val="22"/>
          <w:lang w:val="sr-Latn-RS"/>
        </w:rPr>
        <w:t xml:space="preserve">Postoje ograničene informacije </w:t>
      </w:r>
      <w:r w:rsidR="00CB4999" w:rsidRPr="00E87295">
        <w:rPr>
          <w:sz w:val="22"/>
          <w:szCs w:val="22"/>
          <w:lang w:val="sr-Latn-RS"/>
        </w:rPr>
        <w:t xml:space="preserve">o primjeni lijeka </w:t>
      </w:r>
      <w:r w:rsidRPr="00E87295">
        <w:rPr>
          <w:sz w:val="22"/>
          <w:szCs w:val="22"/>
          <w:lang w:val="sr-Latn-RS"/>
        </w:rPr>
        <w:t xml:space="preserve">kod ispitanika starosti </w:t>
      </w:r>
      <w:r w:rsidRPr="00E87295">
        <w:rPr>
          <w:sz w:val="22"/>
          <w:szCs w:val="22"/>
        </w:rPr>
        <w:t xml:space="preserve">≥ </w:t>
      </w:r>
      <w:r w:rsidRPr="00E87295">
        <w:rPr>
          <w:sz w:val="22"/>
          <w:szCs w:val="22"/>
          <w:lang w:val="sr-Latn-RS"/>
        </w:rPr>
        <w:t>65 godina</w:t>
      </w:r>
      <w:r w:rsidR="006652E4" w:rsidRPr="00E87295">
        <w:rPr>
          <w:sz w:val="22"/>
          <w:szCs w:val="22"/>
          <w:lang w:val="sr-Latn-RS"/>
        </w:rPr>
        <w:t xml:space="preserve"> i veoma ograničene informacije kod ispitanika starosti ≥ 75 godina (</w:t>
      </w:r>
      <w:r w:rsidR="006846CF" w:rsidRPr="00E87295">
        <w:rPr>
          <w:sz w:val="22"/>
          <w:szCs w:val="22"/>
          <w:lang w:val="sr-Latn-RS"/>
        </w:rPr>
        <w:t>vidjeti</w:t>
      </w:r>
      <w:r w:rsidR="006652E4" w:rsidRPr="00E87295">
        <w:rPr>
          <w:sz w:val="22"/>
          <w:szCs w:val="22"/>
          <w:lang w:val="sr-Latn-RS"/>
        </w:rPr>
        <w:t xml:space="preserve"> </w:t>
      </w:r>
      <w:r w:rsidR="006846CF" w:rsidRPr="00E87295">
        <w:rPr>
          <w:sz w:val="22"/>
          <w:szCs w:val="22"/>
          <w:lang w:val="sr-Latn-RS"/>
        </w:rPr>
        <w:t>dio</w:t>
      </w:r>
      <w:r w:rsidR="006652E4" w:rsidRPr="00E87295">
        <w:rPr>
          <w:sz w:val="22"/>
          <w:szCs w:val="22"/>
          <w:lang w:val="sr-Latn-RS"/>
        </w:rPr>
        <w:t> 5.2).</w:t>
      </w:r>
    </w:p>
    <w:p w14:paraId="5296A9CA" w14:textId="77777777" w:rsidR="007677A5" w:rsidRPr="00E87295" w:rsidRDefault="007677A5">
      <w:pPr>
        <w:pStyle w:val="Bodytext30"/>
        <w:shd w:val="clear" w:color="auto" w:fill="auto"/>
        <w:spacing w:before="0" w:line="240" w:lineRule="auto"/>
        <w:ind w:left="580"/>
        <w:jc w:val="both"/>
        <w:rPr>
          <w:i/>
          <w:sz w:val="22"/>
          <w:szCs w:val="22"/>
          <w:lang w:val="sr-Latn-RS"/>
        </w:rPr>
      </w:pPr>
      <w:r w:rsidRPr="00E87295">
        <w:rPr>
          <w:i/>
          <w:sz w:val="22"/>
          <w:szCs w:val="22"/>
          <w:lang w:val="sr-Latn-RS"/>
        </w:rPr>
        <w:t>Oštećenje funkcije bubrega ili jetre</w:t>
      </w:r>
    </w:p>
    <w:p w14:paraId="78FC8771" w14:textId="49F5FBE7" w:rsidR="007677A5" w:rsidRPr="00E87295" w:rsidRDefault="007677A5">
      <w:pPr>
        <w:spacing w:after="180"/>
        <w:ind w:left="20"/>
        <w:jc w:val="both"/>
        <w:rPr>
          <w:sz w:val="22"/>
          <w:szCs w:val="22"/>
          <w:lang w:val="sr-Latn-RS"/>
        </w:rPr>
      </w:pPr>
      <w:r w:rsidRPr="00E87295">
        <w:rPr>
          <w:sz w:val="22"/>
          <w:szCs w:val="22"/>
          <w:lang w:val="sr-Latn-RS"/>
        </w:rPr>
        <w:t>Lijek Tremfya nije ispitivan kod ove grupe pacijenata. Ne mogu se dati preporuke za doziranje. Za dodatne informacije o eliminaciji guselkumaba vid</w:t>
      </w:r>
      <w:r w:rsidR="00CB4999" w:rsidRPr="00E87295">
        <w:rPr>
          <w:sz w:val="22"/>
          <w:szCs w:val="22"/>
          <w:lang w:val="sr-Latn-RS"/>
        </w:rPr>
        <w:t>j</w:t>
      </w:r>
      <w:r w:rsidRPr="00E87295">
        <w:rPr>
          <w:sz w:val="22"/>
          <w:szCs w:val="22"/>
          <w:lang w:val="sr-Latn-RS"/>
        </w:rPr>
        <w:t xml:space="preserve">eti </w:t>
      </w:r>
      <w:r w:rsidR="006846CF" w:rsidRPr="00E87295">
        <w:rPr>
          <w:sz w:val="22"/>
          <w:szCs w:val="22"/>
          <w:lang w:val="sr-Latn-RS"/>
        </w:rPr>
        <w:t>dio</w:t>
      </w:r>
      <w:r w:rsidRPr="00E87295">
        <w:rPr>
          <w:sz w:val="22"/>
          <w:szCs w:val="22"/>
          <w:lang w:val="sr-Latn-RS"/>
        </w:rPr>
        <w:t xml:space="preserve"> 5.2.</w:t>
      </w:r>
    </w:p>
    <w:p w14:paraId="0AE4EAD2" w14:textId="77777777" w:rsidR="007677A5" w:rsidRPr="00E87295" w:rsidRDefault="007677A5">
      <w:pPr>
        <w:pStyle w:val="Bodytext30"/>
        <w:shd w:val="clear" w:color="auto" w:fill="auto"/>
        <w:spacing w:before="0" w:line="240" w:lineRule="auto"/>
        <w:ind w:left="580"/>
        <w:jc w:val="both"/>
        <w:rPr>
          <w:i/>
          <w:sz w:val="22"/>
          <w:szCs w:val="22"/>
          <w:lang w:val="sr-Latn-RS"/>
        </w:rPr>
      </w:pPr>
      <w:r w:rsidRPr="00E87295">
        <w:rPr>
          <w:i/>
          <w:sz w:val="22"/>
          <w:szCs w:val="22"/>
          <w:lang w:val="sr-Latn-RS"/>
        </w:rPr>
        <w:t>Pedijatrijska populacija</w:t>
      </w:r>
    </w:p>
    <w:p w14:paraId="0B113C01" w14:textId="521326E6" w:rsidR="007677A5" w:rsidRPr="00E87295" w:rsidRDefault="007677A5">
      <w:pPr>
        <w:ind w:left="20"/>
        <w:jc w:val="both"/>
        <w:rPr>
          <w:sz w:val="22"/>
          <w:szCs w:val="22"/>
          <w:lang w:val="sr-Latn-RS"/>
        </w:rPr>
      </w:pPr>
      <w:r w:rsidRPr="00E87295">
        <w:rPr>
          <w:sz w:val="22"/>
          <w:szCs w:val="22"/>
          <w:lang w:val="sr-Latn-RS"/>
        </w:rPr>
        <w:t>Bezbjednost i efikasnost lijeka Tremfya kod djece i adolescenata mlađih od 18 godina  nije ustanovljena. Nema dostupnih podataka.</w:t>
      </w:r>
    </w:p>
    <w:p w14:paraId="2F37B14E" w14:textId="77777777" w:rsidR="007677A5" w:rsidRPr="00C929E2" w:rsidRDefault="007677A5">
      <w:pPr>
        <w:tabs>
          <w:tab w:val="left" w:pos="540"/>
          <w:tab w:val="left" w:pos="569"/>
        </w:tabs>
        <w:jc w:val="both"/>
        <w:rPr>
          <w:bCs/>
          <w:sz w:val="22"/>
          <w:szCs w:val="22"/>
          <w:u w:val="single"/>
          <w:lang w:val="sr-Latn-RS"/>
        </w:rPr>
      </w:pPr>
    </w:p>
    <w:p w14:paraId="0699C6FF" w14:textId="77777777" w:rsidR="00452E9D" w:rsidRPr="00C929E2" w:rsidRDefault="00452E9D">
      <w:pPr>
        <w:tabs>
          <w:tab w:val="left" w:pos="540"/>
          <w:tab w:val="left" w:pos="569"/>
        </w:tabs>
        <w:jc w:val="both"/>
        <w:rPr>
          <w:bCs/>
          <w:sz w:val="22"/>
          <w:szCs w:val="22"/>
          <w:u w:val="single"/>
          <w:lang w:val="sr-Latn-RS"/>
        </w:rPr>
      </w:pPr>
      <w:r w:rsidRPr="00C929E2">
        <w:rPr>
          <w:bCs/>
          <w:sz w:val="22"/>
          <w:szCs w:val="22"/>
          <w:u w:val="single"/>
          <w:lang w:val="sr-Latn-RS"/>
        </w:rPr>
        <w:t>Način primjene</w:t>
      </w:r>
    </w:p>
    <w:p w14:paraId="5473C6F4" w14:textId="77777777" w:rsidR="007677A5" w:rsidRPr="00E87295" w:rsidRDefault="007677A5">
      <w:pPr>
        <w:spacing w:after="180"/>
        <w:jc w:val="both"/>
        <w:rPr>
          <w:sz w:val="22"/>
          <w:szCs w:val="22"/>
          <w:lang w:val="sr-Latn-RS"/>
        </w:rPr>
      </w:pPr>
      <w:r w:rsidRPr="00E87295">
        <w:rPr>
          <w:sz w:val="22"/>
          <w:szCs w:val="22"/>
          <w:lang w:val="sr-Latn-RS"/>
        </w:rPr>
        <w:t>Su</w:t>
      </w:r>
      <w:r w:rsidR="00CB4999" w:rsidRPr="00E87295">
        <w:rPr>
          <w:sz w:val="22"/>
          <w:szCs w:val="22"/>
          <w:lang w:val="sr-Latn-RS"/>
        </w:rPr>
        <w:t>b</w:t>
      </w:r>
      <w:r w:rsidRPr="00E87295">
        <w:rPr>
          <w:sz w:val="22"/>
          <w:szCs w:val="22"/>
          <w:lang w:val="sr-Latn-RS"/>
        </w:rPr>
        <w:t>kutana primjena. Ukoliko je moguće, površinu kože koja je zahvaćena psorijazom, treba izbjegavati kao mjesto primjene injekcije.</w:t>
      </w:r>
    </w:p>
    <w:p w14:paraId="78A45FD2" w14:textId="4070D75F" w:rsidR="007677A5" w:rsidRPr="00E87295" w:rsidRDefault="007677A5">
      <w:pPr>
        <w:ind w:left="20"/>
        <w:jc w:val="both"/>
        <w:rPr>
          <w:sz w:val="22"/>
          <w:szCs w:val="22"/>
          <w:lang w:val="sr-Latn-RS"/>
        </w:rPr>
      </w:pPr>
      <w:r w:rsidRPr="00E87295">
        <w:rPr>
          <w:sz w:val="22"/>
          <w:szCs w:val="22"/>
          <w:lang w:val="sr-Latn-RS"/>
        </w:rPr>
        <w:t>U slučaju kada ljekar odredi da je primjenljivo, pacijenti mogu sami sebi dati lijek Tremfya, nakon što su prošli odgovarajuću obuku o tehnici primjene su</w:t>
      </w:r>
      <w:r w:rsidR="00CB4999" w:rsidRPr="00E87295">
        <w:rPr>
          <w:sz w:val="22"/>
          <w:szCs w:val="22"/>
          <w:lang w:val="sr-Latn-RS"/>
        </w:rPr>
        <w:t>b</w:t>
      </w:r>
      <w:r w:rsidRPr="00E87295">
        <w:rPr>
          <w:sz w:val="22"/>
          <w:szCs w:val="22"/>
          <w:lang w:val="sr-Latn-RS"/>
        </w:rPr>
        <w:t xml:space="preserve">kutane injekcije. Međutim, ljekar </w:t>
      </w:r>
      <w:r w:rsidR="00CB4999" w:rsidRPr="00E87295">
        <w:rPr>
          <w:sz w:val="22"/>
          <w:szCs w:val="22"/>
          <w:lang w:val="sr-Latn-RS"/>
        </w:rPr>
        <w:t>tr</w:t>
      </w:r>
      <w:r w:rsidR="002B1F55" w:rsidRPr="00E87295">
        <w:rPr>
          <w:sz w:val="22"/>
          <w:szCs w:val="22"/>
          <w:lang w:val="sr-Latn-RS"/>
        </w:rPr>
        <w:t>e</w:t>
      </w:r>
      <w:r w:rsidR="00CB4999" w:rsidRPr="00E87295">
        <w:rPr>
          <w:sz w:val="22"/>
          <w:szCs w:val="22"/>
          <w:lang w:val="sr-Latn-RS"/>
        </w:rPr>
        <w:t>ba da obezbijedi</w:t>
      </w:r>
      <w:r w:rsidRPr="00E87295">
        <w:rPr>
          <w:sz w:val="22"/>
          <w:szCs w:val="22"/>
          <w:lang w:val="sr-Latn-RS"/>
        </w:rPr>
        <w:t xml:space="preserve"> odgovarajuć</w:t>
      </w:r>
      <w:r w:rsidR="00CB4999" w:rsidRPr="00E87295">
        <w:rPr>
          <w:sz w:val="22"/>
          <w:szCs w:val="22"/>
          <w:lang w:val="sr-Latn-RS"/>
        </w:rPr>
        <w:t>e</w:t>
      </w:r>
      <w:r w:rsidRPr="00E87295">
        <w:rPr>
          <w:sz w:val="22"/>
          <w:szCs w:val="22"/>
          <w:lang w:val="sr-Latn-RS"/>
        </w:rPr>
        <w:t xml:space="preserve"> </w:t>
      </w:r>
      <w:r w:rsidR="00CB4999" w:rsidRPr="00E87295">
        <w:rPr>
          <w:sz w:val="22"/>
          <w:szCs w:val="22"/>
          <w:lang w:val="sr-Latn-RS"/>
        </w:rPr>
        <w:t>medicinsko</w:t>
      </w:r>
      <w:r w:rsidRPr="00E87295">
        <w:rPr>
          <w:sz w:val="22"/>
          <w:szCs w:val="22"/>
          <w:lang w:val="sr-Latn-RS"/>
        </w:rPr>
        <w:t xml:space="preserve"> </w:t>
      </w:r>
      <w:r w:rsidR="00CB4999" w:rsidRPr="00E87295">
        <w:rPr>
          <w:sz w:val="22"/>
          <w:szCs w:val="22"/>
          <w:lang w:val="sr-Latn-RS"/>
        </w:rPr>
        <w:t xml:space="preserve">praćenje </w:t>
      </w:r>
      <w:r w:rsidRPr="00E87295">
        <w:rPr>
          <w:sz w:val="22"/>
          <w:szCs w:val="22"/>
          <w:lang w:val="sr-Latn-RS"/>
        </w:rPr>
        <w:t>pacijen</w:t>
      </w:r>
      <w:r w:rsidR="00CB4999" w:rsidRPr="00E87295">
        <w:rPr>
          <w:sz w:val="22"/>
          <w:szCs w:val="22"/>
          <w:lang w:val="sr-Latn-RS"/>
        </w:rPr>
        <w:t>ata</w:t>
      </w:r>
      <w:r w:rsidRPr="00E87295">
        <w:rPr>
          <w:sz w:val="22"/>
          <w:szCs w:val="22"/>
          <w:lang w:val="sr-Latn-RS"/>
        </w:rPr>
        <w:t>. Pacijente treba obučiti da prim</w:t>
      </w:r>
      <w:r w:rsidR="00CB4999" w:rsidRPr="00E87295">
        <w:rPr>
          <w:sz w:val="22"/>
          <w:szCs w:val="22"/>
          <w:lang w:val="sr-Latn-RS"/>
        </w:rPr>
        <w:t>i</w:t>
      </w:r>
      <w:r w:rsidRPr="00E87295">
        <w:rPr>
          <w:sz w:val="22"/>
          <w:szCs w:val="22"/>
          <w:lang w:val="sr-Latn-RS"/>
        </w:rPr>
        <w:t>jene</w:t>
      </w:r>
      <w:r w:rsidR="00CB4999" w:rsidRPr="00E87295">
        <w:rPr>
          <w:sz w:val="22"/>
          <w:szCs w:val="22"/>
          <w:lang w:val="sr-Latn-RS"/>
        </w:rPr>
        <w:t xml:space="preserve"> punu</w:t>
      </w:r>
      <w:r w:rsidRPr="00E87295">
        <w:rPr>
          <w:sz w:val="22"/>
          <w:szCs w:val="22"/>
          <w:lang w:val="sr-Latn-RS"/>
        </w:rPr>
        <w:t xml:space="preserve"> dozu </w:t>
      </w:r>
      <w:r w:rsidR="00345CFA" w:rsidRPr="00E87295">
        <w:rPr>
          <w:sz w:val="22"/>
          <w:szCs w:val="22"/>
          <w:lang w:val="sr-Latn-RS"/>
        </w:rPr>
        <w:t xml:space="preserve">rastvora </w:t>
      </w:r>
      <w:r w:rsidRPr="00E87295">
        <w:rPr>
          <w:sz w:val="22"/>
          <w:szCs w:val="22"/>
          <w:lang w:val="sr-Latn-RS"/>
        </w:rPr>
        <w:t xml:space="preserve">prema Instrukcijama za primjenu lijeka koje se nalaze u pakovanju lijeka. </w:t>
      </w:r>
    </w:p>
    <w:p w14:paraId="54FCEBAE" w14:textId="77777777" w:rsidR="007677A5" w:rsidRPr="00E87295" w:rsidRDefault="007677A5">
      <w:pPr>
        <w:ind w:left="20"/>
        <w:jc w:val="both"/>
        <w:rPr>
          <w:sz w:val="22"/>
          <w:szCs w:val="22"/>
          <w:lang w:val="sr-Latn-RS"/>
        </w:rPr>
      </w:pPr>
    </w:p>
    <w:p w14:paraId="528FEE82" w14:textId="7AF8B5D3" w:rsidR="00515CB7" w:rsidRPr="00C929E2" w:rsidRDefault="007677A5">
      <w:pPr>
        <w:pStyle w:val="Header"/>
        <w:tabs>
          <w:tab w:val="left" w:pos="284"/>
        </w:tabs>
        <w:spacing w:afterLines="80" w:after="192"/>
        <w:jc w:val="both"/>
        <w:rPr>
          <w:sz w:val="22"/>
          <w:szCs w:val="22"/>
          <w:lang w:val="sr-Latn-RS"/>
        </w:rPr>
      </w:pPr>
      <w:r w:rsidRPr="00E87295">
        <w:rPr>
          <w:sz w:val="22"/>
          <w:szCs w:val="22"/>
          <w:lang w:val="sr-Latn-RS"/>
        </w:rPr>
        <w:t xml:space="preserve">Za uputstva o pripremi </w:t>
      </w:r>
      <w:r w:rsidR="00345CFA" w:rsidRPr="00E87295">
        <w:rPr>
          <w:sz w:val="22"/>
          <w:szCs w:val="22"/>
          <w:lang w:val="sr-Latn-RS"/>
        </w:rPr>
        <w:t>l</w:t>
      </w:r>
      <w:r w:rsidR="00EF2F11" w:rsidRPr="00E87295">
        <w:rPr>
          <w:sz w:val="22"/>
          <w:szCs w:val="22"/>
          <w:lang w:val="sr-Latn-RS"/>
        </w:rPr>
        <w:t>ij</w:t>
      </w:r>
      <w:r w:rsidR="00345CFA" w:rsidRPr="00E87295">
        <w:rPr>
          <w:sz w:val="22"/>
          <w:szCs w:val="22"/>
          <w:lang w:val="sr-Latn-RS"/>
        </w:rPr>
        <w:t>eka pr</w:t>
      </w:r>
      <w:r w:rsidR="00EF2F11" w:rsidRPr="00E87295">
        <w:rPr>
          <w:sz w:val="22"/>
          <w:szCs w:val="22"/>
          <w:lang w:val="sr-Latn-RS"/>
        </w:rPr>
        <w:t>ij</w:t>
      </w:r>
      <w:r w:rsidR="00345CFA" w:rsidRPr="00E87295">
        <w:rPr>
          <w:sz w:val="22"/>
          <w:szCs w:val="22"/>
          <w:lang w:val="sr-Latn-RS"/>
        </w:rPr>
        <w:t>e prim</w:t>
      </w:r>
      <w:r w:rsidR="00EF2F11" w:rsidRPr="00E87295">
        <w:rPr>
          <w:sz w:val="22"/>
          <w:szCs w:val="22"/>
          <w:lang w:val="sr-Latn-RS"/>
        </w:rPr>
        <w:t>j</w:t>
      </w:r>
      <w:r w:rsidR="00345CFA" w:rsidRPr="00E87295">
        <w:rPr>
          <w:sz w:val="22"/>
          <w:szCs w:val="22"/>
          <w:lang w:val="sr-Latn-RS"/>
        </w:rPr>
        <w:t>ene, vid</w:t>
      </w:r>
      <w:r w:rsidR="00EF2F11" w:rsidRPr="00E87295">
        <w:rPr>
          <w:sz w:val="22"/>
          <w:szCs w:val="22"/>
          <w:lang w:val="sr-Latn-RS"/>
        </w:rPr>
        <w:t>j</w:t>
      </w:r>
      <w:r w:rsidR="00345CFA" w:rsidRPr="00E87295">
        <w:rPr>
          <w:sz w:val="22"/>
          <w:szCs w:val="22"/>
          <w:lang w:val="sr-Latn-RS"/>
        </w:rPr>
        <w:t xml:space="preserve">eti </w:t>
      </w:r>
      <w:r w:rsidR="006846CF" w:rsidRPr="00E87295">
        <w:rPr>
          <w:sz w:val="22"/>
          <w:szCs w:val="22"/>
          <w:lang w:val="sr-Latn-RS"/>
        </w:rPr>
        <w:t>dio</w:t>
      </w:r>
      <w:r w:rsidR="00345CFA" w:rsidRPr="00E87295">
        <w:rPr>
          <w:sz w:val="22"/>
          <w:szCs w:val="22"/>
          <w:lang w:val="sr-Latn-RS"/>
        </w:rPr>
        <w:t xml:space="preserve"> 6.6. </w:t>
      </w:r>
    </w:p>
    <w:p w14:paraId="0B1AC1E1" w14:textId="77777777" w:rsidR="00CB4999" w:rsidRPr="00C929E2" w:rsidRDefault="00411B4B">
      <w:pPr>
        <w:tabs>
          <w:tab w:val="left" w:pos="540"/>
          <w:tab w:val="left" w:pos="569"/>
        </w:tabs>
        <w:jc w:val="both"/>
        <w:rPr>
          <w:b/>
          <w:bCs/>
          <w:sz w:val="22"/>
          <w:szCs w:val="22"/>
          <w:lang w:val="sr-Latn-RS"/>
        </w:rPr>
      </w:pPr>
      <w:r w:rsidRPr="00C929E2">
        <w:rPr>
          <w:b/>
          <w:bCs/>
          <w:sz w:val="22"/>
          <w:szCs w:val="22"/>
          <w:lang w:val="sr-Latn-RS"/>
        </w:rPr>
        <w:t xml:space="preserve">4.3. </w:t>
      </w:r>
      <w:r w:rsidR="00480FB1" w:rsidRPr="00C929E2">
        <w:rPr>
          <w:b/>
          <w:bCs/>
          <w:sz w:val="22"/>
          <w:szCs w:val="22"/>
          <w:lang w:val="sr-Latn-RS"/>
        </w:rPr>
        <w:tab/>
      </w:r>
      <w:r w:rsidRPr="00C929E2">
        <w:rPr>
          <w:b/>
          <w:bCs/>
          <w:sz w:val="22"/>
          <w:szCs w:val="22"/>
          <w:lang w:val="sr-Latn-RS"/>
        </w:rPr>
        <w:t>Kontraindikacije</w:t>
      </w:r>
    </w:p>
    <w:p w14:paraId="1C8C7A48" w14:textId="77777777" w:rsidR="00D14E24" w:rsidRPr="00C929E2" w:rsidRDefault="00D14E24">
      <w:pPr>
        <w:tabs>
          <w:tab w:val="left" w:pos="540"/>
          <w:tab w:val="left" w:pos="569"/>
        </w:tabs>
        <w:jc w:val="both"/>
        <w:rPr>
          <w:bCs/>
          <w:sz w:val="22"/>
          <w:szCs w:val="22"/>
          <w:lang w:val="sr-Latn-RS"/>
        </w:rPr>
      </w:pPr>
    </w:p>
    <w:p w14:paraId="543BCFB5" w14:textId="32644B53" w:rsidR="00CB4999" w:rsidRPr="00E87295" w:rsidRDefault="007677A5">
      <w:pPr>
        <w:tabs>
          <w:tab w:val="left" w:pos="540"/>
          <w:tab w:val="left" w:pos="569"/>
        </w:tabs>
        <w:jc w:val="both"/>
        <w:rPr>
          <w:sz w:val="22"/>
          <w:szCs w:val="22"/>
          <w:lang w:val="sr-Latn-RS"/>
        </w:rPr>
      </w:pPr>
      <w:r w:rsidRPr="00E87295">
        <w:rPr>
          <w:sz w:val="22"/>
          <w:szCs w:val="22"/>
          <w:lang w:val="sr-Latn-RS"/>
        </w:rPr>
        <w:t xml:space="preserve">Teška preosjetljivost na aktivnu supstancu ili </w:t>
      </w:r>
      <w:r w:rsidR="006846CF" w:rsidRPr="00E87295">
        <w:rPr>
          <w:sz w:val="22"/>
          <w:szCs w:val="22"/>
          <w:lang w:val="sr-Latn-RS"/>
        </w:rPr>
        <w:t xml:space="preserve">na </w:t>
      </w:r>
      <w:r w:rsidRPr="00E87295">
        <w:rPr>
          <w:sz w:val="22"/>
          <w:szCs w:val="22"/>
          <w:lang w:val="sr-Latn-RS"/>
        </w:rPr>
        <w:t xml:space="preserve">bilo koju od pomoćnih supstanci navedenih u </w:t>
      </w:r>
      <w:r w:rsidR="006846CF" w:rsidRPr="00E87295">
        <w:rPr>
          <w:sz w:val="22"/>
          <w:szCs w:val="22"/>
          <w:lang w:val="sr-Latn-RS"/>
        </w:rPr>
        <w:t>dijelu</w:t>
      </w:r>
      <w:r w:rsidRPr="00E87295">
        <w:rPr>
          <w:sz w:val="22"/>
          <w:szCs w:val="22"/>
          <w:lang w:val="sr-Latn-RS"/>
        </w:rPr>
        <w:t xml:space="preserve"> 6.1. </w:t>
      </w:r>
    </w:p>
    <w:p w14:paraId="159C2B66" w14:textId="77777777" w:rsidR="00CB4999" w:rsidRPr="00E87295" w:rsidRDefault="00CB4999">
      <w:pPr>
        <w:tabs>
          <w:tab w:val="left" w:pos="540"/>
          <w:tab w:val="left" w:pos="569"/>
        </w:tabs>
        <w:jc w:val="both"/>
        <w:rPr>
          <w:sz w:val="22"/>
          <w:szCs w:val="22"/>
          <w:lang w:val="sr-Latn-RS"/>
        </w:rPr>
      </w:pPr>
    </w:p>
    <w:p w14:paraId="233996F6" w14:textId="4CAA89BD" w:rsidR="007677A5" w:rsidRPr="00E87295" w:rsidRDefault="007677A5">
      <w:pPr>
        <w:tabs>
          <w:tab w:val="left" w:pos="540"/>
          <w:tab w:val="left" w:pos="569"/>
        </w:tabs>
        <w:jc w:val="both"/>
        <w:rPr>
          <w:sz w:val="22"/>
          <w:szCs w:val="22"/>
          <w:lang w:val="sr-Latn-RS"/>
        </w:rPr>
      </w:pPr>
      <w:r w:rsidRPr="00E87295">
        <w:rPr>
          <w:sz w:val="22"/>
          <w:szCs w:val="22"/>
          <w:lang w:val="sr-Latn-RS"/>
        </w:rPr>
        <w:t xml:space="preserve">Klinički važne aktivne infekcije (npr. aktivna tuberkuloza, vidjeti </w:t>
      </w:r>
      <w:r w:rsidR="006846CF" w:rsidRPr="00E87295">
        <w:rPr>
          <w:sz w:val="22"/>
          <w:szCs w:val="22"/>
          <w:lang w:val="sr-Latn-RS"/>
        </w:rPr>
        <w:t>dio</w:t>
      </w:r>
      <w:r w:rsidRPr="00E87295">
        <w:rPr>
          <w:sz w:val="22"/>
          <w:szCs w:val="22"/>
          <w:lang w:val="sr-Latn-RS"/>
        </w:rPr>
        <w:t xml:space="preserve"> 4.4).</w:t>
      </w:r>
    </w:p>
    <w:p w14:paraId="736129F7" w14:textId="77777777" w:rsidR="007677A5" w:rsidRPr="00C929E2" w:rsidRDefault="007677A5">
      <w:pPr>
        <w:tabs>
          <w:tab w:val="left" w:pos="540"/>
          <w:tab w:val="left" w:pos="569"/>
        </w:tabs>
        <w:jc w:val="both"/>
        <w:rPr>
          <w:bCs/>
          <w:sz w:val="22"/>
          <w:szCs w:val="22"/>
          <w:lang w:val="sr-Latn-RS"/>
        </w:rPr>
      </w:pPr>
    </w:p>
    <w:p w14:paraId="7193D752" w14:textId="77777777" w:rsidR="00411B4B" w:rsidRPr="00C929E2" w:rsidRDefault="00411B4B">
      <w:pPr>
        <w:tabs>
          <w:tab w:val="left" w:pos="540"/>
          <w:tab w:val="left" w:pos="569"/>
        </w:tabs>
        <w:jc w:val="both"/>
        <w:rPr>
          <w:b/>
          <w:bCs/>
          <w:sz w:val="22"/>
          <w:szCs w:val="22"/>
          <w:lang w:val="sr-Latn-RS"/>
        </w:rPr>
      </w:pPr>
      <w:r w:rsidRPr="00C929E2">
        <w:rPr>
          <w:b/>
          <w:bCs/>
          <w:sz w:val="22"/>
          <w:szCs w:val="22"/>
          <w:lang w:val="sr-Latn-RS"/>
        </w:rPr>
        <w:t xml:space="preserve">4.4. </w:t>
      </w:r>
      <w:r w:rsidR="00480FB1" w:rsidRPr="00C929E2">
        <w:rPr>
          <w:b/>
          <w:bCs/>
          <w:sz w:val="22"/>
          <w:szCs w:val="22"/>
          <w:lang w:val="sr-Latn-RS"/>
        </w:rPr>
        <w:tab/>
      </w:r>
      <w:r w:rsidRPr="00C929E2">
        <w:rPr>
          <w:b/>
          <w:bCs/>
          <w:sz w:val="22"/>
          <w:szCs w:val="22"/>
          <w:lang w:val="sr-Latn-RS"/>
        </w:rPr>
        <w:t>Posebna upozorenja i mjere opreza pri upotrebi lijeka</w:t>
      </w:r>
    </w:p>
    <w:p w14:paraId="31BB1FD8" w14:textId="77777777" w:rsidR="00515CB7" w:rsidRPr="00E87295" w:rsidRDefault="00515CB7">
      <w:pPr>
        <w:pStyle w:val="Heading50"/>
        <w:keepNext/>
        <w:keepLines/>
        <w:shd w:val="clear" w:color="auto" w:fill="auto"/>
        <w:tabs>
          <w:tab w:val="left" w:pos="558"/>
        </w:tabs>
        <w:spacing w:before="0" w:after="0" w:line="240" w:lineRule="auto"/>
        <w:ind w:firstLine="0"/>
        <w:jc w:val="both"/>
        <w:rPr>
          <w:rStyle w:val="Heading5NotBold"/>
          <w:sz w:val="22"/>
          <w:szCs w:val="22"/>
          <w:lang w:val="sr-Latn-RS"/>
        </w:rPr>
      </w:pPr>
    </w:p>
    <w:p w14:paraId="4FB868E3" w14:textId="58869B7C" w:rsidR="007677A5" w:rsidRPr="00E87295" w:rsidRDefault="007677A5">
      <w:pPr>
        <w:pStyle w:val="Heading50"/>
        <w:keepNext/>
        <w:keepLines/>
        <w:shd w:val="clear" w:color="auto" w:fill="auto"/>
        <w:tabs>
          <w:tab w:val="left" w:pos="558"/>
        </w:tabs>
        <w:spacing w:before="0" w:after="0" w:line="240" w:lineRule="auto"/>
        <w:ind w:firstLine="0"/>
        <w:jc w:val="both"/>
        <w:rPr>
          <w:rStyle w:val="Heading5NotBold"/>
          <w:sz w:val="22"/>
          <w:szCs w:val="22"/>
          <w:lang w:val="sr-Latn-RS"/>
        </w:rPr>
      </w:pPr>
      <w:r w:rsidRPr="00E87295">
        <w:rPr>
          <w:rStyle w:val="Heading5NotBold"/>
          <w:sz w:val="22"/>
          <w:szCs w:val="22"/>
          <w:lang w:val="sr-Latn-RS"/>
        </w:rPr>
        <w:t>Sl</w:t>
      </w:r>
      <w:r w:rsidR="00CB4999" w:rsidRPr="00E87295">
        <w:rPr>
          <w:rStyle w:val="Heading5NotBold"/>
          <w:sz w:val="22"/>
          <w:szCs w:val="22"/>
          <w:lang w:val="sr-Latn-RS"/>
        </w:rPr>
        <w:t>j</w:t>
      </w:r>
      <w:r w:rsidRPr="00E87295">
        <w:rPr>
          <w:rStyle w:val="Heading5NotBold"/>
          <w:sz w:val="22"/>
          <w:szCs w:val="22"/>
          <w:lang w:val="sr-Latn-RS"/>
        </w:rPr>
        <w:t>edljivost</w:t>
      </w:r>
    </w:p>
    <w:p w14:paraId="3F07BEC9" w14:textId="77777777" w:rsidR="006846CF" w:rsidRPr="00E87295" w:rsidRDefault="006846CF">
      <w:pPr>
        <w:pStyle w:val="Heading50"/>
        <w:keepNext/>
        <w:keepLines/>
        <w:shd w:val="clear" w:color="auto" w:fill="auto"/>
        <w:tabs>
          <w:tab w:val="left" w:pos="558"/>
        </w:tabs>
        <w:spacing w:before="0" w:after="0" w:line="240" w:lineRule="auto"/>
        <w:ind w:firstLine="0"/>
        <w:jc w:val="both"/>
        <w:rPr>
          <w:b/>
          <w:sz w:val="22"/>
          <w:szCs w:val="22"/>
          <w:lang w:val="sr-Latn-RS"/>
        </w:rPr>
      </w:pPr>
    </w:p>
    <w:p w14:paraId="709CAF4B" w14:textId="77777777" w:rsidR="007677A5" w:rsidRPr="00E87295" w:rsidRDefault="007677A5">
      <w:pPr>
        <w:spacing w:after="212"/>
        <w:ind w:left="20"/>
        <w:jc w:val="both"/>
        <w:rPr>
          <w:sz w:val="22"/>
          <w:szCs w:val="22"/>
          <w:lang w:val="sr-Latn-RS"/>
        </w:rPr>
      </w:pPr>
      <w:r w:rsidRPr="00E87295">
        <w:rPr>
          <w:sz w:val="22"/>
          <w:szCs w:val="22"/>
          <w:lang w:val="sr-Latn-RS"/>
        </w:rPr>
        <w:t>Da bi se poboljšala sl</w:t>
      </w:r>
      <w:r w:rsidR="00CB4999" w:rsidRPr="00E87295">
        <w:rPr>
          <w:sz w:val="22"/>
          <w:szCs w:val="22"/>
          <w:lang w:val="sr-Latn-RS"/>
        </w:rPr>
        <w:t>j</w:t>
      </w:r>
      <w:r w:rsidRPr="00E87295">
        <w:rPr>
          <w:sz w:val="22"/>
          <w:szCs w:val="22"/>
          <w:lang w:val="sr-Latn-RS"/>
        </w:rPr>
        <w:t xml:space="preserve">edljivost bioloških ljekova, potrebno je jasno </w:t>
      </w:r>
      <w:r w:rsidR="00CB4999" w:rsidRPr="00E87295">
        <w:rPr>
          <w:sz w:val="22"/>
          <w:szCs w:val="22"/>
          <w:lang w:val="sr-Latn-RS"/>
        </w:rPr>
        <w:t xml:space="preserve">evidentirati </w:t>
      </w:r>
      <w:r w:rsidRPr="00E87295">
        <w:rPr>
          <w:sz w:val="22"/>
          <w:szCs w:val="22"/>
          <w:lang w:val="sr-Latn-RS"/>
        </w:rPr>
        <w:t>naziv i broj serije prim</w:t>
      </w:r>
      <w:r w:rsidR="00CB4999" w:rsidRPr="00E87295">
        <w:rPr>
          <w:sz w:val="22"/>
          <w:szCs w:val="22"/>
          <w:lang w:val="sr-Latn-RS"/>
        </w:rPr>
        <w:t>i</w:t>
      </w:r>
      <w:r w:rsidRPr="00E87295">
        <w:rPr>
          <w:sz w:val="22"/>
          <w:szCs w:val="22"/>
          <w:lang w:val="sr-Latn-RS"/>
        </w:rPr>
        <w:t>jenjenog lijeka.</w:t>
      </w:r>
    </w:p>
    <w:p w14:paraId="45FDC07D" w14:textId="77777777" w:rsidR="007677A5" w:rsidRPr="00E87295" w:rsidRDefault="007677A5">
      <w:pPr>
        <w:ind w:left="20"/>
        <w:jc w:val="both"/>
        <w:rPr>
          <w:rStyle w:val="BodyText2"/>
          <w:sz w:val="22"/>
          <w:szCs w:val="22"/>
          <w:lang w:val="sr-Latn-RS"/>
        </w:rPr>
      </w:pPr>
      <w:r w:rsidRPr="00E87295">
        <w:rPr>
          <w:rStyle w:val="BodyText2"/>
          <w:sz w:val="22"/>
          <w:szCs w:val="22"/>
          <w:lang w:val="sr-Latn-RS"/>
        </w:rPr>
        <w:t>Infekcije</w:t>
      </w:r>
    </w:p>
    <w:p w14:paraId="32CE5926" w14:textId="77777777" w:rsidR="000365BF" w:rsidRPr="00E87295" w:rsidRDefault="000365BF">
      <w:pPr>
        <w:ind w:left="20"/>
        <w:jc w:val="both"/>
        <w:rPr>
          <w:sz w:val="22"/>
          <w:szCs w:val="22"/>
          <w:lang w:val="sr-Latn-RS"/>
        </w:rPr>
      </w:pPr>
    </w:p>
    <w:p w14:paraId="313EC333" w14:textId="7048F875" w:rsidR="007677A5" w:rsidRPr="00E87295" w:rsidRDefault="00345CFA">
      <w:pPr>
        <w:spacing w:after="180"/>
        <w:ind w:left="20"/>
        <w:jc w:val="both"/>
        <w:rPr>
          <w:sz w:val="22"/>
          <w:szCs w:val="22"/>
          <w:lang w:val="sr-Latn-RS"/>
        </w:rPr>
      </w:pPr>
      <w:r w:rsidRPr="00E87295">
        <w:rPr>
          <w:sz w:val="22"/>
          <w:szCs w:val="22"/>
          <w:lang w:val="sr-Latn-RS"/>
        </w:rPr>
        <w:t>Guselkumab</w:t>
      </w:r>
      <w:r w:rsidR="007677A5" w:rsidRPr="00E87295">
        <w:rPr>
          <w:sz w:val="22"/>
          <w:szCs w:val="22"/>
          <w:lang w:val="sr-Latn-RS"/>
        </w:rPr>
        <w:t xml:space="preserve"> može da poveća rizik od infekcija. Terapija</w:t>
      </w:r>
      <w:r w:rsidRPr="00E87295">
        <w:rPr>
          <w:sz w:val="22"/>
          <w:szCs w:val="22"/>
          <w:lang w:val="sr-Latn-RS"/>
        </w:rPr>
        <w:t xml:space="preserve"> se</w:t>
      </w:r>
      <w:r w:rsidR="007677A5" w:rsidRPr="00E87295">
        <w:rPr>
          <w:sz w:val="22"/>
          <w:szCs w:val="22"/>
          <w:lang w:val="sr-Latn-RS"/>
        </w:rPr>
        <w:t xml:space="preserve"> ne smije se uvoditi kod pacijenata sa bilo kakvom klinički važnom aktivnom infekcijom sve dok se ona ne povuče ili ne liječi na odgovarajući način.</w:t>
      </w:r>
    </w:p>
    <w:p w14:paraId="4FD33E70" w14:textId="43326C06" w:rsidR="007677A5" w:rsidRPr="00E87295" w:rsidRDefault="007677A5">
      <w:pPr>
        <w:spacing w:after="180"/>
        <w:ind w:left="20"/>
        <w:jc w:val="both"/>
        <w:rPr>
          <w:sz w:val="22"/>
          <w:szCs w:val="22"/>
          <w:lang w:val="sr-Latn-RS"/>
        </w:rPr>
      </w:pPr>
      <w:r w:rsidRPr="00E87295">
        <w:rPr>
          <w:sz w:val="22"/>
          <w:szCs w:val="22"/>
          <w:lang w:val="sr-Latn-RS"/>
        </w:rPr>
        <w:t xml:space="preserve">Pacijente na terapiji </w:t>
      </w:r>
      <w:r w:rsidR="00345CFA" w:rsidRPr="00E87295">
        <w:rPr>
          <w:sz w:val="22"/>
          <w:szCs w:val="22"/>
          <w:lang w:val="sr-Latn-RS"/>
        </w:rPr>
        <w:t>guselkumabom</w:t>
      </w:r>
      <w:r w:rsidRPr="00E87295">
        <w:rPr>
          <w:sz w:val="22"/>
          <w:szCs w:val="22"/>
          <w:lang w:val="sr-Latn-RS"/>
        </w:rPr>
        <w:t xml:space="preserve"> treba </w:t>
      </w:r>
      <w:r w:rsidR="00CB4999" w:rsidRPr="00E87295">
        <w:rPr>
          <w:sz w:val="22"/>
          <w:szCs w:val="22"/>
          <w:lang w:val="sr-Latn-RS"/>
        </w:rPr>
        <w:t xml:space="preserve">uputiti </w:t>
      </w:r>
      <w:r w:rsidRPr="00E87295">
        <w:rPr>
          <w:sz w:val="22"/>
          <w:szCs w:val="22"/>
          <w:lang w:val="sr-Latn-RS"/>
        </w:rPr>
        <w:t xml:space="preserve">da potraže pomoć ljekara ako se pojave znakovi ili simptomi klinički važne hronične ili akutne infekcije. Ako se kod pacijenta razvije klinički relevantna ili ozbiljna infekcija ili ako on ne odgovara na standardnu terapiju, treba ga pažljivo nadzirati, a primjenu </w:t>
      </w:r>
      <w:r w:rsidR="00345CFA" w:rsidRPr="00E87295">
        <w:rPr>
          <w:sz w:val="22"/>
          <w:szCs w:val="22"/>
          <w:lang w:val="sr-Latn-RS"/>
        </w:rPr>
        <w:t xml:space="preserve">terapije </w:t>
      </w:r>
      <w:r w:rsidRPr="00E87295">
        <w:rPr>
          <w:sz w:val="22"/>
          <w:szCs w:val="22"/>
          <w:lang w:val="sr-Latn-RS"/>
        </w:rPr>
        <w:t>prekinuti dok se infekcija ne povuče.</w:t>
      </w:r>
    </w:p>
    <w:p w14:paraId="760F3064" w14:textId="77777777" w:rsidR="007677A5" w:rsidRPr="00E87295" w:rsidRDefault="007677A5">
      <w:pPr>
        <w:ind w:left="20"/>
        <w:jc w:val="both"/>
        <w:rPr>
          <w:sz w:val="22"/>
          <w:szCs w:val="22"/>
          <w:lang w:val="sr-Latn-RS"/>
        </w:rPr>
      </w:pPr>
      <w:r w:rsidRPr="00E87295">
        <w:rPr>
          <w:rStyle w:val="BodyText2"/>
          <w:sz w:val="22"/>
          <w:szCs w:val="22"/>
          <w:lang w:val="sr-Latn-RS"/>
        </w:rPr>
        <w:lastRenderedPageBreak/>
        <w:t xml:space="preserve">Testiranje na tuberkulozu prije liječenja </w:t>
      </w:r>
    </w:p>
    <w:p w14:paraId="3FC06723" w14:textId="0E4D137D" w:rsidR="007677A5" w:rsidRPr="00E87295" w:rsidRDefault="007677A5">
      <w:pPr>
        <w:spacing w:after="180"/>
        <w:ind w:left="20"/>
        <w:jc w:val="both"/>
        <w:rPr>
          <w:sz w:val="22"/>
          <w:szCs w:val="22"/>
          <w:lang w:val="sr-Latn-RS"/>
        </w:rPr>
      </w:pPr>
      <w:r w:rsidRPr="00E87295">
        <w:rPr>
          <w:sz w:val="22"/>
          <w:szCs w:val="22"/>
          <w:lang w:val="sr-Latn-RS"/>
        </w:rPr>
        <w:t xml:space="preserve">Prije početka terapije, pacijenti se moraju ispitati da li boluju od tuberkuloze. Pacijente koji primaju </w:t>
      </w:r>
      <w:r w:rsidR="00345CFA" w:rsidRPr="00E87295">
        <w:rPr>
          <w:sz w:val="22"/>
          <w:szCs w:val="22"/>
          <w:lang w:val="sr-Latn-RS"/>
        </w:rPr>
        <w:t>guselkumab</w:t>
      </w:r>
      <w:r w:rsidRPr="00E87295">
        <w:rPr>
          <w:sz w:val="22"/>
          <w:szCs w:val="22"/>
          <w:lang w:val="sr-Latn-RS"/>
        </w:rPr>
        <w:t xml:space="preserve"> treba pratiti kako bi se utvrdili znaci i simptomi aktivne tuberkuloze tokom i nakon liječenja. Primjenu antituberkulozne terapije je potrebno razmotriti prije </w:t>
      </w:r>
      <w:r w:rsidR="00345CFA" w:rsidRPr="00E87295">
        <w:rPr>
          <w:sz w:val="22"/>
          <w:szCs w:val="22"/>
          <w:lang w:val="sr-Latn-RS"/>
        </w:rPr>
        <w:t xml:space="preserve">započinjanja terapije </w:t>
      </w:r>
      <w:r w:rsidRPr="00E87295">
        <w:rPr>
          <w:sz w:val="22"/>
          <w:szCs w:val="22"/>
          <w:lang w:val="sr-Latn-RS"/>
        </w:rPr>
        <w:t xml:space="preserve">kod pacijenata </w:t>
      </w:r>
      <w:r w:rsidR="00CB4999" w:rsidRPr="00E87295">
        <w:rPr>
          <w:sz w:val="22"/>
          <w:szCs w:val="22"/>
          <w:lang w:val="sr-Latn-RS"/>
        </w:rPr>
        <w:t>koji u anamnezi imaju</w:t>
      </w:r>
      <w:r w:rsidRPr="00E87295">
        <w:rPr>
          <w:sz w:val="22"/>
          <w:szCs w:val="22"/>
          <w:lang w:val="sr-Latn-RS"/>
        </w:rPr>
        <w:t xml:space="preserve"> latentn</w:t>
      </w:r>
      <w:r w:rsidR="00CB4999" w:rsidRPr="00E87295">
        <w:rPr>
          <w:sz w:val="22"/>
          <w:szCs w:val="22"/>
          <w:lang w:val="sr-Latn-RS"/>
        </w:rPr>
        <w:t>u</w:t>
      </w:r>
      <w:r w:rsidRPr="00E87295">
        <w:rPr>
          <w:sz w:val="22"/>
          <w:szCs w:val="22"/>
          <w:lang w:val="sr-Latn-RS"/>
        </w:rPr>
        <w:t xml:space="preserve"> ili aktivn</w:t>
      </w:r>
      <w:r w:rsidR="00CB4999" w:rsidRPr="00E87295">
        <w:rPr>
          <w:sz w:val="22"/>
          <w:szCs w:val="22"/>
          <w:lang w:val="sr-Latn-RS"/>
        </w:rPr>
        <w:t>u</w:t>
      </w:r>
      <w:r w:rsidRPr="00E87295">
        <w:rPr>
          <w:sz w:val="22"/>
          <w:szCs w:val="22"/>
          <w:lang w:val="sr-Latn-RS"/>
        </w:rPr>
        <w:t xml:space="preserve"> tuberkuloz</w:t>
      </w:r>
      <w:r w:rsidR="00CB4999" w:rsidRPr="00E87295">
        <w:rPr>
          <w:sz w:val="22"/>
          <w:szCs w:val="22"/>
          <w:lang w:val="sr-Latn-RS"/>
        </w:rPr>
        <w:t>u</w:t>
      </w:r>
      <w:r w:rsidRPr="00E87295">
        <w:rPr>
          <w:sz w:val="22"/>
          <w:szCs w:val="22"/>
          <w:lang w:val="sr-Latn-RS"/>
        </w:rPr>
        <w:t>, a kod kojih se ne može utvrditi da li je primjenjen odgovarajući terapijski tretman.</w:t>
      </w:r>
    </w:p>
    <w:p w14:paraId="53417877" w14:textId="77777777" w:rsidR="007677A5" w:rsidRPr="00E87295" w:rsidRDefault="007677A5">
      <w:pPr>
        <w:ind w:left="14"/>
        <w:jc w:val="both"/>
        <w:rPr>
          <w:rStyle w:val="BodyText2"/>
          <w:sz w:val="22"/>
          <w:szCs w:val="22"/>
          <w:lang w:val="sr-Latn-RS"/>
        </w:rPr>
      </w:pPr>
      <w:r w:rsidRPr="00E87295">
        <w:rPr>
          <w:rStyle w:val="BodyText2"/>
          <w:sz w:val="22"/>
          <w:szCs w:val="22"/>
          <w:lang w:val="sr-Latn-RS"/>
        </w:rPr>
        <w:t>Preosjetljivost</w:t>
      </w:r>
    </w:p>
    <w:p w14:paraId="11B74367" w14:textId="05B4C1C2" w:rsidR="00331DE3" w:rsidRPr="00C929E2" w:rsidRDefault="00CA570E">
      <w:pPr>
        <w:jc w:val="both"/>
        <w:rPr>
          <w:sz w:val="22"/>
          <w:szCs w:val="22"/>
          <w:lang w:val="sr-Latn-RS"/>
        </w:rPr>
      </w:pPr>
      <w:r w:rsidRPr="00E87295">
        <w:rPr>
          <w:sz w:val="22"/>
          <w:szCs w:val="22"/>
          <w:lang w:val="sr-Latn-RS"/>
        </w:rPr>
        <w:t>Ozbiljne reakcije preosjetljivosti</w:t>
      </w:r>
      <w:r w:rsidR="00331DE3" w:rsidRPr="00E87295">
        <w:rPr>
          <w:sz w:val="22"/>
          <w:szCs w:val="22"/>
          <w:lang w:val="sr-Latn-RS"/>
        </w:rPr>
        <w:t>, uključujući anafilaksu,</w:t>
      </w:r>
      <w:r w:rsidRPr="00E87295">
        <w:rPr>
          <w:sz w:val="22"/>
          <w:szCs w:val="22"/>
          <w:lang w:val="sr-Latn-RS"/>
        </w:rPr>
        <w:t xml:space="preserve"> su bile prijavljene u postmarketinškom periodu</w:t>
      </w:r>
      <w:r w:rsidR="00345CFA" w:rsidRPr="00E87295">
        <w:rPr>
          <w:sz w:val="22"/>
          <w:szCs w:val="22"/>
          <w:lang w:val="sr-Latn-RS"/>
        </w:rPr>
        <w:t xml:space="preserve"> (vid</w:t>
      </w:r>
      <w:r w:rsidR="00EF2F11" w:rsidRPr="00E87295">
        <w:rPr>
          <w:sz w:val="22"/>
          <w:szCs w:val="22"/>
          <w:lang w:val="sr-Latn-RS"/>
        </w:rPr>
        <w:t>j</w:t>
      </w:r>
      <w:r w:rsidR="00345CFA" w:rsidRPr="00E87295">
        <w:rPr>
          <w:sz w:val="22"/>
          <w:szCs w:val="22"/>
          <w:lang w:val="sr-Latn-RS"/>
        </w:rPr>
        <w:t xml:space="preserve">eti </w:t>
      </w:r>
      <w:r w:rsidR="006846CF" w:rsidRPr="00E87295">
        <w:rPr>
          <w:sz w:val="22"/>
          <w:szCs w:val="22"/>
          <w:lang w:val="sr-Latn-RS"/>
        </w:rPr>
        <w:t>dio</w:t>
      </w:r>
      <w:r w:rsidR="00345CFA" w:rsidRPr="00E87295">
        <w:rPr>
          <w:sz w:val="22"/>
          <w:szCs w:val="22"/>
          <w:lang w:val="sr-Latn-RS"/>
        </w:rPr>
        <w:t xml:space="preserve"> 4.8)</w:t>
      </w:r>
      <w:r w:rsidRPr="00E87295">
        <w:rPr>
          <w:sz w:val="22"/>
          <w:szCs w:val="22"/>
          <w:lang w:val="sr-Latn-RS"/>
        </w:rPr>
        <w:t xml:space="preserve">. Nekoliko dana od primjene terapije guselkumabom </w:t>
      </w:r>
      <w:r w:rsidR="00331DE3" w:rsidRPr="00E87295">
        <w:rPr>
          <w:sz w:val="22"/>
          <w:szCs w:val="22"/>
          <w:lang w:val="sr-Latn-RS"/>
        </w:rPr>
        <w:t xml:space="preserve">dogodili </w:t>
      </w:r>
      <w:r w:rsidRPr="00E87295">
        <w:rPr>
          <w:sz w:val="22"/>
          <w:szCs w:val="22"/>
          <w:lang w:val="sr-Latn-RS"/>
        </w:rPr>
        <w:t>su se</w:t>
      </w:r>
      <w:r w:rsidR="00331DE3" w:rsidRPr="00C929E2">
        <w:rPr>
          <w:sz w:val="22"/>
          <w:szCs w:val="22"/>
          <w:lang w:val="sr-Latn-RS"/>
        </w:rPr>
        <w:t xml:space="preserve"> slučajevi ozbiljnih reakcija preos</w:t>
      </w:r>
      <w:r w:rsidR="00586B13" w:rsidRPr="00C929E2">
        <w:rPr>
          <w:sz w:val="22"/>
          <w:szCs w:val="22"/>
          <w:lang w:val="sr-Latn-RS"/>
        </w:rPr>
        <w:t>j</w:t>
      </w:r>
      <w:r w:rsidR="00331DE3" w:rsidRPr="00C929E2">
        <w:rPr>
          <w:sz w:val="22"/>
          <w:szCs w:val="22"/>
          <w:lang w:val="sr-Latn-RS"/>
        </w:rPr>
        <w:t>etljivosti uključujući slučajeve sa urtikarijom i dispnejom.</w:t>
      </w:r>
    </w:p>
    <w:p w14:paraId="3EA1758C" w14:textId="7A7213AE" w:rsidR="008225EC" w:rsidRPr="00E87295" w:rsidRDefault="008225EC">
      <w:pPr>
        <w:ind w:left="14"/>
        <w:jc w:val="both"/>
        <w:rPr>
          <w:sz w:val="22"/>
          <w:szCs w:val="22"/>
          <w:lang w:val="sr-Latn-RS"/>
        </w:rPr>
      </w:pPr>
    </w:p>
    <w:p w14:paraId="53275F5D" w14:textId="3DF157E9" w:rsidR="007677A5" w:rsidRPr="00E87295" w:rsidRDefault="007677A5">
      <w:pPr>
        <w:ind w:left="14"/>
        <w:jc w:val="both"/>
        <w:rPr>
          <w:sz w:val="22"/>
          <w:szCs w:val="22"/>
          <w:lang w:val="sr-Latn-RS"/>
        </w:rPr>
      </w:pPr>
      <w:r w:rsidRPr="00E87295">
        <w:rPr>
          <w:sz w:val="22"/>
          <w:szCs w:val="22"/>
          <w:lang w:val="sr-Latn-RS"/>
        </w:rPr>
        <w:t xml:space="preserve">U slučaju pojave ozbiljne reakcije preosjetljivosti, treba odmah prekinuti primjenu </w:t>
      </w:r>
      <w:r w:rsidR="00345CFA" w:rsidRPr="00E87295">
        <w:rPr>
          <w:sz w:val="22"/>
          <w:szCs w:val="22"/>
          <w:lang w:val="sr-Latn-RS"/>
        </w:rPr>
        <w:t>guselkumaba</w:t>
      </w:r>
      <w:r w:rsidRPr="00E87295">
        <w:rPr>
          <w:sz w:val="22"/>
          <w:szCs w:val="22"/>
          <w:lang w:val="sr-Latn-RS"/>
        </w:rPr>
        <w:t xml:space="preserve"> i prim</w:t>
      </w:r>
      <w:r w:rsidR="00A21431" w:rsidRPr="00E87295">
        <w:rPr>
          <w:sz w:val="22"/>
          <w:szCs w:val="22"/>
          <w:lang w:val="sr-Latn-RS"/>
        </w:rPr>
        <w:t>i</w:t>
      </w:r>
      <w:r w:rsidRPr="00E87295">
        <w:rPr>
          <w:sz w:val="22"/>
          <w:szCs w:val="22"/>
          <w:lang w:val="sr-Latn-RS"/>
        </w:rPr>
        <w:t>jeniti odgovarajuću terapiju.</w:t>
      </w:r>
    </w:p>
    <w:p w14:paraId="28825505" w14:textId="7CD6A538" w:rsidR="007677A5" w:rsidRPr="00C929E2" w:rsidRDefault="007677A5">
      <w:pPr>
        <w:ind w:left="20"/>
        <w:jc w:val="both"/>
        <w:rPr>
          <w:rStyle w:val="BodyText2"/>
          <w:sz w:val="22"/>
          <w:szCs w:val="22"/>
          <w:lang w:val="sr-Latn-RS"/>
        </w:rPr>
      </w:pPr>
    </w:p>
    <w:p w14:paraId="3714A23A" w14:textId="13D12706" w:rsidR="006652E4" w:rsidRPr="00E87295" w:rsidRDefault="006652E4" w:rsidP="00E87295">
      <w:pPr>
        <w:jc w:val="both"/>
        <w:rPr>
          <w:sz w:val="22"/>
          <w:szCs w:val="22"/>
          <w:u w:val="single"/>
          <w:lang w:val="sr-Latn-RS"/>
        </w:rPr>
      </w:pPr>
      <w:r w:rsidRPr="00E87295">
        <w:rPr>
          <w:sz w:val="22"/>
          <w:szCs w:val="22"/>
          <w:u w:val="single"/>
          <w:lang w:val="sr-Latn-RS"/>
        </w:rPr>
        <w:t>Povišene vr</w:t>
      </w:r>
      <w:r w:rsidR="009F5282" w:rsidRPr="00E87295">
        <w:rPr>
          <w:sz w:val="22"/>
          <w:szCs w:val="22"/>
          <w:u w:val="single"/>
          <w:lang w:val="sr-Latn-RS"/>
        </w:rPr>
        <w:t>ij</w:t>
      </w:r>
      <w:r w:rsidRPr="00E87295">
        <w:rPr>
          <w:sz w:val="22"/>
          <w:szCs w:val="22"/>
          <w:u w:val="single"/>
          <w:lang w:val="sr-Latn-RS"/>
        </w:rPr>
        <w:t>ednosti transaminaza jetre</w:t>
      </w:r>
    </w:p>
    <w:p w14:paraId="2DA05A0C" w14:textId="0F787C57" w:rsidR="006652E4" w:rsidRPr="00E87295" w:rsidRDefault="006652E4" w:rsidP="00E87295">
      <w:pPr>
        <w:jc w:val="both"/>
        <w:rPr>
          <w:sz w:val="22"/>
          <w:szCs w:val="22"/>
          <w:lang w:val="sr-Latn-RS"/>
        </w:rPr>
      </w:pPr>
      <w:r w:rsidRPr="00E87295">
        <w:rPr>
          <w:sz w:val="22"/>
          <w:szCs w:val="22"/>
          <w:lang w:val="sr-Latn-RS"/>
        </w:rPr>
        <w:t>U kliničkim ispitivanjima psorijatičnog artritisa zab</w:t>
      </w:r>
      <w:r w:rsidR="009F5282" w:rsidRPr="00E87295">
        <w:rPr>
          <w:sz w:val="22"/>
          <w:szCs w:val="22"/>
          <w:lang w:val="sr-Latn-RS"/>
        </w:rPr>
        <w:t>ilj</w:t>
      </w:r>
      <w:r w:rsidRPr="00E87295">
        <w:rPr>
          <w:sz w:val="22"/>
          <w:szCs w:val="22"/>
          <w:lang w:val="sr-Latn-RS"/>
        </w:rPr>
        <w:t>ežene su povišene vr</w:t>
      </w:r>
      <w:r w:rsidR="009F5282" w:rsidRPr="00E87295">
        <w:rPr>
          <w:sz w:val="22"/>
          <w:szCs w:val="22"/>
          <w:lang w:val="sr-Latn-RS"/>
        </w:rPr>
        <w:t>ij</w:t>
      </w:r>
      <w:r w:rsidRPr="00E87295">
        <w:rPr>
          <w:sz w:val="22"/>
          <w:szCs w:val="22"/>
          <w:lang w:val="sr-Latn-RS"/>
        </w:rPr>
        <w:t xml:space="preserve">ednosti enzima jetre kod pacijenata koji su </w:t>
      </w:r>
      <w:r w:rsidR="00345CFA" w:rsidRPr="00E87295">
        <w:rPr>
          <w:sz w:val="22"/>
          <w:szCs w:val="22"/>
          <w:lang w:val="sr-Latn-RS"/>
        </w:rPr>
        <w:t>guselkumab</w:t>
      </w:r>
      <w:r w:rsidRPr="00E87295">
        <w:rPr>
          <w:sz w:val="22"/>
          <w:szCs w:val="22"/>
          <w:lang w:val="sr-Latn-RS"/>
        </w:rPr>
        <w:t xml:space="preserve"> primali na svake 4 ned</w:t>
      </w:r>
      <w:r w:rsidR="009F5282" w:rsidRPr="00E87295">
        <w:rPr>
          <w:sz w:val="22"/>
          <w:szCs w:val="22"/>
          <w:lang w:val="sr-Latn-RS"/>
        </w:rPr>
        <w:t>j</w:t>
      </w:r>
      <w:r w:rsidRPr="00E87295">
        <w:rPr>
          <w:sz w:val="22"/>
          <w:szCs w:val="22"/>
          <w:lang w:val="sr-Latn-RS"/>
        </w:rPr>
        <w:t xml:space="preserve">elje, u poređenju sa onima koji su primali </w:t>
      </w:r>
      <w:r w:rsidR="00345CFA" w:rsidRPr="00E87295">
        <w:rPr>
          <w:sz w:val="22"/>
          <w:szCs w:val="22"/>
          <w:lang w:val="sr-Latn-RS"/>
        </w:rPr>
        <w:t>guselkumab</w:t>
      </w:r>
      <w:r w:rsidRPr="00E87295">
        <w:rPr>
          <w:sz w:val="22"/>
          <w:szCs w:val="22"/>
          <w:lang w:val="sr-Latn-RS"/>
        </w:rPr>
        <w:t xml:space="preserve"> na svakih 8 ned</w:t>
      </w:r>
      <w:r w:rsidR="009F5282" w:rsidRPr="00E87295">
        <w:rPr>
          <w:sz w:val="22"/>
          <w:szCs w:val="22"/>
          <w:lang w:val="sr-Latn-RS"/>
        </w:rPr>
        <w:t>j</w:t>
      </w:r>
      <w:r w:rsidRPr="00E87295">
        <w:rPr>
          <w:sz w:val="22"/>
          <w:szCs w:val="22"/>
          <w:lang w:val="sr-Latn-RS"/>
        </w:rPr>
        <w:t>elja ili placebo (</w:t>
      </w:r>
      <w:r w:rsidR="006846CF" w:rsidRPr="00E87295">
        <w:rPr>
          <w:sz w:val="22"/>
          <w:szCs w:val="22"/>
          <w:lang w:val="sr-Latn-RS"/>
        </w:rPr>
        <w:t>vidjeti</w:t>
      </w:r>
      <w:r w:rsidRPr="00E87295">
        <w:rPr>
          <w:sz w:val="22"/>
          <w:szCs w:val="22"/>
          <w:lang w:val="sr-Latn-RS"/>
        </w:rPr>
        <w:t xml:space="preserve"> </w:t>
      </w:r>
      <w:r w:rsidR="006846CF" w:rsidRPr="00E87295">
        <w:rPr>
          <w:sz w:val="22"/>
          <w:szCs w:val="22"/>
          <w:lang w:val="sr-Latn-RS"/>
        </w:rPr>
        <w:t>dio</w:t>
      </w:r>
      <w:r w:rsidRPr="00E87295">
        <w:rPr>
          <w:sz w:val="22"/>
          <w:szCs w:val="22"/>
          <w:lang w:val="sr-Latn-RS"/>
        </w:rPr>
        <w:t xml:space="preserve"> 4.8). </w:t>
      </w:r>
    </w:p>
    <w:p w14:paraId="7BAB4311" w14:textId="77777777" w:rsidR="006652E4" w:rsidRPr="00E87295" w:rsidRDefault="006652E4" w:rsidP="00E87295">
      <w:pPr>
        <w:jc w:val="both"/>
        <w:rPr>
          <w:sz w:val="22"/>
          <w:szCs w:val="22"/>
          <w:lang w:val="sr-Latn-RS"/>
        </w:rPr>
      </w:pPr>
    </w:p>
    <w:p w14:paraId="7438D2AB" w14:textId="1240F9D9" w:rsidR="006652E4" w:rsidRPr="00E87295" w:rsidRDefault="006652E4" w:rsidP="00E87295">
      <w:pPr>
        <w:jc w:val="both"/>
        <w:rPr>
          <w:sz w:val="22"/>
          <w:szCs w:val="22"/>
          <w:lang w:val="sr-Latn-RS"/>
        </w:rPr>
      </w:pPr>
      <w:r w:rsidRPr="00E87295">
        <w:rPr>
          <w:sz w:val="22"/>
          <w:szCs w:val="22"/>
          <w:lang w:val="sr-Latn-RS"/>
        </w:rPr>
        <w:t>Kada se</w:t>
      </w:r>
      <w:r w:rsidR="00E07B37" w:rsidRPr="00E87295">
        <w:rPr>
          <w:sz w:val="22"/>
          <w:szCs w:val="22"/>
          <w:lang w:val="sr-Latn-RS"/>
        </w:rPr>
        <w:t xml:space="preserve"> propisuje primjena</w:t>
      </w:r>
      <w:r w:rsidRPr="00E87295">
        <w:rPr>
          <w:sz w:val="22"/>
          <w:szCs w:val="22"/>
          <w:lang w:val="sr-Latn-RS"/>
        </w:rPr>
        <w:t xml:space="preserve"> </w:t>
      </w:r>
      <w:r w:rsidR="00A91E1D" w:rsidRPr="00E87295">
        <w:rPr>
          <w:sz w:val="22"/>
          <w:szCs w:val="22"/>
          <w:lang w:val="sr-Latn-RS"/>
        </w:rPr>
        <w:t>guselkumab</w:t>
      </w:r>
      <w:r w:rsidR="00E07B37" w:rsidRPr="00E87295">
        <w:rPr>
          <w:sz w:val="22"/>
          <w:szCs w:val="22"/>
          <w:lang w:val="sr-Latn-RS"/>
        </w:rPr>
        <w:t xml:space="preserve">a </w:t>
      </w:r>
      <w:r w:rsidRPr="00E87295">
        <w:rPr>
          <w:sz w:val="22"/>
          <w:szCs w:val="22"/>
          <w:lang w:val="sr-Latn-RS"/>
        </w:rPr>
        <w:t>na svake 4 ned</w:t>
      </w:r>
      <w:r w:rsidR="009F5282" w:rsidRPr="00E87295">
        <w:rPr>
          <w:sz w:val="22"/>
          <w:szCs w:val="22"/>
          <w:lang w:val="sr-Latn-RS"/>
        </w:rPr>
        <w:t>j</w:t>
      </w:r>
      <w:r w:rsidRPr="00E87295">
        <w:rPr>
          <w:sz w:val="22"/>
          <w:szCs w:val="22"/>
          <w:lang w:val="sr-Latn-RS"/>
        </w:rPr>
        <w:t>elje kod psorijatičnog artritisa, preporučuje se da se utvrdi početna vr</w:t>
      </w:r>
      <w:r w:rsidR="009F5282" w:rsidRPr="00E87295">
        <w:rPr>
          <w:sz w:val="22"/>
          <w:szCs w:val="22"/>
          <w:lang w:val="sr-Latn-RS"/>
        </w:rPr>
        <w:t>ij</w:t>
      </w:r>
      <w:r w:rsidRPr="00E87295">
        <w:rPr>
          <w:sz w:val="22"/>
          <w:szCs w:val="22"/>
          <w:lang w:val="sr-Latn-RS"/>
        </w:rPr>
        <w:t xml:space="preserve">ednost enzima jetre i da se potom prati u skladu sa uobičajenom praksom zbrinjavanja pacijenata. Ako se uoče povišeni nivoi </w:t>
      </w:r>
      <w:r w:rsidR="00205A86" w:rsidRPr="00E87295">
        <w:rPr>
          <w:sz w:val="22"/>
          <w:szCs w:val="22"/>
          <w:lang w:val="sr-Latn-RS"/>
        </w:rPr>
        <w:t xml:space="preserve">alanin aminotransferaze [ALT] ili aspartat aminotransferaze [AST] </w:t>
      </w:r>
      <w:r w:rsidRPr="00E87295">
        <w:rPr>
          <w:sz w:val="22"/>
          <w:szCs w:val="22"/>
          <w:lang w:val="sr-Latn-RS"/>
        </w:rPr>
        <w:t>i posumnja na oštećenje jetre izazvano ovim l</w:t>
      </w:r>
      <w:r w:rsidR="009F5282" w:rsidRPr="00E87295">
        <w:rPr>
          <w:sz w:val="22"/>
          <w:szCs w:val="22"/>
          <w:lang w:val="sr-Latn-RS"/>
        </w:rPr>
        <w:t>ij</w:t>
      </w:r>
      <w:r w:rsidRPr="00E87295">
        <w:rPr>
          <w:sz w:val="22"/>
          <w:szCs w:val="22"/>
          <w:lang w:val="sr-Latn-RS"/>
        </w:rPr>
        <w:t xml:space="preserve">ekom, </w:t>
      </w:r>
      <w:r w:rsidR="00345CFA" w:rsidRPr="00E87295">
        <w:rPr>
          <w:sz w:val="22"/>
          <w:szCs w:val="22"/>
          <w:lang w:val="sr-Latn-RS"/>
        </w:rPr>
        <w:t>terapiju</w:t>
      </w:r>
      <w:r w:rsidRPr="00E87295">
        <w:rPr>
          <w:sz w:val="22"/>
          <w:szCs w:val="22"/>
          <w:lang w:val="sr-Latn-RS"/>
        </w:rPr>
        <w:t xml:space="preserve"> treba privremeno obustaviti sve dok se ova dijagnoza ne isključi.</w:t>
      </w:r>
    </w:p>
    <w:p w14:paraId="518D5C24" w14:textId="77777777" w:rsidR="006652E4" w:rsidRPr="00C929E2" w:rsidRDefault="006652E4">
      <w:pPr>
        <w:ind w:left="20"/>
        <w:jc w:val="both"/>
        <w:rPr>
          <w:rStyle w:val="BodyText2"/>
          <w:sz w:val="22"/>
          <w:szCs w:val="22"/>
          <w:lang w:val="sr-Latn-RS"/>
        </w:rPr>
      </w:pPr>
    </w:p>
    <w:p w14:paraId="2B045950" w14:textId="77777777" w:rsidR="007677A5" w:rsidRPr="00C929E2" w:rsidRDefault="007677A5">
      <w:pPr>
        <w:ind w:left="20"/>
        <w:jc w:val="both"/>
        <w:rPr>
          <w:sz w:val="22"/>
          <w:szCs w:val="22"/>
          <w:lang w:val="sr-Latn-RS"/>
        </w:rPr>
      </w:pPr>
      <w:r w:rsidRPr="00E87295">
        <w:rPr>
          <w:rStyle w:val="BodyText2"/>
          <w:sz w:val="22"/>
          <w:szCs w:val="22"/>
          <w:lang w:val="sr-Latn-RS"/>
        </w:rPr>
        <w:t>Imunizacija</w:t>
      </w:r>
    </w:p>
    <w:p w14:paraId="60E32A40" w14:textId="1718FD18" w:rsidR="007677A5" w:rsidRPr="00E87295" w:rsidRDefault="007677A5">
      <w:pPr>
        <w:spacing w:after="176"/>
        <w:ind w:left="20"/>
        <w:jc w:val="both"/>
        <w:rPr>
          <w:sz w:val="22"/>
          <w:szCs w:val="22"/>
          <w:lang w:val="sr-Latn-RS"/>
        </w:rPr>
      </w:pPr>
      <w:r w:rsidRPr="00E87295">
        <w:rPr>
          <w:sz w:val="22"/>
          <w:szCs w:val="22"/>
          <w:lang w:val="sr-Latn-RS"/>
        </w:rPr>
        <w:t xml:space="preserve">Prije početka terapije , potrebno je razmotriti završetak primjene svih potrebnih vakcina u skladu sa važećim smjernicama za imunizaciju. Pacijenti koji primaju </w:t>
      </w:r>
      <w:r w:rsidR="00345CFA" w:rsidRPr="00E87295">
        <w:rPr>
          <w:sz w:val="22"/>
          <w:szCs w:val="22"/>
          <w:lang w:val="sr-Latn-RS"/>
        </w:rPr>
        <w:t>guselkumab</w:t>
      </w:r>
      <w:r w:rsidRPr="00E87295">
        <w:rPr>
          <w:sz w:val="22"/>
          <w:szCs w:val="22"/>
          <w:lang w:val="sr-Latn-RS"/>
        </w:rPr>
        <w:t xml:space="preserve"> ne smiju istovremeno da primaju žive vakcine. Nema dostupnih podataka o odgovoru na žive ili inaktivi</w:t>
      </w:r>
      <w:r w:rsidR="00A21431" w:rsidRPr="00E87295">
        <w:rPr>
          <w:sz w:val="22"/>
          <w:szCs w:val="22"/>
          <w:lang w:val="sr-Latn-RS"/>
        </w:rPr>
        <w:t>sane</w:t>
      </w:r>
      <w:r w:rsidRPr="00E87295">
        <w:rPr>
          <w:sz w:val="22"/>
          <w:szCs w:val="22"/>
          <w:lang w:val="sr-Latn-RS"/>
        </w:rPr>
        <w:t xml:space="preserve"> vakcine.</w:t>
      </w:r>
    </w:p>
    <w:p w14:paraId="05D8D170" w14:textId="428A243B" w:rsidR="007677A5" w:rsidRPr="00E87295" w:rsidRDefault="007677A5">
      <w:pPr>
        <w:ind w:left="20"/>
        <w:jc w:val="both"/>
        <w:rPr>
          <w:sz w:val="22"/>
          <w:szCs w:val="22"/>
          <w:lang w:val="sr-Latn-RS"/>
        </w:rPr>
      </w:pPr>
      <w:r w:rsidRPr="00E87295">
        <w:rPr>
          <w:sz w:val="22"/>
          <w:szCs w:val="22"/>
          <w:lang w:val="sr-Latn-RS"/>
        </w:rPr>
        <w:t>Pr</w:t>
      </w:r>
      <w:r w:rsidR="00A21431" w:rsidRPr="00E87295">
        <w:rPr>
          <w:sz w:val="22"/>
          <w:szCs w:val="22"/>
          <w:lang w:val="sr-Latn-RS"/>
        </w:rPr>
        <w:t>ij</w:t>
      </w:r>
      <w:r w:rsidRPr="00E87295">
        <w:rPr>
          <w:sz w:val="22"/>
          <w:szCs w:val="22"/>
          <w:lang w:val="sr-Latn-RS"/>
        </w:rPr>
        <w:t>e imunizacije živom virusnom ili živom bakterijskom vakcinom potrebno je obustaviti terapiju najmanje 12 ned</w:t>
      </w:r>
      <w:r w:rsidR="00A21431" w:rsidRPr="00E87295">
        <w:rPr>
          <w:sz w:val="22"/>
          <w:szCs w:val="22"/>
          <w:lang w:val="sr-Latn-RS"/>
        </w:rPr>
        <w:t>j</w:t>
      </w:r>
      <w:r w:rsidRPr="00E87295">
        <w:rPr>
          <w:sz w:val="22"/>
          <w:szCs w:val="22"/>
          <w:lang w:val="sr-Latn-RS"/>
        </w:rPr>
        <w:t>elja nakon posl</w:t>
      </w:r>
      <w:r w:rsidR="00A21431" w:rsidRPr="00E87295">
        <w:rPr>
          <w:sz w:val="22"/>
          <w:szCs w:val="22"/>
          <w:lang w:val="sr-Latn-RS"/>
        </w:rPr>
        <w:t>j</w:t>
      </w:r>
      <w:r w:rsidRPr="00E87295">
        <w:rPr>
          <w:sz w:val="22"/>
          <w:szCs w:val="22"/>
          <w:lang w:val="sr-Latn-RS"/>
        </w:rPr>
        <w:t>ednje doze, a terapija se može nastaviti najmanje 2 ned</w:t>
      </w:r>
      <w:r w:rsidR="00A21431" w:rsidRPr="00E87295">
        <w:rPr>
          <w:sz w:val="22"/>
          <w:szCs w:val="22"/>
          <w:lang w:val="sr-Latn-RS"/>
        </w:rPr>
        <w:t>j</w:t>
      </w:r>
      <w:r w:rsidRPr="00E87295">
        <w:rPr>
          <w:sz w:val="22"/>
          <w:szCs w:val="22"/>
          <w:lang w:val="sr-Latn-RS"/>
        </w:rPr>
        <w:t xml:space="preserve">elje nakon vakcinacije. Potrebno je da ljekari koji propisuju lijek pročitaju Sažetke karakteristika lijeka za određene vakcine, za dodatne informacije i </w:t>
      </w:r>
      <w:r w:rsidR="00A21431" w:rsidRPr="00E87295">
        <w:rPr>
          <w:sz w:val="22"/>
          <w:szCs w:val="22"/>
          <w:lang w:val="sr-Latn-RS"/>
        </w:rPr>
        <w:t xml:space="preserve">smjernice </w:t>
      </w:r>
      <w:r w:rsidRPr="00E87295">
        <w:rPr>
          <w:sz w:val="22"/>
          <w:szCs w:val="22"/>
          <w:lang w:val="sr-Latn-RS"/>
        </w:rPr>
        <w:t>o istovremenoj primjeni imunosupresiva nakon vakcinacije.</w:t>
      </w:r>
    </w:p>
    <w:p w14:paraId="69E776A6" w14:textId="77777777" w:rsidR="007677A5" w:rsidRPr="00C929E2" w:rsidRDefault="007677A5">
      <w:pPr>
        <w:tabs>
          <w:tab w:val="left" w:pos="540"/>
          <w:tab w:val="left" w:pos="569"/>
        </w:tabs>
        <w:jc w:val="both"/>
        <w:rPr>
          <w:sz w:val="22"/>
          <w:szCs w:val="22"/>
          <w:u w:val="single"/>
          <w:lang w:val="sr-Latn-RS"/>
        </w:rPr>
      </w:pPr>
    </w:p>
    <w:p w14:paraId="6FBFAAA6" w14:textId="77777777" w:rsidR="00411B4B" w:rsidRPr="00C929E2" w:rsidRDefault="00411B4B">
      <w:pPr>
        <w:tabs>
          <w:tab w:val="left" w:pos="540"/>
          <w:tab w:val="left" w:pos="569"/>
        </w:tabs>
        <w:jc w:val="both"/>
        <w:rPr>
          <w:b/>
          <w:bCs/>
          <w:sz w:val="22"/>
          <w:szCs w:val="22"/>
          <w:lang w:val="de-DE"/>
        </w:rPr>
      </w:pPr>
      <w:r w:rsidRPr="00C929E2">
        <w:rPr>
          <w:b/>
          <w:bCs/>
          <w:sz w:val="22"/>
          <w:szCs w:val="22"/>
          <w:lang w:val="de-DE"/>
        </w:rPr>
        <w:t>4.5.</w:t>
      </w:r>
      <w:r w:rsidR="000D60CC" w:rsidRPr="00C929E2">
        <w:rPr>
          <w:b/>
          <w:bCs/>
          <w:sz w:val="22"/>
          <w:szCs w:val="22"/>
          <w:lang w:val="de-DE"/>
        </w:rPr>
        <w:tab/>
      </w:r>
      <w:r w:rsidRPr="00C929E2">
        <w:rPr>
          <w:b/>
          <w:bCs/>
          <w:sz w:val="22"/>
          <w:szCs w:val="22"/>
          <w:lang w:val="de-DE"/>
        </w:rPr>
        <w:t>Interakcije sa drugim ljekovima i druge vrste interakcija</w:t>
      </w:r>
    </w:p>
    <w:p w14:paraId="2702952C" w14:textId="77777777" w:rsidR="0072020E" w:rsidRPr="00C929E2" w:rsidRDefault="0072020E">
      <w:pPr>
        <w:tabs>
          <w:tab w:val="left" w:pos="540"/>
          <w:tab w:val="left" w:pos="569"/>
        </w:tabs>
        <w:jc w:val="both"/>
        <w:rPr>
          <w:bCs/>
          <w:sz w:val="22"/>
          <w:szCs w:val="22"/>
          <w:lang w:val="de-DE"/>
        </w:rPr>
      </w:pPr>
    </w:p>
    <w:p w14:paraId="29217DFF" w14:textId="582C710D" w:rsidR="007677A5" w:rsidRPr="00E87295" w:rsidRDefault="007677A5">
      <w:pPr>
        <w:ind w:left="20"/>
        <w:jc w:val="both"/>
        <w:rPr>
          <w:rStyle w:val="BodyText31"/>
          <w:sz w:val="22"/>
          <w:szCs w:val="22"/>
          <w:lang w:val="sr-Latn-RS"/>
        </w:rPr>
      </w:pPr>
      <w:r w:rsidRPr="00E87295">
        <w:rPr>
          <w:rStyle w:val="BodyText31"/>
          <w:sz w:val="22"/>
          <w:szCs w:val="22"/>
          <w:lang w:val="sr-Latn-RS"/>
        </w:rPr>
        <w:t>Interakcije sa supstratima CYP450</w:t>
      </w:r>
    </w:p>
    <w:p w14:paraId="3BF9E9BF" w14:textId="77777777" w:rsidR="007E7309" w:rsidRPr="00E87295" w:rsidRDefault="007E7309">
      <w:pPr>
        <w:ind w:left="20"/>
        <w:jc w:val="both"/>
        <w:rPr>
          <w:sz w:val="22"/>
          <w:szCs w:val="22"/>
          <w:lang w:val="sr-Latn-RS"/>
        </w:rPr>
      </w:pPr>
    </w:p>
    <w:p w14:paraId="04EB5E48" w14:textId="77777777" w:rsidR="007677A5" w:rsidRPr="00E87295" w:rsidRDefault="007677A5">
      <w:pPr>
        <w:spacing w:after="180"/>
        <w:ind w:left="20"/>
        <w:jc w:val="both"/>
        <w:rPr>
          <w:sz w:val="22"/>
          <w:szCs w:val="22"/>
          <w:lang w:val="sr-Latn-RS"/>
        </w:rPr>
      </w:pPr>
      <w:r w:rsidRPr="00E87295">
        <w:rPr>
          <w:sz w:val="22"/>
          <w:szCs w:val="22"/>
          <w:lang w:val="sr-Latn-RS"/>
        </w:rPr>
        <w:t xml:space="preserve">U ispitivanju faze I sprovedenom kod ispitanika sa umjerenom do teškom </w:t>
      </w:r>
      <w:r w:rsidR="00A21431" w:rsidRPr="00E87295">
        <w:rPr>
          <w:sz w:val="22"/>
          <w:szCs w:val="22"/>
          <w:lang w:val="sr-Latn-RS"/>
        </w:rPr>
        <w:t xml:space="preserve">plak </w:t>
      </w:r>
      <w:r w:rsidRPr="00E87295">
        <w:rPr>
          <w:sz w:val="22"/>
          <w:szCs w:val="22"/>
          <w:lang w:val="sr-Latn-RS"/>
        </w:rPr>
        <w:t>psorijazom promjene u sistemskoj izloženosti (C</w:t>
      </w:r>
      <w:r w:rsidRPr="00E87295">
        <w:rPr>
          <w:sz w:val="22"/>
          <w:szCs w:val="22"/>
          <w:vertAlign w:val="subscript"/>
          <w:lang w:val="sr-Latn-RS"/>
        </w:rPr>
        <w:t>max</w:t>
      </w:r>
      <w:r w:rsidRPr="00E87295">
        <w:rPr>
          <w:sz w:val="22"/>
          <w:szCs w:val="22"/>
          <w:lang w:val="sr-Latn-RS"/>
        </w:rPr>
        <w:t xml:space="preserve"> i PIK</w:t>
      </w:r>
      <w:r w:rsidRPr="00E87295">
        <w:rPr>
          <w:sz w:val="22"/>
          <w:szCs w:val="22"/>
          <w:vertAlign w:val="subscript"/>
          <w:lang w:val="sr-Latn-RS"/>
        </w:rPr>
        <w:t>besk</w:t>
      </w:r>
      <w:r w:rsidRPr="00E87295">
        <w:rPr>
          <w:sz w:val="22"/>
          <w:szCs w:val="22"/>
          <w:lang w:val="sr-Latn-RS"/>
        </w:rPr>
        <w:t xml:space="preserve">) midazolamu, S-varfarinu, omeprazolu, dekstrometorfanu i kofeinu </w:t>
      </w:r>
      <w:r w:rsidR="00A21431" w:rsidRPr="00E87295">
        <w:rPr>
          <w:sz w:val="22"/>
          <w:szCs w:val="22"/>
          <w:lang w:val="sr-Latn-RS"/>
        </w:rPr>
        <w:t>nakon jedne</w:t>
      </w:r>
      <w:r w:rsidRPr="00E87295">
        <w:rPr>
          <w:sz w:val="22"/>
          <w:szCs w:val="22"/>
          <w:lang w:val="sr-Latn-RS"/>
        </w:rPr>
        <w:t xml:space="preserve"> doze guselkumaba ni</w:t>
      </w:r>
      <w:r w:rsidR="00A21431" w:rsidRPr="00E87295">
        <w:rPr>
          <w:sz w:val="22"/>
          <w:szCs w:val="22"/>
          <w:lang w:val="sr-Latn-RS"/>
        </w:rPr>
        <w:t>je</w:t>
      </w:r>
      <w:r w:rsidRPr="00E87295">
        <w:rPr>
          <w:sz w:val="22"/>
          <w:szCs w:val="22"/>
          <w:lang w:val="sr-Latn-RS"/>
        </w:rPr>
        <w:t>su bile klinički značajne, što ukazuje na to da interakcije između guselkumaba i supstrata različitih CYP enzima (CYP3A4, CYP2C9, CYP2C19, CYP2D6 i CYP1A2) ni</w:t>
      </w:r>
      <w:r w:rsidR="00A21431" w:rsidRPr="00E87295">
        <w:rPr>
          <w:sz w:val="22"/>
          <w:szCs w:val="22"/>
          <w:lang w:val="sr-Latn-RS"/>
        </w:rPr>
        <w:t>je</w:t>
      </w:r>
      <w:r w:rsidRPr="00E87295">
        <w:rPr>
          <w:sz w:val="22"/>
          <w:szCs w:val="22"/>
          <w:lang w:val="sr-Latn-RS"/>
        </w:rPr>
        <w:t>su vjerovatne. Nije potrebno prilagođavati dozu pri istovremenoj primjeni guselkumaba i supstrata CYP450.</w:t>
      </w:r>
    </w:p>
    <w:p w14:paraId="548C9DF0" w14:textId="28C0490B" w:rsidR="007677A5" w:rsidRPr="00E87295" w:rsidRDefault="007677A5">
      <w:pPr>
        <w:ind w:left="20"/>
        <w:jc w:val="both"/>
        <w:rPr>
          <w:rStyle w:val="BodyText31"/>
          <w:sz w:val="22"/>
          <w:szCs w:val="22"/>
          <w:lang w:val="sr-Latn-RS"/>
        </w:rPr>
      </w:pPr>
      <w:r w:rsidRPr="00E87295">
        <w:rPr>
          <w:rStyle w:val="BodyText31"/>
          <w:sz w:val="22"/>
          <w:szCs w:val="22"/>
          <w:lang w:val="sr-Latn-RS"/>
        </w:rPr>
        <w:t>Istovremena imunosupresivna terapija ili fototerapija</w:t>
      </w:r>
    </w:p>
    <w:p w14:paraId="73BEE630" w14:textId="77777777" w:rsidR="007E7309" w:rsidRPr="00E87295" w:rsidRDefault="007E7309">
      <w:pPr>
        <w:ind w:left="20"/>
        <w:jc w:val="both"/>
        <w:rPr>
          <w:sz w:val="22"/>
          <w:szCs w:val="22"/>
          <w:lang w:val="sr-Latn-RS"/>
        </w:rPr>
      </w:pPr>
    </w:p>
    <w:p w14:paraId="3193D95A" w14:textId="591CC49A" w:rsidR="007677A5" w:rsidRPr="00E87295" w:rsidRDefault="006652E4">
      <w:pPr>
        <w:ind w:left="20"/>
        <w:jc w:val="both"/>
        <w:rPr>
          <w:sz w:val="22"/>
          <w:szCs w:val="22"/>
          <w:lang w:val="sr-Latn-RS"/>
        </w:rPr>
      </w:pPr>
      <w:r w:rsidRPr="00E87295">
        <w:rPr>
          <w:sz w:val="22"/>
          <w:szCs w:val="22"/>
          <w:lang w:val="sr-Latn-RS"/>
        </w:rPr>
        <w:t>U studijama sa psorijazom ni</w:t>
      </w:r>
      <w:r w:rsidR="007E7309" w:rsidRPr="00E87295">
        <w:rPr>
          <w:sz w:val="22"/>
          <w:szCs w:val="22"/>
          <w:lang w:val="sr-Latn-RS"/>
        </w:rPr>
        <w:t>je</w:t>
      </w:r>
      <w:r w:rsidRPr="00E87295">
        <w:rPr>
          <w:sz w:val="22"/>
          <w:szCs w:val="22"/>
          <w:lang w:val="sr-Latn-RS"/>
        </w:rPr>
        <w:t xml:space="preserve">su </w:t>
      </w:r>
      <w:r w:rsidR="007677A5" w:rsidRPr="00E87295">
        <w:rPr>
          <w:sz w:val="22"/>
          <w:szCs w:val="22"/>
          <w:lang w:val="sr-Latn-RS"/>
        </w:rPr>
        <w:t>oc</w:t>
      </w:r>
      <w:r w:rsidR="00A21431" w:rsidRPr="00E87295">
        <w:rPr>
          <w:sz w:val="22"/>
          <w:szCs w:val="22"/>
          <w:lang w:val="sr-Latn-RS"/>
        </w:rPr>
        <w:t>j</w:t>
      </w:r>
      <w:r w:rsidR="007677A5" w:rsidRPr="00E87295">
        <w:rPr>
          <w:sz w:val="22"/>
          <w:szCs w:val="22"/>
          <w:lang w:val="sr-Latn-RS"/>
        </w:rPr>
        <w:t xml:space="preserve">enjivani bezbjednost i efikasnost </w:t>
      </w:r>
      <w:r w:rsidR="00345CFA" w:rsidRPr="00E87295">
        <w:rPr>
          <w:sz w:val="22"/>
          <w:szCs w:val="22"/>
          <w:lang w:val="sr-Latn-RS"/>
        </w:rPr>
        <w:t>guselkumaba</w:t>
      </w:r>
      <w:r w:rsidR="007677A5" w:rsidRPr="00E87295">
        <w:rPr>
          <w:sz w:val="22"/>
          <w:szCs w:val="22"/>
          <w:lang w:val="sr-Latn-RS"/>
        </w:rPr>
        <w:t xml:space="preserve"> u kombinaciji sa imunosupresivima</w:t>
      </w:r>
      <w:r w:rsidR="00331DE3" w:rsidRPr="00E87295">
        <w:rPr>
          <w:sz w:val="22"/>
          <w:szCs w:val="22"/>
          <w:lang w:val="sr-Latn-RS"/>
        </w:rPr>
        <w:t xml:space="preserve">, </w:t>
      </w:r>
      <w:r w:rsidR="007677A5" w:rsidRPr="00E87295">
        <w:rPr>
          <w:sz w:val="22"/>
          <w:szCs w:val="22"/>
          <w:lang w:val="sr-Latn-RS"/>
        </w:rPr>
        <w:t>uključujući biološke ljekove</w:t>
      </w:r>
      <w:r w:rsidR="00331DE3" w:rsidRPr="00E87295">
        <w:rPr>
          <w:sz w:val="22"/>
          <w:szCs w:val="22"/>
          <w:lang w:val="sr-Latn-RS"/>
        </w:rPr>
        <w:t>,</w:t>
      </w:r>
      <w:r w:rsidR="007677A5" w:rsidRPr="00E87295">
        <w:rPr>
          <w:sz w:val="22"/>
          <w:szCs w:val="22"/>
          <w:lang w:val="sr-Latn-RS"/>
        </w:rPr>
        <w:t xml:space="preserve"> ili fototerapijom.</w:t>
      </w:r>
    </w:p>
    <w:p w14:paraId="1C27A875" w14:textId="77777777" w:rsidR="00515CB7" w:rsidRPr="00C929E2" w:rsidRDefault="00515CB7">
      <w:pPr>
        <w:tabs>
          <w:tab w:val="left" w:pos="540"/>
          <w:tab w:val="left" w:pos="569"/>
        </w:tabs>
        <w:jc w:val="both"/>
        <w:rPr>
          <w:b/>
          <w:bCs/>
          <w:sz w:val="22"/>
          <w:szCs w:val="22"/>
          <w:lang w:val="sr-Latn-RS"/>
        </w:rPr>
      </w:pPr>
    </w:p>
    <w:p w14:paraId="10063162" w14:textId="4DD915D7" w:rsidR="0072020E" w:rsidRPr="00E87295" w:rsidRDefault="0072020E">
      <w:pPr>
        <w:tabs>
          <w:tab w:val="left" w:pos="540"/>
          <w:tab w:val="left" w:pos="569"/>
        </w:tabs>
        <w:jc w:val="both"/>
        <w:rPr>
          <w:b/>
          <w:sz w:val="22"/>
          <w:szCs w:val="22"/>
          <w:lang w:val="sr-Latn-CS"/>
        </w:rPr>
      </w:pPr>
      <w:r w:rsidRPr="00C929E2">
        <w:rPr>
          <w:b/>
          <w:bCs/>
          <w:sz w:val="22"/>
          <w:szCs w:val="22"/>
          <w:lang w:val="sr-Latn-RS"/>
        </w:rPr>
        <w:t xml:space="preserve">4.6. </w:t>
      </w:r>
      <w:r w:rsidR="00480FB1" w:rsidRPr="00C929E2">
        <w:rPr>
          <w:b/>
          <w:bCs/>
          <w:sz w:val="22"/>
          <w:szCs w:val="22"/>
          <w:lang w:val="sr-Latn-RS"/>
        </w:rPr>
        <w:tab/>
      </w:r>
      <w:r w:rsidR="006D20A5" w:rsidRPr="00E87295">
        <w:rPr>
          <w:b/>
          <w:sz w:val="22"/>
          <w:szCs w:val="22"/>
          <w:lang w:val="sr-Latn-CS"/>
        </w:rPr>
        <w:t>Plodnost, trudnoća i dojenje</w:t>
      </w:r>
    </w:p>
    <w:p w14:paraId="58A12E5A" w14:textId="77777777" w:rsidR="002031B3" w:rsidRPr="00C929E2" w:rsidRDefault="002031B3">
      <w:pPr>
        <w:tabs>
          <w:tab w:val="left" w:pos="540"/>
          <w:tab w:val="left" w:pos="569"/>
        </w:tabs>
        <w:jc w:val="both"/>
        <w:rPr>
          <w:sz w:val="22"/>
          <w:szCs w:val="22"/>
          <w:u w:val="single"/>
          <w:lang w:val="sr-Latn-RS"/>
        </w:rPr>
      </w:pPr>
    </w:p>
    <w:p w14:paraId="3A7C23EA" w14:textId="77777777" w:rsidR="007677A5" w:rsidRPr="00E87295" w:rsidRDefault="007677A5">
      <w:pPr>
        <w:tabs>
          <w:tab w:val="left" w:pos="1134"/>
          <w:tab w:val="left" w:pos="1701"/>
        </w:tabs>
        <w:jc w:val="both"/>
        <w:rPr>
          <w:sz w:val="22"/>
          <w:szCs w:val="22"/>
          <w:u w:val="single"/>
          <w:lang w:val="sr-Latn-RS"/>
        </w:rPr>
      </w:pPr>
      <w:r w:rsidRPr="00E87295">
        <w:rPr>
          <w:sz w:val="22"/>
          <w:szCs w:val="22"/>
          <w:u w:val="single"/>
          <w:lang w:val="sr-Latn-RS"/>
        </w:rPr>
        <w:t>Žene u reproduktivnom periodu</w:t>
      </w:r>
    </w:p>
    <w:p w14:paraId="477A8D17" w14:textId="77777777" w:rsidR="008225EC" w:rsidRPr="00E87295" w:rsidRDefault="008225EC">
      <w:pPr>
        <w:tabs>
          <w:tab w:val="left" w:pos="1134"/>
          <w:tab w:val="left" w:pos="1701"/>
        </w:tabs>
        <w:jc w:val="both"/>
        <w:rPr>
          <w:sz w:val="22"/>
          <w:szCs w:val="22"/>
          <w:u w:val="single"/>
          <w:lang w:val="sr-Latn-RS"/>
        </w:rPr>
      </w:pPr>
    </w:p>
    <w:p w14:paraId="43839754" w14:textId="77777777" w:rsidR="007677A5" w:rsidRPr="00E87295" w:rsidRDefault="007677A5">
      <w:pPr>
        <w:tabs>
          <w:tab w:val="left" w:pos="1134"/>
          <w:tab w:val="left" w:pos="1701"/>
        </w:tabs>
        <w:jc w:val="both"/>
        <w:rPr>
          <w:sz w:val="22"/>
          <w:szCs w:val="22"/>
          <w:u w:val="single"/>
          <w:lang w:val="sr-Latn-RS"/>
        </w:rPr>
      </w:pPr>
      <w:r w:rsidRPr="00E87295">
        <w:rPr>
          <w:sz w:val="22"/>
          <w:szCs w:val="22"/>
          <w:lang w:val="sr-Latn-RS"/>
        </w:rPr>
        <w:t xml:space="preserve">Žene u reproduktivnom periodu moraju da koriste efektivnu kontracepciiju tokom liječenja i </w:t>
      </w:r>
      <w:r w:rsidR="00A21431" w:rsidRPr="00E87295">
        <w:rPr>
          <w:sz w:val="22"/>
          <w:szCs w:val="22"/>
          <w:lang w:val="sr-Latn-RS"/>
        </w:rPr>
        <w:t>još najmanje</w:t>
      </w:r>
      <w:r w:rsidRPr="00E87295">
        <w:rPr>
          <w:sz w:val="22"/>
          <w:szCs w:val="22"/>
          <w:lang w:val="sr-Latn-RS"/>
        </w:rPr>
        <w:t xml:space="preserve"> 12 ned</w:t>
      </w:r>
      <w:r w:rsidR="00A21431" w:rsidRPr="00E87295">
        <w:rPr>
          <w:sz w:val="22"/>
          <w:szCs w:val="22"/>
          <w:lang w:val="sr-Latn-RS"/>
        </w:rPr>
        <w:t>j</w:t>
      </w:r>
      <w:r w:rsidRPr="00E87295">
        <w:rPr>
          <w:sz w:val="22"/>
          <w:szCs w:val="22"/>
          <w:lang w:val="sr-Latn-RS"/>
        </w:rPr>
        <w:t xml:space="preserve">elja </w:t>
      </w:r>
      <w:r w:rsidR="00A21431" w:rsidRPr="00E87295">
        <w:rPr>
          <w:sz w:val="22"/>
          <w:szCs w:val="22"/>
          <w:lang w:val="sr-Latn-RS"/>
        </w:rPr>
        <w:t xml:space="preserve">po završetku </w:t>
      </w:r>
      <w:r w:rsidRPr="00E87295">
        <w:rPr>
          <w:sz w:val="22"/>
          <w:szCs w:val="22"/>
          <w:lang w:val="sr-Latn-RS"/>
        </w:rPr>
        <w:t>liječenja.</w:t>
      </w:r>
    </w:p>
    <w:p w14:paraId="2A51418A" w14:textId="77777777" w:rsidR="007677A5" w:rsidRPr="00C929E2" w:rsidRDefault="007677A5">
      <w:pPr>
        <w:tabs>
          <w:tab w:val="left" w:pos="540"/>
          <w:tab w:val="left" w:pos="569"/>
        </w:tabs>
        <w:jc w:val="both"/>
        <w:rPr>
          <w:sz w:val="22"/>
          <w:szCs w:val="22"/>
          <w:u w:val="single"/>
          <w:lang w:val="sr-Latn-RS"/>
        </w:rPr>
      </w:pPr>
    </w:p>
    <w:p w14:paraId="0A4C24AD" w14:textId="77777777" w:rsidR="002031B3" w:rsidRPr="00C929E2" w:rsidRDefault="002031B3">
      <w:pPr>
        <w:tabs>
          <w:tab w:val="left" w:pos="540"/>
          <w:tab w:val="left" w:pos="569"/>
        </w:tabs>
        <w:jc w:val="both"/>
        <w:rPr>
          <w:sz w:val="22"/>
          <w:szCs w:val="22"/>
          <w:u w:val="single"/>
          <w:lang w:val="sr-Latn-RS"/>
        </w:rPr>
      </w:pPr>
      <w:r w:rsidRPr="00C929E2">
        <w:rPr>
          <w:sz w:val="22"/>
          <w:szCs w:val="22"/>
          <w:u w:val="single"/>
          <w:lang w:val="sr-Latn-RS"/>
        </w:rPr>
        <w:t>Plodnost</w:t>
      </w:r>
    </w:p>
    <w:p w14:paraId="2627B6A6" w14:textId="77777777" w:rsidR="008225EC" w:rsidRPr="00C929E2" w:rsidRDefault="008225EC">
      <w:pPr>
        <w:tabs>
          <w:tab w:val="left" w:pos="540"/>
          <w:tab w:val="left" w:pos="569"/>
        </w:tabs>
        <w:jc w:val="both"/>
        <w:rPr>
          <w:sz w:val="22"/>
          <w:szCs w:val="22"/>
          <w:u w:val="single"/>
          <w:lang w:val="sr-Latn-RS"/>
        </w:rPr>
      </w:pPr>
    </w:p>
    <w:p w14:paraId="5C96C1D0" w14:textId="46636DB7" w:rsidR="002031B3" w:rsidRPr="00E87295" w:rsidRDefault="007677A5">
      <w:pPr>
        <w:spacing w:after="208"/>
        <w:ind w:left="20"/>
        <w:jc w:val="both"/>
        <w:rPr>
          <w:sz w:val="22"/>
          <w:szCs w:val="22"/>
          <w:lang w:val="sr-Latn-RS"/>
        </w:rPr>
      </w:pPr>
      <w:r w:rsidRPr="00E87295">
        <w:rPr>
          <w:sz w:val="22"/>
          <w:szCs w:val="22"/>
          <w:lang w:val="sr-Latn-RS"/>
        </w:rPr>
        <w:t xml:space="preserve">Efekat guselkumaba na fertilitet kod ljudi nije ispitivan. Ispitivanja na životinjama ne ukazuju na direktna, a ni na </w:t>
      </w:r>
      <w:r w:rsidR="00A21431" w:rsidRPr="00E87295">
        <w:rPr>
          <w:sz w:val="22"/>
          <w:szCs w:val="22"/>
          <w:lang w:val="sr-Latn-RS"/>
        </w:rPr>
        <w:t xml:space="preserve">indirektna </w:t>
      </w:r>
      <w:r w:rsidRPr="00E87295">
        <w:rPr>
          <w:sz w:val="22"/>
          <w:szCs w:val="22"/>
          <w:lang w:val="sr-Latn-RS"/>
        </w:rPr>
        <w:t xml:space="preserve">štetna dejstva </w:t>
      </w:r>
      <w:r w:rsidR="007E7309" w:rsidRPr="00E87295">
        <w:rPr>
          <w:sz w:val="22"/>
          <w:szCs w:val="22"/>
          <w:lang w:val="sr-Latn-RS"/>
        </w:rPr>
        <w:t>na</w:t>
      </w:r>
      <w:r w:rsidRPr="00E87295">
        <w:rPr>
          <w:sz w:val="22"/>
          <w:szCs w:val="22"/>
          <w:lang w:val="sr-Latn-RS"/>
        </w:rPr>
        <w:t xml:space="preserve"> plodnost (vidjeti </w:t>
      </w:r>
      <w:r w:rsidR="006846CF" w:rsidRPr="00E87295">
        <w:rPr>
          <w:sz w:val="22"/>
          <w:szCs w:val="22"/>
          <w:lang w:val="sr-Latn-RS"/>
        </w:rPr>
        <w:t>dio</w:t>
      </w:r>
      <w:r w:rsidRPr="00E87295">
        <w:rPr>
          <w:sz w:val="22"/>
          <w:szCs w:val="22"/>
          <w:lang w:val="sr-Latn-RS"/>
        </w:rPr>
        <w:t xml:space="preserve"> 5.3).</w:t>
      </w:r>
    </w:p>
    <w:p w14:paraId="1E963BA8" w14:textId="77777777" w:rsidR="007A3ECB" w:rsidRPr="00C929E2" w:rsidRDefault="007A3ECB">
      <w:pPr>
        <w:tabs>
          <w:tab w:val="left" w:pos="540"/>
          <w:tab w:val="left" w:pos="569"/>
        </w:tabs>
        <w:jc w:val="both"/>
        <w:rPr>
          <w:sz w:val="22"/>
          <w:szCs w:val="22"/>
          <w:u w:val="single"/>
          <w:lang w:val="sr-Latn-RS"/>
        </w:rPr>
      </w:pPr>
      <w:r w:rsidRPr="00C929E2">
        <w:rPr>
          <w:sz w:val="22"/>
          <w:szCs w:val="22"/>
          <w:u w:val="single"/>
          <w:lang w:val="sr-Latn-RS"/>
        </w:rPr>
        <w:t>Trudnoća</w:t>
      </w:r>
    </w:p>
    <w:p w14:paraId="047B4F83" w14:textId="77777777" w:rsidR="008225EC" w:rsidRPr="00C929E2" w:rsidRDefault="008225EC">
      <w:pPr>
        <w:tabs>
          <w:tab w:val="left" w:pos="540"/>
          <w:tab w:val="left" w:pos="569"/>
        </w:tabs>
        <w:jc w:val="both"/>
        <w:rPr>
          <w:sz w:val="22"/>
          <w:szCs w:val="22"/>
          <w:u w:val="single"/>
          <w:lang w:val="sr-Latn-RS"/>
        </w:rPr>
      </w:pPr>
    </w:p>
    <w:p w14:paraId="09A5FFE7" w14:textId="6F74D248" w:rsidR="002031B3" w:rsidRPr="00E87295" w:rsidRDefault="007677A5">
      <w:pPr>
        <w:spacing w:after="180"/>
        <w:ind w:left="20"/>
        <w:jc w:val="both"/>
        <w:rPr>
          <w:sz w:val="22"/>
          <w:szCs w:val="22"/>
          <w:lang w:val="sr-Latn-RS"/>
        </w:rPr>
      </w:pPr>
      <w:r w:rsidRPr="00E87295">
        <w:rPr>
          <w:sz w:val="22"/>
          <w:szCs w:val="22"/>
          <w:lang w:val="sr-Latn-RS"/>
        </w:rPr>
        <w:t xml:space="preserve">Nema podataka o primjeni guselkumaba kod trudnica. Studije na životinjama ne ukazuju na direktna ili indirektna štetna dejstva na trudnoću, </w:t>
      </w:r>
      <w:r w:rsidR="00A21431" w:rsidRPr="00E87295">
        <w:rPr>
          <w:sz w:val="22"/>
          <w:szCs w:val="22"/>
          <w:lang w:val="sr-Latn-RS"/>
        </w:rPr>
        <w:t xml:space="preserve">embriofetalni </w:t>
      </w:r>
      <w:r w:rsidRPr="00E87295">
        <w:rPr>
          <w:sz w:val="22"/>
          <w:szCs w:val="22"/>
          <w:lang w:val="sr-Latn-RS"/>
        </w:rPr>
        <w:t xml:space="preserve">razvoj, </w:t>
      </w:r>
      <w:r w:rsidR="00A21431" w:rsidRPr="00E87295">
        <w:rPr>
          <w:sz w:val="22"/>
          <w:szCs w:val="22"/>
          <w:lang w:val="sr-Latn-RS"/>
        </w:rPr>
        <w:t>okot</w:t>
      </w:r>
      <w:r w:rsidRPr="00E87295">
        <w:rPr>
          <w:sz w:val="22"/>
          <w:szCs w:val="22"/>
          <w:lang w:val="sr-Latn-RS"/>
        </w:rPr>
        <w:t xml:space="preserve"> ili postnatalni razvoj (vid</w:t>
      </w:r>
      <w:r w:rsidR="00A21431" w:rsidRPr="00E87295">
        <w:rPr>
          <w:sz w:val="22"/>
          <w:szCs w:val="22"/>
          <w:lang w:val="sr-Latn-RS"/>
        </w:rPr>
        <w:t>j</w:t>
      </w:r>
      <w:r w:rsidRPr="00E87295">
        <w:rPr>
          <w:sz w:val="22"/>
          <w:szCs w:val="22"/>
          <w:lang w:val="sr-Latn-RS"/>
        </w:rPr>
        <w:t xml:space="preserve">eti </w:t>
      </w:r>
      <w:r w:rsidR="006846CF" w:rsidRPr="00E87295">
        <w:rPr>
          <w:sz w:val="22"/>
          <w:szCs w:val="22"/>
          <w:lang w:val="sr-Latn-RS"/>
        </w:rPr>
        <w:t>dio</w:t>
      </w:r>
      <w:r w:rsidRPr="00E87295">
        <w:rPr>
          <w:sz w:val="22"/>
          <w:szCs w:val="22"/>
          <w:lang w:val="sr-Latn-RS"/>
        </w:rPr>
        <w:t xml:space="preserve"> 5.3). Kao mjera opreza, preporučuje se da se izbjegava primjene lijeka Tremfya tokom trudnoće.</w:t>
      </w:r>
    </w:p>
    <w:p w14:paraId="4056F3F2" w14:textId="77777777" w:rsidR="0072020E" w:rsidRPr="00C929E2" w:rsidRDefault="007A3ECB">
      <w:pPr>
        <w:tabs>
          <w:tab w:val="left" w:pos="540"/>
          <w:tab w:val="left" w:pos="569"/>
        </w:tabs>
        <w:jc w:val="both"/>
        <w:rPr>
          <w:sz w:val="22"/>
          <w:szCs w:val="22"/>
          <w:u w:val="single"/>
          <w:lang w:val="sr-Latn-RS"/>
        </w:rPr>
      </w:pPr>
      <w:r w:rsidRPr="00C929E2">
        <w:rPr>
          <w:sz w:val="22"/>
          <w:szCs w:val="22"/>
          <w:u w:val="single"/>
          <w:lang w:val="sr-Latn-RS"/>
        </w:rPr>
        <w:t xml:space="preserve">Dojenje </w:t>
      </w:r>
    </w:p>
    <w:p w14:paraId="62D95923" w14:textId="77777777" w:rsidR="008225EC" w:rsidRPr="00C929E2" w:rsidRDefault="008225EC">
      <w:pPr>
        <w:tabs>
          <w:tab w:val="left" w:pos="540"/>
          <w:tab w:val="left" w:pos="569"/>
        </w:tabs>
        <w:jc w:val="both"/>
        <w:rPr>
          <w:b/>
          <w:bCs/>
          <w:sz w:val="22"/>
          <w:szCs w:val="22"/>
          <w:lang w:val="sr-Latn-RS"/>
        </w:rPr>
      </w:pPr>
    </w:p>
    <w:p w14:paraId="473D85D5" w14:textId="65C97547" w:rsidR="007677A5" w:rsidRPr="00C929E2" w:rsidRDefault="007677A5">
      <w:pPr>
        <w:ind w:left="20"/>
        <w:jc w:val="both"/>
        <w:rPr>
          <w:b/>
          <w:bCs/>
          <w:sz w:val="22"/>
          <w:szCs w:val="22"/>
          <w:lang w:val="sr-Latn-RS"/>
        </w:rPr>
      </w:pPr>
      <w:r w:rsidRPr="00E87295">
        <w:rPr>
          <w:sz w:val="22"/>
          <w:szCs w:val="22"/>
          <w:lang w:val="sr-Latn-RS"/>
        </w:rPr>
        <w:t xml:space="preserve">Nije poznato da li se guselkumab izlučuje u </w:t>
      </w:r>
      <w:r w:rsidR="00A21431" w:rsidRPr="00E87295">
        <w:rPr>
          <w:sz w:val="22"/>
          <w:szCs w:val="22"/>
          <w:lang w:val="sr-Latn-RS"/>
        </w:rPr>
        <w:t xml:space="preserve">majčino </w:t>
      </w:r>
      <w:r w:rsidRPr="00E87295">
        <w:rPr>
          <w:sz w:val="22"/>
          <w:szCs w:val="22"/>
          <w:lang w:val="sr-Latn-RS"/>
        </w:rPr>
        <w:t xml:space="preserve">mlijeko. </w:t>
      </w:r>
      <w:r w:rsidR="0006393B" w:rsidRPr="00C929E2">
        <w:rPr>
          <w:sz w:val="22"/>
          <w:szCs w:val="22"/>
          <w:lang w:val="sr-Latn-RS"/>
        </w:rPr>
        <w:t>Poznato je da se humani imunoglobulini izlučuju u humano majčino ml</w:t>
      </w:r>
      <w:r w:rsidR="008A303B" w:rsidRPr="00C929E2">
        <w:rPr>
          <w:sz w:val="22"/>
          <w:szCs w:val="22"/>
          <w:lang w:val="sr-Latn-RS"/>
        </w:rPr>
        <w:t>ij</w:t>
      </w:r>
      <w:r w:rsidR="0006393B" w:rsidRPr="00C929E2">
        <w:rPr>
          <w:sz w:val="22"/>
          <w:szCs w:val="22"/>
          <w:lang w:val="sr-Latn-RS"/>
        </w:rPr>
        <w:t>eko tokom prvih nekoliko dana nakon porođaja, a ubrzo nakon toga im se koncentracija smanjuje, te se posl</w:t>
      </w:r>
      <w:r w:rsidR="004C56CA" w:rsidRPr="00C929E2">
        <w:rPr>
          <w:sz w:val="22"/>
          <w:szCs w:val="22"/>
          <w:lang w:val="sr-Latn-RS"/>
        </w:rPr>
        <w:t>ij</w:t>
      </w:r>
      <w:r w:rsidR="0006393B" w:rsidRPr="00C929E2">
        <w:rPr>
          <w:sz w:val="22"/>
          <w:szCs w:val="22"/>
          <w:lang w:val="sr-Latn-RS"/>
        </w:rPr>
        <w:t xml:space="preserve">edično ne može iskljuičiti rizik </w:t>
      </w:r>
      <w:r w:rsidR="007E7309" w:rsidRPr="00C929E2">
        <w:rPr>
          <w:sz w:val="22"/>
          <w:szCs w:val="22"/>
          <w:lang w:val="sr-Latn-RS"/>
        </w:rPr>
        <w:t>za odojče tokom ovog perioda</w:t>
      </w:r>
      <w:r w:rsidR="0006393B" w:rsidRPr="00C929E2">
        <w:rPr>
          <w:sz w:val="22"/>
          <w:szCs w:val="22"/>
          <w:lang w:val="sr-Latn-RS"/>
        </w:rPr>
        <w:t xml:space="preserve">. Odluku da se prekine </w:t>
      </w:r>
      <w:r w:rsidR="00345CFA" w:rsidRPr="00C929E2">
        <w:rPr>
          <w:sz w:val="22"/>
          <w:szCs w:val="22"/>
          <w:lang w:val="sr-Latn-RS"/>
        </w:rPr>
        <w:t xml:space="preserve">dojenje </w:t>
      </w:r>
      <w:r w:rsidR="0006393B" w:rsidRPr="00C929E2">
        <w:rPr>
          <w:sz w:val="22"/>
          <w:szCs w:val="22"/>
          <w:lang w:val="sr-Latn-RS"/>
        </w:rPr>
        <w:t xml:space="preserve">ili </w:t>
      </w:r>
      <w:r w:rsidR="00345CFA" w:rsidRPr="00C929E2">
        <w:rPr>
          <w:sz w:val="22"/>
          <w:szCs w:val="22"/>
          <w:lang w:val="sr-Latn-RS"/>
        </w:rPr>
        <w:t>uzdrži od</w:t>
      </w:r>
      <w:r w:rsidR="0006393B" w:rsidRPr="00C929E2">
        <w:rPr>
          <w:sz w:val="22"/>
          <w:szCs w:val="22"/>
          <w:lang w:val="sr-Latn-RS"/>
        </w:rPr>
        <w:t xml:space="preserve"> terapij</w:t>
      </w:r>
      <w:r w:rsidR="00345CFA" w:rsidRPr="00C929E2">
        <w:rPr>
          <w:sz w:val="22"/>
          <w:szCs w:val="22"/>
          <w:lang w:val="sr-Latn-RS"/>
        </w:rPr>
        <w:t>e</w:t>
      </w:r>
      <w:r w:rsidR="0006393B" w:rsidRPr="00C929E2">
        <w:rPr>
          <w:sz w:val="22"/>
          <w:szCs w:val="22"/>
          <w:lang w:val="sr-Latn-RS"/>
        </w:rPr>
        <w:t xml:space="preserve"> l</w:t>
      </w:r>
      <w:r w:rsidR="008A303B" w:rsidRPr="00C929E2">
        <w:rPr>
          <w:sz w:val="22"/>
          <w:szCs w:val="22"/>
          <w:lang w:val="sr-Latn-RS"/>
        </w:rPr>
        <w:t>ij</w:t>
      </w:r>
      <w:r w:rsidR="0006393B" w:rsidRPr="00C929E2">
        <w:rPr>
          <w:sz w:val="22"/>
          <w:szCs w:val="22"/>
          <w:lang w:val="sr-Latn-RS"/>
        </w:rPr>
        <w:t>ekom Tremfya treba don</w:t>
      </w:r>
      <w:r w:rsidR="008A303B" w:rsidRPr="00C929E2">
        <w:rPr>
          <w:sz w:val="22"/>
          <w:szCs w:val="22"/>
          <w:lang w:val="sr-Latn-RS"/>
        </w:rPr>
        <w:t>ij</w:t>
      </w:r>
      <w:r w:rsidR="0006393B" w:rsidRPr="00C929E2">
        <w:rPr>
          <w:sz w:val="22"/>
          <w:szCs w:val="22"/>
          <w:lang w:val="sr-Latn-RS"/>
        </w:rPr>
        <w:t>eti nakon proc</w:t>
      </w:r>
      <w:r w:rsidR="008A303B" w:rsidRPr="00C929E2">
        <w:rPr>
          <w:sz w:val="22"/>
          <w:szCs w:val="22"/>
          <w:lang w:val="sr-Latn-RS"/>
        </w:rPr>
        <w:t>j</w:t>
      </w:r>
      <w:r w:rsidR="0006393B" w:rsidRPr="00C929E2">
        <w:rPr>
          <w:sz w:val="22"/>
          <w:szCs w:val="22"/>
          <w:lang w:val="sr-Latn-RS"/>
        </w:rPr>
        <w:t>ene koristi od dojenja za d</w:t>
      </w:r>
      <w:r w:rsidR="008A303B" w:rsidRPr="00C929E2">
        <w:rPr>
          <w:sz w:val="22"/>
          <w:szCs w:val="22"/>
          <w:lang w:val="sr-Latn-RS"/>
        </w:rPr>
        <w:t>ij</w:t>
      </w:r>
      <w:r w:rsidR="0006393B" w:rsidRPr="00C929E2">
        <w:rPr>
          <w:sz w:val="22"/>
          <w:szCs w:val="22"/>
          <w:lang w:val="sr-Latn-RS"/>
        </w:rPr>
        <w:t xml:space="preserve">ete i koristi od terapije za dojilju. </w:t>
      </w:r>
      <w:r w:rsidRPr="00E87295">
        <w:rPr>
          <w:sz w:val="22"/>
          <w:szCs w:val="22"/>
          <w:lang w:val="sr-Latn-RS"/>
        </w:rPr>
        <w:t>Vid</w:t>
      </w:r>
      <w:r w:rsidR="00A21431" w:rsidRPr="00E87295">
        <w:rPr>
          <w:sz w:val="22"/>
          <w:szCs w:val="22"/>
          <w:lang w:val="sr-Latn-RS"/>
        </w:rPr>
        <w:t>j</w:t>
      </w:r>
      <w:r w:rsidRPr="00E87295">
        <w:rPr>
          <w:sz w:val="22"/>
          <w:szCs w:val="22"/>
          <w:lang w:val="sr-Latn-RS"/>
        </w:rPr>
        <w:t xml:space="preserve">eti </w:t>
      </w:r>
      <w:r w:rsidR="006846CF" w:rsidRPr="00E87295">
        <w:rPr>
          <w:sz w:val="22"/>
          <w:szCs w:val="22"/>
          <w:lang w:val="sr-Latn-RS"/>
        </w:rPr>
        <w:t>dio</w:t>
      </w:r>
      <w:r w:rsidRPr="00E87295">
        <w:rPr>
          <w:sz w:val="22"/>
          <w:szCs w:val="22"/>
          <w:lang w:val="sr-Latn-RS"/>
        </w:rPr>
        <w:t xml:space="preserve"> 5.3 za informacije o izlučivanju guselkumaba u mlijeko životinja (</w:t>
      </w:r>
      <w:r w:rsidR="00A21431" w:rsidRPr="00E87295">
        <w:rPr>
          <w:sz w:val="22"/>
          <w:szCs w:val="22"/>
          <w:lang w:val="sr-Latn-RS"/>
        </w:rPr>
        <w:t xml:space="preserve">ženki makaki </w:t>
      </w:r>
      <w:r w:rsidRPr="00E87295">
        <w:rPr>
          <w:sz w:val="22"/>
          <w:szCs w:val="22"/>
          <w:lang w:val="sr-Latn-RS"/>
        </w:rPr>
        <w:t>majmuna).</w:t>
      </w:r>
    </w:p>
    <w:p w14:paraId="2AD335D6" w14:textId="77777777" w:rsidR="00515CB7" w:rsidRPr="00C929E2" w:rsidRDefault="00515CB7">
      <w:pPr>
        <w:tabs>
          <w:tab w:val="left" w:pos="540"/>
          <w:tab w:val="left" w:pos="569"/>
        </w:tabs>
        <w:ind w:left="540" w:hanging="540"/>
        <w:jc w:val="both"/>
        <w:rPr>
          <w:b/>
          <w:bCs/>
          <w:sz w:val="22"/>
          <w:szCs w:val="22"/>
          <w:lang w:val="sr-Latn-RS"/>
        </w:rPr>
      </w:pPr>
    </w:p>
    <w:p w14:paraId="1E44085C" w14:textId="60013ECD" w:rsidR="0072020E" w:rsidRPr="00C929E2" w:rsidRDefault="0072020E">
      <w:pPr>
        <w:tabs>
          <w:tab w:val="left" w:pos="540"/>
          <w:tab w:val="left" w:pos="569"/>
        </w:tabs>
        <w:ind w:left="540" w:hanging="540"/>
        <w:jc w:val="both"/>
        <w:rPr>
          <w:b/>
          <w:bCs/>
          <w:sz w:val="22"/>
          <w:szCs w:val="22"/>
          <w:lang w:val="sr-Latn-RS"/>
        </w:rPr>
      </w:pPr>
      <w:r w:rsidRPr="00C929E2">
        <w:rPr>
          <w:b/>
          <w:bCs/>
          <w:sz w:val="22"/>
          <w:szCs w:val="22"/>
          <w:lang w:val="sr-Latn-RS"/>
        </w:rPr>
        <w:t xml:space="preserve">4.7. </w:t>
      </w:r>
      <w:r w:rsidR="00480FB1" w:rsidRPr="00C929E2">
        <w:rPr>
          <w:b/>
          <w:bCs/>
          <w:sz w:val="22"/>
          <w:szCs w:val="22"/>
          <w:lang w:val="sr-Latn-RS"/>
        </w:rPr>
        <w:tab/>
      </w:r>
      <w:r w:rsidRPr="00C929E2">
        <w:rPr>
          <w:b/>
          <w:bCs/>
          <w:sz w:val="22"/>
          <w:szCs w:val="22"/>
          <w:lang w:val="sr-Latn-RS"/>
        </w:rPr>
        <w:t xml:space="preserve">Uticaj na </w:t>
      </w:r>
      <w:r w:rsidR="002031B3" w:rsidRPr="00C929E2">
        <w:rPr>
          <w:b/>
          <w:bCs/>
          <w:sz w:val="22"/>
          <w:szCs w:val="22"/>
          <w:lang w:val="sr-Latn-RS"/>
        </w:rPr>
        <w:t xml:space="preserve">sposobnost </w:t>
      </w:r>
      <w:r w:rsidR="00F34554" w:rsidRPr="00C929E2">
        <w:rPr>
          <w:b/>
          <w:bCs/>
          <w:sz w:val="22"/>
          <w:szCs w:val="22"/>
          <w:lang w:val="sr-Latn-RS"/>
        </w:rPr>
        <w:t>upravljanja vozili</w:t>
      </w:r>
      <w:r w:rsidRPr="00C929E2">
        <w:rPr>
          <w:b/>
          <w:bCs/>
          <w:sz w:val="22"/>
          <w:szCs w:val="22"/>
          <w:lang w:val="sr-Latn-RS"/>
        </w:rPr>
        <w:t>m</w:t>
      </w:r>
      <w:r w:rsidR="00F34554" w:rsidRPr="00C929E2">
        <w:rPr>
          <w:b/>
          <w:bCs/>
          <w:sz w:val="22"/>
          <w:szCs w:val="22"/>
          <w:lang w:val="sr-Latn-RS"/>
        </w:rPr>
        <w:t>a</w:t>
      </w:r>
      <w:r w:rsidRPr="00C929E2">
        <w:rPr>
          <w:b/>
          <w:bCs/>
          <w:sz w:val="22"/>
          <w:szCs w:val="22"/>
          <w:lang w:val="sr-Latn-RS"/>
        </w:rPr>
        <w:t xml:space="preserve"> i </w:t>
      </w:r>
      <w:r w:rsidR="000D3449" w:rsidRPr="00C929E2">
        <w:rPr>
          <w:b/>
          <w:bCs/>
          <w:sz w:val="22"/>
          <w:szCs w:val="22"/>
          <w:lang w:val="sr-Latn-RS"/>
        </w:rPr>
        <w:t xml:space="preserve">rukovanje </w:t>
      </w:r>
      <w:r w:rsidRPr="00C929E2">
        <w:rPr>
          <w:b/>
          <w:bCs/>
          <w:sz w:val="22"/>
          <w:szCs w:val="22"/>
          <w:lang w:val="sr-Latn-RS"/>
        </w:rPr>
        <w:t>mašinama</w:t>
      </w:r>
    </w:p>
    <w:p w14:paraId="33016BF1" w14:textId="77777777" w:rsidR="007677A5" w:rsidRPr="00E87295" w:rsidRDefault="007677A5">
      <w:pPr>
        <w:spacing w:after="29"/>
        <w:ind w:left="20"/>
        <w:jc w:val="both"/>
        <w:rPr>
          <w:sz w:val="22"/>
          <w:szCs w:val="22"/>
          <w:lang w:val="sr-Latn-RS"/>
        </w:rPr>
      </w:pPr>
    </w:p>
    <w:p w14:paraId="5896D112" w14:textId="3410809D" w:rsidR="007677A5" w:rsidRPr="00E87295" w:rsidRDefault="00345CFA">
      <w:pPr>
        <w:spacing w:after="29"/>
        <w:ind w:left="20"/>
        <w:jc w:val="both"/>
        <w:rPr>
          <w:sz w:val="22"/>
          <w:szCs w:val="22"/>
          <w:lang w:val="sr-Latn-RS"/>
        </w:rPr>
      </w:pPr>
      <w:r w:rsidRPr="00E87295">
        <w:rPr>
          <w:sz w:val="22"/>
          <w:szCs w:val="22"/>
          <w:lang w:val="sr-Latn-RS"/>
        </w:rPr>
        <w:t>Guselkumab</w:t>
      </w:r>
      <w:r w:rsidR="007677A5" w:rsidRPr="00E87295">
        <w:rPr>
          <w:sz w:val="22"/>
          <w:szCs w:val="22"/>
          <w:lang w:val="sr-Latn-RS"/>
        </w:rPr>
        <w:t xml:space="preserve"> nema ili ima zanemarljiv uticaj na sposobnost upravljanja vozilima i rukovanja mašinama.</w:t>
      </w:r>
    </w:p>
    <w:p w14:paraId="2CDF752F" w14:textId="77777777" w:rsidR="0072020E" w:rsidRPr="00C929E2" w:rsidRDefault="0072020E">
      <w:pPr>
        <w:tabs>
          <w:tab w:val="left" w:pos="540"/>
          <w:tab w:val="left" w:pos="569"/>
        </w:tabs>
        <w:jc w:val="both"/>
        <w:rPr>
          <w:b/>
          <w:bCs/>
          <w:sz w:val="22"/>
          <w:szCs w:val="22"/>
          <w:lang w:val="sr-Latn-RS"/>
        </w:rPr>
      </w:pPr>
    </w:p>
    <w:p w14:paraId="139F5728" w14:textId="77777777" w:rsidR="0072020E" w:rsidRPr="00C929E2" w:rsidRDefault="0072020E">
      <w:pPr>
        <w:tabs>
          <w:tab w:val="left" w:pos="540"/>
          <w:tab w:val="left" w:pos="569"/>
        </w:tabs>
        <w:jc w:val="both"/>
        <w:rPr>
          <w:b/>
          <w:bCs/>
          <w:sz w:val="22"/>
          <w:szCs w:val="22"/>
          <w:lang w:val="sr-Latn-RS"/>
        </w:rPr>
      </w:pPr>
      <w:r w:rsidRPr="00C929E2">
        <w:rPr>
          <w:b/>
          <w:bCs/>
          <w:sz w:val="22"/>
          <w:szCs w:val="22"/>
          <w:lang w:val="sr-Latn-RS"/>
        </w:rPr>
        <w:t xml:space="preserve">4.8. </w:t>
      </w:r>
      <w:r w:rsidR="00480FB1" w:rsidRPr="00C929E2">
        <w:rPr>
          <w:b/>
          <w:bCs/>
          <w:sz w:val="22"/>
          <w:szCs w:val="22"/>
          <w:lang w:val="sr-Latn-RS"/>
        </w:rPr>
        <w:tab/>
      </w:r>
      <w:r w:rsidRPr="00C929E2">
        <w:rPr>
          <w:b/>
          <w:bCs/>
          <w:sz w:val="22"/>
          <w:szCs w:val="22"/>
          <w:lang w:val="sr-Latn-RS"/>
        </w:rPr>
        <w:t>Neželjena dejstva</w:t>
      </w:r>
    </w:p>
    <w:p w14:paraId="62DF4D28" w14:textId="77777777" w:rsidR="007677A5" w:rsidRPr="00C929E2" w:rsidRDefault="007677A5">
      <w:pPr>
        <w:tabs>
          <w:tab w:val="left" w:pos="540"/>
          <w:tab w:val="left" w:pos="569"/>
        </w:tabs>
        <w:jc w:val="both"/>
        <w:rPr>
          <w:b/>
          <w:bCs/>
          <w:sz w:val="22"/>
          <w:szCs w:val="22"/>
          <w:lang w:val="sr-Latn-RS"/>
        </w:rPr>
      </w:pPr>
    </w:p>
    <w:p w14:paraId="2B9FD724" w14:textId="77777777" w:rsidR="007677A5" w:rsidRPr="00E87295" w:rsidRDefault="007677A5">
      <w:pPr>
        <w:tabs>
          <w:tab w:val="left" w:pos="1134"/>
          <w:tab w:val="left" w:pos="1701"/>
        </w:tabs>
        <w:spacing w:afterLines="80" w:after="192"/>
        <w:jc w:val="both"/>
        <w:rPr>
          <w:b/>
          <w:sz w:val="22"/>
          <w:szCs w:val="22"/>
          <w:u w:val="single"/>
          <w:lang w:val="sr-Latn-RS"/>
        </w:rPr>
      </w:pPr>
      <w:r w:rsidRPr="00E87295">
        <w:rPr>
          <w:sz w:val="22"/>
          <w:szCs w:val="22"/>
          <w:u w:val="single"/>
          <w:lang w:val="sr-Latn-RS"/>
        </w:rPr>
        <w:t>Sažetak bezbjednosnog profila</w:t>
      </w:r>
    </w:p>
    <w:p w14:paraId="2E0D513A" w14:textId="51205B6B" w:rsidR="007677A5" w:rsidRPr="00E87295" w:rsidRDefault="007677A5" w:rsidP="00E87295">
      <w:pPr>
        <w:jc w:val="both"/>
        <w:rPr>
          <w:sz w:val="22"/>
          <w:szCs w:val="22"/>
          <w:lang w:val="sr-Latn-RS"/>
        </w:rPr>
      </w:pPr>
      <w:r w:rsidRPr="00E87295">
        <w:rPr>
          <w:sz w:val="22"/>
          <w:szCs w:val="22"/>
          <w:lang w:val="sr-Latn-RS"/>
        </w:rPr>
        <w:t>Najčešća neželjena reakcija ovog lijeka bila je infekcija disajnih puteva</w:t>
      </w:r>
      <w:r w:rsidR="00FD7763" w:rsidRPr="00E87295">
        <w:rPr>
          <w:sz w:val="22"/>
          <w:szCs w:val="22"/>
          <w:lang w:val="sr-Latn-RS"/>
        </w:rPr>
        <w:t xml:space="preserve"> kod približno 14% pacijenata u kliničkim ispitivanjima psorijaze i psorijatičnog artritisa. </w:t>
      </w:r>
    </w:p>
    <w:p w14:paraId="615FEA71" w14:textId="77777777" w:rsidR="007E7309" w:rsidRPr="00E87295" w:rsidRDefault="007E7309" w:rsidP="00E87295">
      <w:pPr>
        <w:jc w:val="both"/>
        <w:rPr>
          <w:sz w:val="22"/>
          <w:szCs w:val="22"/>
          <w:lang w:val="sr-Latn-RS"/>
        </w:rPr>
      </w:pPr>
    </w:p>
    <w:p w14:paraId="4FF1ED0B" w14:textId="77777777" w:rsidR="007677A5" w:rsidRPr="00E87295" w:rsidRDefault="007677A5">
      <w:pPr>
        <w:keepNext/>
        <w:tabs>
          <w:tab w:val="left" w:pos="1134"/>
          <w:tab w:val="left" w:pos="1701"/>
        </w:tabs>
        <w:spacing w:afterLines="80" w:after="192"/>
        <w:jc w:val="both"/>
        <w:rPr>
          <w:sz w:val="22"/>
          <w:szCs w:val="22"/>
          <w:u w:val="single"/>
          <w:lang w:val="sr-Latn-RS"/>
        </w:rPr>
      </w:pPr>
      <w:r w:rsidRPr="00E87295">
        <w:rPr>
          <w:sz w:val="22"/>
          <w:szCs w:val="22"/>
          <w:u w:val="single"/>
          <w:lang w:val="sr-Latn-RS"/>
        </w:rPr>
        <w:t>Tabelarni prikaz neželjenih reakcija</w:t>
      </w:r>
    </w:p>
    <w:p w14:paraId="0F1FAA12" w14:textId="19DB923E" w:rsidR="007677A5" w:rsidRPr="00E87295" w:rsidRDefault="00CA570E">
      <w:pPr>
        <w:ind w:left="20"/>
        <w:jc w:val="both"/>
        <w:rPr>
          <w:sz w:val="22"/>
          <w:szCs w:val="22"/>
          <w:lang w:val="sr-Latn-RS"/>
        </w:rPr>
      </w:pPr>
      <w:r w:rsidRPr="00E87295">
        <w:rPr>
          <w:sz w:val="22"/>
          <w:szCs w:val="22"/>
          <w:lang w:val="sr-Latn-RS"/>
        </w:rPr>
        <w:t>U tabeli 1 navedena je lista n</w:t>
      </w:r>
      <w:r w:rsidR="007677A5" w:rsidRPr="00E87295">
        <w:rPr>
          <w:sz w:val="22"/>
          <w:szCs w:val="22"/>
          <w:lang w:val="sr-Latn-RS"/>
        </w:rPr>
        <w:t>eželjen</w:t>
      </w:r>
      <w:r w:rsidRPr="00E87295">
        <w:rPr>
          <w:sz w:val="22"/>
          <w:szCs w:val="22"/>
          <w:lang w:val="sr-Latn-RS"/>
        </w:rPr>
        <w:t>ih</w:t>
      </w:r>
      <w:r w:rsidR="007677A5" w:rsidRPr="00E87295">
        <w:rPr>
          <w:sz w:val="22"/>
          <w:szCs w:val="22"/>
          <w:lang w:val="sr-Latn-RS"/>
        </w:rPr>
        <w:t xml:space="preserve"> reakcij</w:t>
      </w:r>
      <w:r w:rsidRPr="00E87295">
        <w:rPr>
          <w:sz w:val="22"/>
          <w:szCs w:val="22"/>
          <w:lang w:val="sr-Latn-RS"/>
        </w:rPr>
        <w:t xml:space="preserve">a iz kliničkih ispitivanja sa psorijazom </w:t>
      </w:r>
      <w:r w:rsidR="006652E4" w:rsidRPr="00E87295">
        <w:rPr>
          <w:sz w:val="22"/>
          <w:szCs w:val="22"/>
          <w:lang w:val="sr-Latn-RS"/>
        </w:rPr>
        <w:t xml:space="preserve">i psorijatičnim artritisom </w:t>
      </w:r>
      <w:r w:rsidRPr="00E87295">
        <w:rPr>
          <w:sz w:val="22"/>
          <w:szCs w:val="22"/>
          <w:lang w:val="sr-Latn-RS"/>
        </w:rPr>
        <w:t>i takođe iz postmarketinškog perioda. Neželjene reakcije</w:t>
      </w:r>
      <w:r w:rsidR="007677A5" w:rsidRPr="00E87295">
        <w:rPr>
          <w:sz w:val="22"/>
          <w:szCs w:val="22"/>
          <w:lang w:val="sr-Latn-RS"/>
        </w:rPr>
        <w:t xml:space="preserve"> su klasifikovane prema klasi sistema organa (System Organ Class) i učestalosti, po principu: veoma čest</w:t>
      </w:r>
      <w:r w:rsidR="00D136F8" w:rsidRPr="00E87295">
        <w:rPr>
          <w:sz w:val="22"/>
          <w:szCs w:val="22"/>
          <w:lang w:val="sr-Latn-RS"/>
        </w:rPr>
        <w:t>o</w:t>
      </w:r>
      <w:r w:rsidR="007677A5" w:rsidRPr="00E87295">
        <w:rPr>
          <w:sz w:val="22"/>
          <w:szCs w:val="22"/>
          <w:lang w:val="sr-Latn-RS"/>
        </w:rPr>
        <w:t xml:space="preserve"> (≥ 1/10), čest</w:t>
      </w:r>
      <w:r w:rsidR="00D136F8" w:rsidRPr="00E87295">
        <w:rPr>
          <w:sz w:val="22"/>
          <w:szCs w:val="22"/>
          <w:lang w:val="sr-Latn-RS"/>
        </w:rPr>
        <w:t>o</w:t>
      </w:r>
      <w:r w:rsidR="007677A5" w:rsidRPr="00E87295">
        <w:rPr>
          <w:sz w:val="22"/>
          <w:szCs w:val="22"/>
          <w:lang w:val="sr-Latn-RS"/>
        </w:rPr>
        <w:t xml:space="preserve"> (≥ 1/100 do &lt; 1/10), povremen</w:t>
      </w:r>
      <w:r w:rsidR="00D136F8" w:rsidRPr="00E87295">
        <w:rPr>
          <w:sz w:val="22"/>
          <w:szCs w:val="22"/>
          <w:lang w:val="sr-Latn-RS"/>
        </w:rPr>
        <w:t>o</w:t>
      </w:r>
      <w:r w:rsidR="007677A5" w:rsidRPr="00E87295">
        <w:rPr>
          <w:sz w:val="22"/>
          <w:szCs w:val="22"/>
          <w:lang w:val="sr-Latn-RS"/>
        </w:rPr>
        <w:t xml:space="preserve"> (≥ 1/1000 do &lt;1/100), rijetk</w:t>
      </w:r>
      <w:r w:rsidR="00D136F8" w:rsidRPr="00E87295">
        <w:rPr>
          <w:sz w:val="22"/>
          <w:szCs w:val="22"/>
          <w:lang w:val="sr-Latn-RS"/>
        </w:rPr>
        <w:t>o</w:t>
      </w:r>
      <w:r w:rsidR="007677A5" w:rsidRPr="00E87295">
        <w:rPr>
          <w:sz w:val="22"/>
          <w:szCs w:val="22"/>
          <w:lang w:val="sr-Latn-RS"/>
        </w:rPr>
        <w:t xml:space="preserve"> (≥  1/10000 do &lt; 1/1000), veoma rijetk</w:t>
      </w:r>
      <w:r w:rsidR="00D136F8" w:rsidRPr="00E87295">
        <w:rPr>
          <w:sz w:val="22"/>
          <w:szCs w:val="22"/>
          <w:lang w:val="sr-Latn-RS"/>
        </w:rPr>
        <w:t>o</w:t>
      </w:r>
      <w:r w:rsidR="007677A5" w:rsidRPr="00E87295">
        <w:rPr>
          <w:sz w:val="22"/>
          <w:szCs w:val="22"/>
          <w:lang w:val="sr-Latn-RS"/>
        </w:rPr>
        <w:t xml:space="preserve"> (&lt; 1/10000), nepoznato (ne može se proc</w:t>
      </w:r>
      <w:r w:rsidR="00AC7825" w:rsidRPr="00E87295">
        <w:rPr>
          <w:sz w:val="22"/>
          <w:szCs w:val="22"/>
          <w:lang w:val="sr-Latn-RS"/>
        </w:rPr>
        <w:t>i</w:t>
      </w:r>
      <w:r w:rsidR="007677A5" w:rsidRPr="00E87295">
        <w:rPr>
          <w:sz w:val="22"/>
          <w:szCs w:val="22"/>
          <w:lang w:val="sr-Latn-RS"/>
        </w:rPr>
        <w:t>jeni</w:t>
      </w:r>
      <w:r w:rsidR="008227AD" w:rsidRPr="00E87295">
        <w:rPr>
          <w:sz w:val="22"/>
          <w:szCs w:val="22"/>
          <w:lang w:val="sr-Latn-RS"/>
        </w:rPr>
        <w:t>t</w:t>
      </w:r>
      <w:r w:rsidR="007677A5" w:rsidRPr="00E87295">
        <w:rPr>
          <w:sz w:val="22"/>
          <w:szCs w:val="22"/>
          <w:lang w:val="sr-Latn-RS"/>
        </w:rPr>
        <w:t>i na osnovu raspoloživih podataka).</w:t>
      </w:r>
    </w:p>
    <w:p w14:paraId="4CCC3DAB" w14:textId="77777777" w:rsidR="007677A5" w:rsidRPr="00E87295" w:rsidRDefault="007677A5">
      <w:pPr>
        <w:ind w:left="20"/>
        <w:jc w:val="both"/>
        <w:rPr>
          <w:b/>
          <w:sz w:val="22"/>
          <w:szCs w:val="22"/>
          <w:lang w:val="sr-Latn-RS"/>
        </w:rPr>
      </w:pPr>
    </w:p>
    <w:p w14:paraId="5266ADC0" w14:textId="77777777" w:rsidR="007677A5" w:rsidRPr="00E87295" w:rsidRDefault="007677A5">
      <w:pPr>
        <w:jc w:val="both"/>
        <w:rPr>
          <w:b/>
          <w:sz w:val="22"/>
          <w:szCs w:val="22"/>
          <w:lang w:val="sr-Latn-RS"/>
        </w:rPr>
      </w:pPr>
      <w:r w:rsidRPr="00E87295">
        <w:rPr>
          <w:rStyle w:val="Tablecaption2"/>
          <w:b/>
          <w:sz w:val="22"/>
          <w:szCs w:val="22"/>
          <w:lang w:val="sr-Latn-RS"/>
        </w:rPr>
        <w:t xml:space="preserve">Tabela 1: Pregled neželjenih reakcija </w:t>
      </w:r>
    </w:p>
    <w:tbl>
      <w:tblPr>
        <w:tblStyle w:val="TableGrid"/>
        <w:tblW w:w="0" w:type="auto"/>
        <w:tblInd w:w="0" w:type="dxa"/>
        <w:tblLook w:val="04A0" w:firstRow="1" w:lastRow="0" w:firstColumn="1" w:lastColumn="0" w:noHBand="0" w:noVBand="1"/>
      </w:tblPr>
      <w:tblGrid>
        <w:gridCol w:w="4135"/>
        <w:gridCol w:w="1658"/>
        <w:gridCol w:w="3262"/>
      </w:tblGrid>
      <w:tr w:rsidR="007677A5" w:rsidRPr="00E87295" w14:paraId="55E978AB" w14:textId="77777777" w:rsidTr="006652E4">
        <w:tc>
          <w:tcPr>
            <w:tcW w:w="4135" w:type="dxa"/>
            <w:tcBorders>
              <w:top w:val="single" w:sz="4" w:space="0" w:color="auto"/>
              <w:left w:val="single" w:sz="4" w:space="0" w:color="auto"/>
              <w:bottom w:val="single" w:sz="4" w:space="0" w:color="auto"/>
              <w:right w:val="single" w:sz="4" w:space="0" w:color="auto"/>
            </w:tcBorders>
            <w:hideMark/>
          </w:tcPr>
          <w:p w14:paraId="4824766A" w14:textId="77777777" w:rsidR="007677A5" w:rsidRPr="00E87295" w:rsidRDefault="007677A5">
            <w:pPr>
              <w:pStyle w:val="Bodytext21"/>
              <w:shd w:val="clear" w:color="auto" w:fill="auto"/>
              <w:spacing w:line="240" w:lineRule="auto"/>
              <w:ind w:firstLine="0"/>
              <w:jc w:val="both"/>
              <w:rPr>
                <w:b/>
                <w:sz w:val="22"/>
                <w:szCs w:val="22"/>
                <w:lang w:val="sr-Latn-RS"/>
              </w:rPr>
            </w:pPr>
            <w:r w:rsidRPr="00E87295">
              <w:rPr>
                <w:b/>
                <w:sz w:val="22"/>
                <w:szCs w:val="22"/>
                <w:lang w:val="sr-Latn-RS"/>
              </w:rPr>
              <w:t>Klasa sistema organa</w:t>
            </w:r>
          </w:p>
        </w:tc>
        <w:tc>
          <w:tcPr>
            <w:tcW w:w="1658" w:type="dxa"/>
            <w:tcBorders>
              <w:top w:val="single" w:sz="4" w:space="0" w:color="auto"/>
              <w:left w:val="single" w:sz="4" w:space="0" w:color="auto"/>
              <w:bottom w:val="single" w:sz="4" w:space="0" w:color="auto"/>
              <w:right w:val="single" w:sz="4" w:space="0" w:color="auto"/>
            </w:tcBorders>
            <w:hideMark/>
          </w:tcPr>
          <w:p w14:paraId="39DFAE47" w14:textId="77777777" w:rsidR="007677A5" w:rsidRPr="00E87295" w:rsidRDefault="007677A5">
            <w:pPr>
              <w:pStyle w:val="Bodytext21"/>
              <w:shd w:val="clear" w:color="auto" w:fill="auto"/>
              <w:spacing w:line="240" w:lineRule="auto"/>
              <w:ind w:firstLine="0"/>
              <w:jc w:val="both"/>
              <w:rPr>
                <w:b/>
                <w:sz w:val="22"/>
                <w:szCs w:val="22"/>
                <w:lang w:val="sr-Latn-RS"/>
              </w:rPr>
            </w:pPr>
            <w:r w:rsidRPr="00E87295">
              <w:rPr>
                <w:b/>
                <w:sz w:val="22"/>
                <w:szCs w:val="22"/>
                <w:lang w:val="sr-Latn-RS"/>
              </w:rPr>
              <w:t>Učestalost</w:t>
            </w:r>
          </w:p>
        </w:tc>
        <w:tc>
          <w:tcPr>
            <w:tcW w:w="3262" w:type="dxa"/>
            <w:tcBorders>
              <w:top w:val="single" w:sz="4" w:space="0" w:color="auto"/>
              <w:left w:val="single" w:sz="4" w:space="0" w:color="auto"/>
              <w:bottom w:val="single" w:sz="4" w:space="0" w:color="auto"/>
              <w:right w:val="single" w:sz="4" w:space="0" w:color="auto"/>
            </w:tcBorders>
            <w:hideMark/>
          </w:tcPr>
          <w:p w14:paraId="552DB79A" w14:textId="77777777" w:rsidR="007677A5" w:rsidRPr="00E87295" w:rsidRDefault="007677A5">
            <w:pPr>
              <w:pStyle w:val="Bodytext21"/>
              <w:shd w:val="clear" w:color="auto" w:fill="auto"/>
              <w:spacing w:line="240" w:lineRule="auto"/>
              <w:ind w:left="100" w:firstLine="0"/>
              <w:jc w:val="both"/>
              <w:rPr>
                <w:b/>
                <w:sz w:val="22"/>
                <w:szCs w:val="22"/>
                <w:lang w:val="sr-Latn-RS"/>
              </w:rPr>
            </w:pPr>
            <w:r w:rsidRPr="00E87295">
              <w:rPr>
                <w:b/>
                <w:sz w:val="22"/>
                <w:szCs w:val="22"/>
                <w:lang w:val="sr-Latn-RS"/>
              </w:rPr>
              <w:t>Neželjena reakcija</w:t>
            </w:r>
          </w:p>
        </w:tc>
      </w:tr>
      <w:tr w:rsidR="006652E4" w:rsidRPr="00E87295" w14:paraId="41AA04E6" w14:textId="77777777" w:rsidTr="006652E4">
        <w:tc>
          <w:tcPr>
            <w:tcW w:w="4135" w:type="dxa"/>
            <w:vMerge w:val="restart"/>
            <w:tcBorders>
              <w:top w:val="single" w:sz="4" w:space="0" w:color="auto"/>
              <w:left w:val="single" w:sz="4" w:space="0" w:color="auto"/>
              <w:right w:val="single" w:sz="4" w:space="0" w:color="auto"/>
            </w:tcBorders>
            <w:hideMark/>
          </w:tcPr>
          <w:p w14:paraId="78C71D45" w14:textId="77777777" w:rsidR="006652E4" w:rsidRPr="00E87295" w:rsidRDefault="006652E4">
            <w:pPr>
              <w:ind w:left="100"/>
              <w:jc w:val="both"/>
              <w:rPr>
                <w:sz w:val="22"/>
                <w:szCs w:val="22"/>
                <w:lang w:val="sr-Latn-RS"/>
              </w:rPr>
            </w:pPr>
            <w:r w:rsidRPr="00E87295">
              <w:rPr>
                <w:sz w:val="22"/>
                <w:szCs w:val="22"/>
                <w:lang w:val="sr-Latn-RS"/>
              </w:rPr>
              <w:t>Infekcije i infestacije</w:t>
            </w:r>
          </w:p>
        </w:tc>
        <w:tc>
          <w:tcPr>
            <w:tcW w:w="1658" w:type="dxa"/>
            <w:tcBorders>
              <w:top w:val="single" w:sz="4" w:space="0" w:color="auto"/>
              <w:left w:val="single" w:sz="4" w:space="0" w:color="auto"/>
              <w:bottom w:val="single" w:sz="4" w:space="0" w:color="auto"/>
              <w:right w:val="single" w:sz="4" w:space="0" w:color="auto"/>
            </w:tcBorders>
          </w:tcPr>
          <w:p w14:paraId="09BAE884" w14:textId="77777777" w:rsidR="006652E4" w:rsidRPr="00E87295" w:rsidRDefault="006652E4">
            <w:pPr>
              <w:jc w:val="both"/>
              <w:rPr>
                <w:sz w:val="22"/>
                <w:szCs w:val="22"/>
                <w:lang w:val="sr-Latn-RS"/>
              </w:rPr>
            </w:pPr>
            <w:r w:rsidRPr="00E87295">
              <w:rPr>
                <w:sz w:val="22"/>
                <w:szCs w:val="22"/>
                <w:lang w:val="sr-Latn-RS"/>
              </w:rPr>
              <w:t>veoma često</w:t>
            </w:r>
          </w:p>
          <w:p w14:paraId="6276BA96" w14:textId="77777777" w:rsidR="006652E4" w:rsidRPr="00E87295" w:rsidRDefault="006652E4">
            <w:pPr>
              <w:jc w:val="both"/>
              <w:rPr>
                <w:sz w:val="22"/>
                <w:szCs w:val="22"/>
                <w:lang w:val="sr-Latn-RS"/>
              </w:rPr>
            </w:pPr>
          </w:p>
        </w:tc>
        <w:tc>
          <w:tcPr>
            <w:tcW w:w="3262" w:type="dxa"/>
            <w:tcBorders>
              <w:top w:val="single" w:sz="4" w:space="0" w:color="auto"/>
              <w:left w:val="single" w:sz="4" w:space="0" w:color="auto"/>
              <w:bottom w:val="single" w:sz="4" w:space="0" w:color="auto"/>
              <w:right w:val="single" w:sz="4" w:space="0" w:color="auto"/>
            </w:tcBorders>
          </w:tcPr>
          <w:p w14:paraId="7FE0F3E4" w14:textId="771C06E5" w:rsidR="006652E4" w:rsidRPr="00E87295" w:rsidRDefault="006652E4">
            <w:pPr>
              <w:ind w:left="100"/>
              <w:jc w:val="both"/>
              <w:rPr>
                <w:sz w:val="22"/>
                <w:szCs w:val="22"/>
                <w:lang w:val="sr-Latn-RS"/>
              </w:rPr>
            </w:pPr>
            <w:r w:rsidRPr="00E87295">
              <w:rPr>
                <w:sz w:val="22"/>
                <w:szCs w:val="22"/>
                <w:lang w:val="sr-Latn-RS"/>
              </w:rPr>
              <w:t xml:space="preserve">infekcije disajnih puteva </w:t>
            </w:r>
          </w:p>
          <w:p w14:paraId="73F96524" w14:textId="77777777" w:rsidR="006652E4" w:rsidRPr="00E87295" w:rsidRDefault="006652E4">
            <w:pPr>
              <w:ind w:left="100"/>
              <w:jc w:val="both"/>
              <w:rPr>
                <w:sz w:val="22"/>
                <w:szCs w:val="22"/>
                <w:lang w:val="sr-Latn-RS"/>
              </w:rPr>
            </w:pPr>
          </w:p>
        </w:tc>
      </w:tr>
      <w:tr w:rsidR="006652E4" w:rsidRPr="00E87295" w14:paraId="59B09A13" w14:textId="77777777" w:rsidTr="006652E4">
        <w:tc>
          <w:tcPr>
            <w:tcW w:w="0" w:type="auto"/>
            <w:vMerge/>
            <w:tcBorders>
              <w:left w:val="single" w:sz="4" w:space="0" w:color="auto"/>
              <w:right w:val="single" w:sz="4" w:space="0" w:color="auto"/>
            </w:tcBorders>
            <w:vAlign w:val="center"/>
            <w:hideMark/>
          </w:tcPr>
          <w:p w14:paraId="328AB7E8" w14:textId="77777777" w:rsidR="006652E4" w:rsidRPr="00E87295" w:rsidRDefault="006652E4">
            <w:pPr>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0EBE1CA5" w14:textId="094182FE" w:rsidR="006652E4" w:rsidRPr="00E87295" w:rsidRDefault="006652E4">
            <w:pPr>
              <w:jc w:val="both"/>
              <w:rPr>
                <w:sz w:val="22"/>
                <w:szCs w:val="22"/>
                <w:lang w:val="sr-Latn-RS"/>
              </w:rPr>
            </w:pPr>
          </w:p>
        </w:tc>
        <w:tc>
          <w:tcPr>
            <w:tcW w:w="3262" w:type="dxa"/>
            <w:tcBorders>
              <w:top w:val="single" w:sz="4" w:space="0" w:color="auto"/>
              <w:left w:val="single" w:sz="4" w:space="0" w:color="auto"/>
              <w:bottom w:val="single" w:sz="4" w:space="0" w:color="auto"/>
              <w:right w:val="single" w:sz="4" w:space="0" w:color="auto"/>
            </w:tcBorders>
          </w:tcPr>
          <w:p w14:paraId="2E5DA5DB" w14:textId="314B113B" w:rsidR="006652E4" w:rsidRPr="00E87295" w:rsidRDefault="006652E4">
            <w:pPr>
              <w:ind w:left="100"/>
              <w:jc w:val="both"/>
              <w:rPr>
                <w:sz w:val="22"/>
                <w:szCs w:val="22"/>
                <w:lang w:val="sr-Latn-RS"/>
              </w:rPr>
            </w:pPr>
          </w:p>
        </w:tc>
      </w:tr>
      <w:tr w:rsidR="006652E4" w:rsidRPr="00E87295" w14:paraId="6AB6F39B" w14:textId="77777777" w:rsidTr="006652E4">
        <w:tc>
          <w:tcPr>
            <w:tcW w:w="0" w:type="auto"/>
            <w:vMerge/>
            <w:tcBorders>
              <w:left w:val="single" w:sz="4" w:space="0" w:color="auto"/>
              <w:right w:val="single" w:sz="4" w:space="0" w:color="auto"/>
            </w:tcBorders>
            <w:vAlign w:val="center"/>
            <w:hideMark/>
          </w:tcPr>
          <w:p w14:paraId="6713AABC" w14:textId="77777777" w:rsidR="006652E4" w:rsidRPr="00E87295" w:rsidRDefault="006652E4">
            <w:pPr>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hideMark/>
          </w:tcPr>
          <w:p w14:paraId="7889D459" w14:textId="27E0DECD" w:rsidR="006652E4" w:rsidRPr="00E87295" w:rsidRDefault="006652E4">
            <w:pPr>
              <w:jc w:val="both"/>
              <w:rPr>
                <w:sz w:val="22"/>
                <w:szCs w:val="22"/>
                <w:lang w:val="sr-Latn-RS"/>
              </w:rPr>
            </w:pPr>
            <w:r w:rsidRPr="00E87295">
              <w:rPr>
                <w:sz w:val="22"/>
                <w:szCs w:val="22"/>
                <w:lang w:val="sr-Latn-RS"/>
              </w:rPr>
              <w:t>povremeno</w:t>
            </w:r>
          </w:p>
        </w:tc>
        <w:tc>
          <w:tcPr>
            <w:tcW w:w="3262" w:type="dxa"/>
            <w:tcBorders>
              <w:top w:val="single" w:sz="4" w:space="0" w:color="auto"/>
              <w:left w:val="single" w:sz="4" w:space="0" w:color="auto"/>
              <w:bottom w:val="single" w:sz="4" w:space="0" w:color="auto"/>
              <w:right w:val="single" w:sz="4" w:space="0" w:color="auto"/>
            </w:tcBorders>
            <w:hideMark/>
          </w:tcPr>
          <w:p w14:paraId="5AA4434E" w14:textId="77777777" w:rsidR="006652E4" w:rsidRPr="00E87295" w:rsidRDefault="006652E4">
            <w:pPr>
              <w:ind w:left="100"/>
              <w:jc w:val="both"/>
              <w:rPr>
                <w:sz w:val="22"/>
                <w:szCs w:val="22"/>
                <w:lang w:val="sr-Latn-RS"/>
              </w:rPr>
            </w:pPr>
            <w:r w:rsidRPr="00E87295">
              <w:rPr>
                <w:sz w:val="22"/>
                <w:szCs w:val="22"/>
                <w:lang w:val="sr-Latn-RS"/>
              </w:rPr>
              <w:t xml:space="preserve">herpes simpleks infekcije </w:t>
            </w:r>
          </w:p>
        </w:tc>
      </w:tr>
      <w:tr w:rsidR="006652E4" w:rsidRPr="00E87295" w14:paraId="26EA345C" w14:textId="77777777" w:rsidTr="006652E4">
        <w:tc>
          <w:tcPr>
            <w:tcW w:w="0" w:type="auto"/>
            <w:vMerge/>
            <w:tcBorders>
              <w:left w:val="single" w:sz="4" w:space="0" w:color="auto"/>
              <w:right w:val="single" w:sz="4" w:space="0" w:color="auto"/>
            </w:tcBorders>
            <w:vAlign w:val="center"/>
            <w:hideMark/>
          </w:tcPr>
          <w:p w14:paraId="07AC6D36" w14:textId="77777777" w:rsidR="006652E4" w:rsidRPr="00E87295" w:rsidRDefault="006652E4">
            <w:pPr>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hideMark/>
          </w:tcPr>
          <w:p w14:paraId="7CE6534E" w14:textId="78D01431" w:rsidR="006652E4" w:rsidRPr="00E87295" w:rsidRDefault="006652E4">
            <w:pPr>
              <w:jc w:val="both"/>
              <w:rPr>
                <w:sz w:val="22"/>
                <w:szCs w:val="22"/>
                <w:lang w:val="sr-Latn-RS"/>
              </w:rPr>
            </w:pPr>
            <w:r w:rsidRPr="00E87295">
              <w:rPr>
                <w:sz w:val="22"/>
                <w:szCs w:val="22"/>
                <w:lang w:val="sr-Latn-RS"/>
              </w:rPr>
              <w:t>povremeno</w:t>
            </w:r>
          </w:p>
        </w:tc>
        <w:tc>
          <w:tcPr>
            <w:tcW w:w="3262" w:type="dxa"/>
            <w:tcBorders>
              <w:top w:val="single" w:sz="4" w:space="0" w:color="auto"/>
              <w:left w:val="single" w:sz="4" w:space="0" w:color="auto"/>
              <w:bottom w:val="single" w:sz="4" w:space="0" w:color="auto"/>
              <w:right w:val="single" w:sz="4" w:space="0" w:color="auto"/>
            </w:tcBorders>
            <w:hideMark/>
          </w:tcPr>
          <w:p w14:paraId="2B16DB5C" w14:textId="77777777" w:rsidR="006652E4" w:rsidRPr="00E87295" w:rsidRDefault="006652E4">
            <w:pPr>
              <w:ind w:left="100"/>
              <w:jc w:val="both"/>
              <w:rPr>
                <w:sz w:val="22"/>
                <w:szCs w:val="22"/>
                <w:lang w:val="sr-Latn-RS"/>
              </w:rPr>
            </w:pPr>
            <w:r w:rsidRPr="00E87295">
              <w:rPr>
                <w:rStyle w:val="BodytextItalic"/>
                <w:i w:val="0"/>
                <w:sz w:val="22"/>
                <w:szCs w:val="22"/>
                <w:lang w:val="sr-Latn-RS"/>
              </w:rPr>
              <w:t>gljivične</w:t>
            </w:r>
            <w:r w:rsidRPr="00E87295">
              <w:rPr>
                <w:sz w:val="22"/>
                <w:szCs w:val="22"/>
                <w:lang w:val="sr-Latn-RS"/>
              </w:rPr>
              <w:t xml:space="preserve"> infekcije (</w:t>
            </w:r>
            <w:r w:rsidRPr="00E87295">
              <w:rPr>
                <w:i/>
                <w:sz w:val="22"/>
                <w:szCs w:val="22"/>
                <w:lang w:val="sr-Latn-RS"/>
              </w:rPr>
              <w:t>tinea</w:t>
            </w:r>
            <w:r w:rsidRPr="00E87295">
              <w:rPr>
                <w:sz w:val="22"/>
                <w:szCs w:val="22"/>
                <w:lang w:val="sr-Latn-RS"/>
              </w:rPr>
              <w:t>)</w:t>
            </w:r>
          </w:p>
        </w:tc>
      </w:tr>
      <w:tr w:rsidR="006652E4" w:rsidRPr="00E87295" w14:paraId="0FE8E949" w14:textId="77777777" w:rsidTr="006652E4">
        <w:tc>
          <w:tcPr>
            <w:tcW w:w="0" w:type="auto"/>
            <w:vMerge/>
            <w:tcBorders>
              <w:left w:val="single" w:sz="4" w:space="0" w:color="auto"/>
              <w:bottom w:val="single" w:sz="4" w:space="0" w:color="auto"/>
              <w:right w:val="single" w:sz="4" w:space="0" w:color="auto"/>
            </w:tcBorders>
            <w:vAlign w:val="center"/>
          </w:tcPr>
          <w:p w14:paraId="19F62F23" w14:textId="77777777" w:rsidR="006652E4" w:rsidRPr="00E87295" w:rsidRDefault="006652E4">
            <w:pPr>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147B027F" w14:textId="2E05753A" w:rsidR="006652E4" w:rsidRPr="00E87295" w:rsidRDefault="006652E4">
            <w:pPr>
              <w:jc w:val="both"/>
              <w:rPr>
                <w:sz w:val="22"/>
                <w:szCs w:val="22"/>
                <w:lang w:val="sr-Latn-RS"/>
              </w:rPr>
            </w:pPr>
            <w:r w:rsidRPr="00E87295">
              <w:rPr>
                <w:sz w:val="22"/>
                <w:szCs w:val="22"/>
                <w:lang w:val="sr-Latn-RS"/>
              </w:rPr>
              <w:t>povremeno</w:t>
            </w:r>
          </w:p>
        </w:tc>
        <w:tc>
          <w:tcPr>
            <w:tcW w:w="3262" w:type="dxa"/>
            <w:tcBorders>
              <w:top w:val="single" w:sz="4" w:space="0" w:color="auto"/>
              <w:left w:val="single" w:sz="4" w:space="0" w:color="auto"/>
              <w:bottom w:val="single" w:sz="4" w:space="0" w:color="auto"/>
              <w:right w:val="single" w:sz="4" w:space="0" w:color="auto"/>
            </w:tcBorders>
          </w:tcPr>
          <w:p w14:paraId="4E1B7F21" w14:textId="226EFB6D" w:rsidR="006652E4" w:rsidRPr="00E87295" w:rsidRDefault="006652E4">
            <w:pPr>
              <w:ind w:left="100"/>
              <w:jc w:val="both"/>
              <w:rPr>
                <w:rStyle w:val="BodytextItalic"/>
                <w:i w:val="0"/>
                <w:iCs w:val="0"/>
                <w:sz w:val="22"/>
                <w:szCs w:val="22"/>
                <w:lang w:val="sr-Latn-RS"/>
              </w:rPr>
            </w:pPr>
            <w:r w:rsidRPr="00E87295">
              <w:rPr>
                <w:rStyle w:val="BodytextItalic"/>
                <w:i w:val="0"/>
                <w:iCs w:val="0"/>
                <w:sz w:val="22"/>
                <w:szCs w:val="22"/>
                <w:lang w:val="sr-Latn-RS"/>
              </w:rPr>
              <w:t>gastroenteritis</w:t>
            </w:r>
          </w:p>
        </w:tc>
      </w:tr>
      <w:tr w:rsidR="006652E4" w:rsidRPr="00E87295" w14:paraId="35C08A71" w14:textId="77777777" w:rsidTr="006652E4">
        <w:tc>
          <w:tcPr>
            <w:tcW w:w="0" w:type="auto"/>
            <w:vMerge w:val="restart"/>
            <w:tcBorders>
              <w:top w:val="single" w:sz="4" w:space="0" w:color="auto"/>
              <w:left w:val="single" w:sz="4" w:space="0" w:color="auto"/>
              <w:right w:val="single" w:sz="4" w:space="0" w:color="auto"/>
            </w:tcBorders>
            <w:vAlign w:val="center"/>
          </w:tcPr>
          <w:p w14:paraId="022EB1BF" w14:textId="28FE7385" w:rsidR="006652E4" w:rsidRPr="00E87295" w:rsidRDefault="006652E4">
            <w:pPr>
              <w:ind w:left="60"/>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5465984B" w14:textId="44A284D1" w:rsidR="006652E4" w:rsidRPr="00E87295" w:rsidRDefault="006652E4">
            <w:pPr>
              <w:jc w:val="both"/>
              <w:rPr>
                <w:sz w:val="22"/>
                <w:szCs w:val="22"/>
                <w:lang w:val="sr-Latn-RS"/>
              </w:rPr>
            </w:pPr>
          </w:p>
        </w:tc>
        <w:tc>
          <w:tcPr>
            <w:tcW w:w="3262" w:type="dxa"/>
            <w:tcBorders>
              <w:top w:val="single" w:sz="4" w:space="0" w:color="auto"/>
              <w:left w:val="single" w:sz="4" w:space="0" w:color="auto"/>
              <w:bottom w:val="single" w:sz="4" w:space="0" w:color="auto"/>
              <w:right w:val="single" w:sz="4" w:space="0" w:color="auto"/>
            </w:tcBorders>
          </w:tcPr>
          <w:p w14:paraId="58906005" w14:textId="29CE150D" w:rsidR="006652E4" w:rsidRPr="00E87295" w:rsidRDefault="006652E4">
            <w:pPr>
              <w:ind w:left="100"/>
              <w:jc w:val="both"/>
              <w:rPr>
                <w:rStyle w:val="BodytextItalic"/>
                <w:i w:val="0"/>
                <w:iCs w:val="0"/>
                <w:sz w:val="22"/>
                <w:szCs w:val="22"/>
                <w:lang w:val="sr-Latn-RS"/>
              </w:rPr>
            </w:pPr>
          </w:p>
        </w:tc>
      </w:tr>
      <w:tr w:rsidR="006652E4" w:rsidRPr="00E87295" w14:paraId="0926AB83" w14:textId="77777777" w:rsidTr="006652E4">
        <w:tc>
          <w:tcPr>
            <w:tcW w:w="0" w:type="auto"/>
            <w:vMerge/>
            <w:tcBorders>
              <w:left w:val="single" w:sz="4" w:space="0" w:color="auto"/>
              <w:right w:val="single" w:sz="4" w:space="0" w:color="auto"/>
            </w:tcBorders>
            <w:vAlign w:val="center"/>
          </w:tcPr>
          <w:p w14:paraId="368BD6BC" w14:textId="77777777" w:rsidR="006652E4" w:rsidRPr="00E87295" w:rsidRDefault="006652E4">
            <w:pPr>
              <w:ind w:left="60"/>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2DB9C14A" w14:textId="620A665E" w:rsidR="006652E4" w:rsidRPr="00E87295" w:rsidRDefault="006652E4">
            <w:pPr>
              <w:jc w:val="both"/>
              <w:rPr>
                <w:sz w:val="22"/>
                <w:szCs w:val="22"/>
                <w:lang w:val="sr-Latn-RS"/>
              </w:rPr>
            </w:pPr>
          </w:p>
        </w:tc>
        <w:tc>
          <w:tcPr>
            <w:tcW w:w="3262" w:type="dxa"/>
            <w:tcBorders>
              <w:top w:val="single" w:sz="4" w:space="0" w:color="auto"/>
              <w:left w:val="single" w:sz="4" w:space="0" w:color="auto"/>
              <w:bottom w:val="single" w:sz="4" w:space="0" w:color="auto"/>
              <w:right w:val="single" w:sz="4" w:space="0" w:color="auto"/>
            </w:tcBorders>
          </w:tcPr>
          <w:p w14:paraId="4A39094D" w14:textId="36F02D6F" w:rsidR="006652E4" w:rsidRPr="00E87295" w:rsidRDefault="006652E4">
            <w:pPr>
              <w:ind w:left="100"/>
              <w:jc w:val="both"/>
              <w:rPr>
                <w:rStyle w:val="BodytextItalic"/>
                <w:i w:val="0"/>
                <w:iCs w:val="0"/>
                <w:sz w:val="22"/>
                <w:szCs w:val="22"/>
                <w:lang w:val="sr-Latn-RS"/>
              </w:rPr>
            </w:pPr>
          </w:p>
        </w:tc>
      </w:tr>
      <w:tr w:rsidR="00331DE3" w:rsidRPr="00E87295" w14:paraId="0B37F1BC" w14:textId="77777777" w:rsidTr="006652E4">
        <w:tc>
          <w:tcPr>
            <w:tcW w:w="0" w:type="auto"/>
            <w:vMerge w:val="restart"/>
            <w:tcBorders>
              <w:top w:val="single" w:sz="4" w:space="0" w:color="auto"/>
              <w:left w:val="single" w:sz="4" w:space="0" w:color="auto"/>
              <w:right w:val="single" w:sz="4" w:space="0" w:color="auto"/>
            </w:tcBorders>
            <w:vAlign w:val="center"/>
          </w:tcPr>
          <w:p w14:paraId="01E78265" w14:textId="77777777" w:rsidR="00331DE3" w:rsidRPr="00E87295" w:rsidRDefault="00331DE3">
            <w:pPr>
              <w:ind w:left="60"/>
              <w:jc w:val="both"/>
              <w:rPr>
                <w:sz w:val="22"/>
                <w:szCs w:val="22"/>
                <w:lang w:val="sr-Latn-RS"/>
              </w:rPr>
            </w:pPr>
            <w:r w:rsidRPr="00E87295">
              <w:rPr>
                <w:sz w:val="22"/>
                <w:szCs w:val="22"/>
                <w:lang w:val="sr-Latn-RS"/>
              </w:rPr>
              <w:t>Poremećaji imunog sistema</w:t>
            </w:r>
          </w:p>
        </w:tc>
        <w:tc>
          <w:tcPr>
            <w:tcW w:w="1658" w:type="dxa"/>
            <w:tcBorders>
              <w:top w:val="single" w:sz="4" w:space="0" w:color="auto"/>
              <w:left w:val="single" w:sz="4" w:space="0" w:color="auto"/>
              <w:bottom w:val="single" w:sz="4" w:space="0" w:color="auto"/>
              <w:right w:val="single" w:sz="4" w:space="0" w:color="auto"/>
            </w:tcBorders>
          </w:tcPr>
          <w:p w14:paraId="29820F6B" w14:textId="77777777" w:rsidR="00331DE3" w:rsidRPr="00E87295" w:rsidRDefault="00331DE3">
            <w:pPr>
              <w:jc w:val="both"/>
              <w:rPr>
                <w:sz w:val="22"/>
                <w:szCs w:val="22"/>
                <w:lang w:val="sr-Latn-RS"/>
              </w:rPr>
            </w:pPr>
            <w:r w:rsidRPr="00E87295">
              <w:rPr>
                <w:sz w:val="22"/>
                <w:szCs w:val="22"/>
                <w:lang w:val="sr-Latn-RS"/>
              </w:rPr>
              <w:t xml:space="preserve">povremeno </w:t>
            </w:r>
          </w:p>
        </w:tc>
        <w:tc>
          <w:tcPr>
            <w:tcW w:w="3262" w:type="dxa"/>
            <w:tcBorders>
              <w:top w:val="single" w:sz="4" w:space="0" w:color="auto"/>
              <w:left w:val="single" w:sz="4" w:space="0" w:color="auto"/>
              <w:bottom w:val="single" w:sz="4" w:space="0" w:color="auto"/>
              <w:right w:val="single" w:sz="4" w:space="0" w:color="auto"/>
            </w:tcBorders>
          </w:tcPr>
          <w:p w14:paraId="7D965496" w14:textId="77777777" w:rsidR="00331DE3" w:rsidRPr="00E87295" w:rsidRDefault="00331DE3">
            <w:pPr>
              <w:ind w:left="100"/>
              <w:jc w:val="both"/>
              <w:rPr>
                <w:rStyle w:val="BodytextItalic"/>
                <w:i w:val="0"/>
                <w:iCs w:val="0"/>
                <w:sz w:val="22"/>
                <w:szCs w:val="22"/>
                <w:lang w:val="sr-Latn-RS"/>
              </w:rPr>
            </w:pPr>
            <w:r w:rsidRPr="00E87295">
              <w:rPr>
                <w:rStyle w:val="BodytextItalic"/>
                <w:i w:val="0"/>
                <w:iCs w:val="0"/>
                <w:sz w:val="22"/>
                <w:szCs w:val="22"/>
                <w:lang w:val="sr-Latn-RS"/>
              </w:rPr>
              <w:t>h</w:t>
            </w:r>
            <w:proofErr w:type="spellStart"/>
            <w:r w:rsidRPr="00E87295">
              <w:rPr>
                <w:rStyle w:val="BodytextItalic"/>
                <w:i w:val="0"/>
                <w:iCs w:val="0"/>
                <w:sz w:val="22"/>
                <w:szCs w:val="22"/>
              </w:rPr>
              <w:t>ipersenzitivnost</w:t>
            </w:r>
            <w:proofErr w:type="spellEnd"/>
          </w:p>
        </w:tc>
      </w:tr>
      <w:tr w:rsidR="00331DE3" w:rsidRPr="00E87295" w14:paraId="3BB1B167" w14:textId="77777777" w:rsidTr="006652E4">
        <w:tc>
          <w:tcPr>
            <w:tcW w:w="0" w:type="auto"/>
            <w:vMerge/>
            <w:tcBorders>
              <w:left w:val="single" w:sz="4" w:space="0" w:color="auto"/>
              <w:bottom w:val="single" w:sz="4" w:space="0" w:color="auto"/>
              <w:right w:val="single" w:sz="4" w:space="0" w:color="auto"/>
            </w:tcBorders>
            <w:vAlign w:val="center"/>
          </w:tcPr>
          <w:p w14:paraId="7C417ADB" w14:textId="77777777" w:rsidR="00331DE3" w:rsidRPr="00E87295" w:rsidRDefault="00331DE3">
            <w:pPr>
              <w:ind w:left="60"/>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77132149" w14:textId="77777777" w:rsidR="00331DE3" w:rsidRPr="00E87295" w:rsidRDefault="00331DE3">
            <w:pPr>
              <w:jc w:val="both"/>
              <w:rPr>
                <w:sz w:val="22"/>
                <w:szCs w:val="22"/>
                <w:lang w:val="sr-Latn-RS"/>
              </w:rPr>
            </w:pPr>
            <w:proofErr w:type="spellStart"/>
            <w:r w:rsidRPr="00E87295">
              <w:rPr>
                <w:sz w:val="22"/>
                <w:szCs w:val="22"/>
              </w:rPr>
              <w:t>povremeno</w:t>
            </w:r>
            <w:proofErr w:type="spellEnd"/>
          </w:p>
        </w:tc>
        <w:tc>
          <w:tcPr>
            <w:tcW w:w="3262" w:type="dxa"/>
            <w:tcBorders>
              <w:top w:val="single" w:sz="4" w:space="0" w:color="auto"/>
              <w:left w:val="single" w:sz="4" w:space="0" w:color="auto"/>
              <w:bottom w:val="single" w:sz="4" w:space="0" w:color="auto"/>
              <w:right w:val="single" w:sz="4" w:space="0" w:color="auto"/>
            </w:tcBorders>
          </w:tcPr>
          <w:p w14:paraId="33F0E5EE" w14:textId="77777777" w:rsidR="00331DE3" w:rsidRPr="00E87295" w:rsidRDefault="00331DE3">
            <w:pPr>
              <w:ind w:left="100"/>
              <w:jc w:val="both"/>
              <w:rPr>
                <w:rStyle w:val="BodytextItalic"/>
                <w:i w:val="0"/>
                <w:iCs w:val="0"/>
                <w:sz w:val="22"/>
                <w:szCs w:val="22"/>
                <w:lang w:val="sr-Latn-RS"/>
              </w:rPr>
            </w:pPr>
            <w:proofErr w:type="spellStart"/>
            <w:r w:rsidRPr="00E87295">
              <w:rPr>
                <w:sz w:val="22"/>
                <w:szCs w:val="22"/>
              </w:rPr>
              <w:t>anafilaksa</w:t>
            </w:r>
            <w:proofErr w:type="spellEnd"/>
          </w:p>
        </w:tc>
      </w:tr>
      <w:tr w:rsidR="007677A5" w:rsidRPr="00E87295" w14:paraId="52C7AFB8" w14:textId="77777777" w:rsidTr="006652E4">
        <w:tc>
          <w:tcPr>
            <w:tcW w:w="4135" w:type="dxa"/>
            <w:tcBorders>
              <w:top w:val="single" w:sz="4" w:space="0" w:color="auto"/>
              <w:left w:val="single" w:sz="4" w:space="0" w:color="auto"/>
              <w:bottom w:val="single" w:sz="4" w:space="0" w:color="auto"/>
              <w:right w:val="single" w:sz="4" w:space="0" w:color="auto"/>
            </w:tcBorders>
          </w:tcPr>
          <w:p w14:paraId="2AEFA35F" w14:textId="77777777" w:rsidR="007677A5" w:rsidRPr="00E87295" w:rsidRDefault="007677A5">
            <w:pPr>
              <w:ind w:left="100"/>
              <w:jc w:val="both"/>
              <w:rPr>
                <w:sz w:val="22"/>
                <w:szCs w:val="22"/>
                <w:lang w:val="sr-Latn-RS"/>
              </w:rPr>
            </w:pPr>
            <w:r w:rsidRPr="00E87295">
              <w:rPr>
                <w:sz w:val="22"/>
                <w:szCs w:val="22"/>
                <w:lang w:val="sr-Latn-RS"/>
              </w:rPr>
              <w:t xml:space="preserve">Poremećaji nervnog sistema </w:t>
            </w:r>
          </w:p>
          <w:p w14:paraId="465B3D04" w14:textId="77777777" w:rsidR="007677A5" w:rsidRPr="00E87295" w:rsidRDefault="007677A5">
            <w:pPr>
              <w:ind w:left="100"/>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3540A390" w14:textId="77777777" w:rsidR="007677A5" w:rsidRPr="00E87295" w:rsidRDefault="007677A5">
            <w:pPr>
              <w:jc w:val="both"/>
              <w:rPr>
                <w:sz w:val="22"/>
                <w:szCs w:val="22"/>
                <w:lang w:val="sr-Latn-RS"/>
              </w:rPr>
            </w:pPr>
            <w:r w:rsidRPr="00E87295">
              <w:rPr>
                <w:sz w:val="22"/>
                <w:szCs w:val="22"/>
                <w:lang w:val="sr-Latn-RS"/>
              </w:rPr>
              <w:t xml:space="preserve">često </w:t>
            </w:r>
          </w:p>
          <w:p w14:paraId="0BCF8E60" w14:textId="77777777" w:rsidR="007677A5" w:rsidRPr="00E87295" w:rsidRDefault="007677A5">
            <w:pPr>
              <w:jc w:val="both"/>
              <w:rPr>
                <w:sz w:val="22"/>
                <w:szCs w:val="22"/>
                <w:lang w:val="sr-Latn-RS"/>
              </w:rPr>
            </w:pPr>
          </w:p>
        </w:tc>
        <w:tc>
          <w:tcPr>
            <w:tcW w:w="3262" w:type="dxa"/>
            <w:tcBorders>
              <w:top w:val="single" w:sz="4" w:space="0" w:color="auto"/>
              <w:left w:val="single" w:sz="4" w:space="0" w:color="auto"/>
              <w:bottom w:val="single" w:sz="4" w:space="0" w:color="auto"/>
              <w:right w:val="single" w:sz="4" w:space="0" w:color="auto"/>
            </w:tcBorders>
          </w:tcPr>
          <w:p w14:paraId="3495C228" w14:textId="77777777" w:rsidR="007677A5" w:rsidRPr="00E87295" w:rsidRDefault="007677A5">
            <w:pPr>
              <w:ind w:left="100"/>
              <w:jc w:val="both"/>
              <w:rPr>
                <w:sz w:val="22"/>
                <w:szCs w:val="22"/>
                <w:lang w:val="sr-Latn-RS"/>
              </w:rPr>
            </w:pPr>
            <w:r w:rsidRPr="00E87295">
              <w:rPr>
                <w:sz w:val="22"/>
                <w:szCs w:val="22"/>
                <w:lang w:val="sr-Latn-RS"/>
              </w:rPr>
              <w:t xml:space="preserve">glavobolja </w:t>
            </w:r>
          </w:p>
          <w:p w14:paraId="704644BB" w14:textId="77777777" w:rsidR="007677A5" w:rsidRPr="00E87295" w:rsidRDefault="007677A5">
            <w:pPr>
              <w:ind w:left="100"/>
              <w:jc w:val="both"/>
              <w:rPr>
                <w:sz w:val="22"/>
                <w:szCs w:val="22"/>
                <w:lang w:val="sr-Latn-RS"/>
              </w:rPr>
            </w:pPr>
          </w:p>
        </w:tc>
      </w:tr>
      <w:tr w:rsidR="007677A5" w:rsidRPr="00E87295" w14:paraId="15D26A0F" w14:textId="77777777" w:rsidTr="006652E4">
        <w:tc>
          <w:tcPr>
            <w:tcW w:w="4135" w:type="dxa"/>
            <w:tcBorders>
              <w:top w:val="single" w:sz="4" w:space="0" w:color="auto"/>
              <w:left w:val="single" w:sz="4" w:space="0" w:color="auto"/>
              <w:bottom w:val="single" w:sz="4" w:space="0" w:color="auto"/>
              <w:right w:val="single" w:sz="4" w:space="0" w:color="auto"/>
            </w:tcBorders>
            <w:hideMark/>
          </w:tcPr>
          <w:p w14:paraId="51AD145D" w14:textId="77777777" w:rsidR="007677A5" w:rsidRPr="00E87295" w:rsidRDefault="007677A5">
            <w:pPr>
              <w:ind w:left="100"/>
              <w:jc w:val="both"/>
              <w:rPr>
                <w:sz w:val="22"/>
                <w:szCs w:val="22"/>
                <w:lang w:val="sr-Latn-RS"/>
              </w:rPr>
            </w:pPr>
            <w:r w:rsidRPr="00E87295">
              <w:rPr>
                <w:sz w:val="22"/>
                <w:szCs w:val="22"/>
                <w:lang w:val="sr-Latn-RS"/>
              </w:rPr>
              <w:t>Gastrointestinalni poremećaji</w:t>
            </w:r>
          </w:p>
        </w:tc>
        <w:tc>
          <w:tcPr>
            <w:tcW w:w="1658" w:type="dxa"/>
            <w:tcBorders>
              <w:top w:val="single" w:sz="4" w:space="0" w:color="auto"/>
              <w:left w:val="single" w:sz="4" w:space="0" w:color="auto"/>
              <w:bottom w:val="single" w:sz="4" w:space="0" w:color="auto"/>
              <w:right w:val="single" w:sz="4" w:space="0" w:color="auto"/>
            </w:tcBorders>
            <w:hideMark/>
          </w:tcPr>
          <w:p w14:paraId="77F30A8D" w14:textId="77777777" w:rsidR="007677A5" w:rsidRPr="00E87295" w:rsidRDefault="007677A5">
            <w:pPr>
              <w:jc w:val="both"/>
              <w:rPr>
                <w:sz w:val="22"/>
                <w:szCs w:val="22"/>
                <w:lang w:val="sr-Latn-RS"/>
              </w:rPr>
            </w:pPr>
            <w:r w:rsidRPr="00E87295">
              <w:rPr>
                <w:sz w:val="22"/>
                <w:szCs w:val="22"/>
                <w:lang w:val="sr-Latn-RS"/>
              </w:rPr>
              <w:t>često</w:t>
            </w:r>
          </w:p>
        </w:tc>
        <w:tc>
          <w:tcPr>
            <w:tcW w:w="3262" w:type="dxa"/>
            <w:tcBorders>
              <w:top w:val="single" w:sz="4" w:space="0" w:color="auto"/>
              <w:left w:val="single" w:sz="4" w:space="0" w:color="auto"/>
              <w:bottom w:val="single" w:sz="4" w:space="0" w:color="auto"/>
              <w:right w:val="single" w:sz="4" w:space="0" w:color="auto"/>
            </w:tcBorders>
            <w:hideMark/>
          </w:tcPr>
          <w:p w14:paraId="41E8AA19" w14:textId="7CA524FE" w:rsidR="007677A5" w:rsidRPr="00E87295" w:rsidRDefault="007E7309">
            <w:pPr>
              <w:ind w:left="100"/>
              <w:jc w:val="both"/>
              <w:rPr>
                <w:sz w:val="22"/>
                <w:szCs w:val="22"/>
                <w:lang w:val="sr-Latn-RS"/>
              </w:rPr>
            </w:pPr>
            <w:r w:rsidRPr="00E87295">
              <w:rPr>
                <w:sz w:val="22"/>
                <w:szCs w:val="22"/>
                <w:lang w:val="sr-Latn-RS"/>
              </w:rPr>
              <w:t>dijareja</w:t>
            </w:r>
          </w:p>
        </w:tc>
      </w:tr>
      <w:tr w:rsidR="00CA570E" w:rsidRPr="00E87295" w14:paraId="420F6DE8" w14:textId="77777777" w:rsidTr="006652E4">
        <w:tc>
          <w:tcPr>
            <w:tcW w:w="4135" w:type="dxa"/>
            <w:vMerge w:val="restart"/>
            <w:tcBorders>
              <w:top w:val="single" w:sz="4" w:space="0" w:color="auto"/>
              <w:left w:val="single" w:sz="4" w:space="0" w:color="auto"/>
              <w:right w:val="single" w:sz="4" w:space="0" w:color="auto"/>
            </w:tcBorders>
            <w:hideMark/>
          </w:tcPr>
          <w:p w14:paraId="443B8748" w14:textId="77777777" w:rsidR="00CA570E" w:rsidRPr="00E87295" w:rsidRDefault="00CA570E">
            <w:pPr>
              <w:ind w:left="100"/>
              <w:jc w:val="both"/>
              <w:rPr>
                <w:sz w:val="22"/>
                <w:szCs w:val="22"/>
                <w:lang w:val="sr-Latn-RS"/>
              </w:rPr>
            </w:pPr>
            <w:r w:rsidRPr="00E87295">
              <w:rPr>
                <w:sz w:val="22"/>
                <w:szCs w:val="22"/>
                <w:lang w:val="sr-Latn-RS"/>
              </w:rPr>
              <w:t>Poremećaji kože i potkožnog tkiva</w:t>
            </w:r>
          </w:p>
        </w:tc>
        <w:tc>
          <w:tcPr>
            <w:tcW w:w="1658" w:type="dxa"/>
            <w:tcBorders>
              <w:top w:val="single" w:sz="4" w:space="0" w:color="auto"/>
              <w:left w:val="single" w:sz="4" w:space="0" w:color="auto"/>
              <w:bottom w:val="single" w:sz="4" w:space="0" w:color="auto"/>
              <w:right w:val="single" w:sz="4" w:space="0" w:color="auto"/>
            </w:tcBorders>
            <w:hideMark/>
          </w:tcPr>
          <w:p w14:paraId="3AC1BA16" w14:textId="61A3A511" w:rsidR="00CA570E" w:rsidRPr="00E87295" w:rsidRDefault="006652E4">
            <w:pPr>
              <w:jc w:val="both"/>
              <w:rPr>
                <w:sz w:val="22"/>
                <w:szCs w:val="22"/>
                <w:lang w:val="sr-Latn-RS"/>
              </w:rPr>
            </w:pPr>
            <w:r w:rsidRPr="00E87295">
              <w:rPr>
                <w:sz w:val="22"/>
                <w:szCs w:val="22"/>
                <w:lang w:val="sr-Latn-RS"/>
              </w:rPr>
              <w:t>povremeno</w:t>
            </w:r>
          </w:p>
        </w:tc>
        <w:tc>
          <w:tcPr>
            <w:tcW w:w="3262" w:type="dxa"/>
            <w:tcBorders>
              <w:top w:val="single" w:sz="4" w:space="0" w:color="auto"/>
              <w:left w:val="single" w:sz="4" w:space="0" w:color="auto"/>
              <w:bottom w:val="single" w:sz="4" w:space="0" w:color="auto"/>
              <w:right w:val="single" w:sz="4" w:space="0" w:color="auto"/>
            </w:tcBorders>
            <w:hideMark/>
          </w:tcPr>
          <w:p w14:paraId="350CAB2B" w14:textId="77777777" w:rsidR="00CA570E" w:rsidRPr="00E87295" w:rsidRDefault="00CA570E">
            <w:pPr>
              <w:ind w:left="100"/>
              <w:jc w:val="both"/>
              <w:rPr>
                <w:sz w:val="22"/>
                <w:szCs w:val="22"/>
                <w:lang w:val="sr-Latn-RS"/>
              </w:rPr>
            </w:pPr>
            <w:r w:rsidRPr="00E87295">
              <w:rPr>
                <w:sz w:val="22"/>
                <w:szCs w:val="22"/>
                <w:lang w:val="sr-Latn-RS"/>
              </w:rPr>
              <w:t xml:space="preserve">urtikarija </w:t>
            </w:r>
          </w:p>
        </w:tc>
      </w:tr>
      <w:tr w:rsidR="00CA570E" w:rsidRPr="00E87295" w14:paraId="0D666603" w14:textId="77777777" w:rsidTr="006652E4">
        <w:tc>
          <w:tcPr>
            <w:tcW w:w="4135" w:type="dxa"/>
            <w:vMerge/>
            <w:tcBorders>
              <w:left w:val="single" w:sz="4" w:space="0" w:color="auto"/>
              <w:bottom w:val="single" w:sz="4" w:space="0" w:color="auto"/>
              <w:right w:val="single" w:sz="4" w:space="0" w:color="auto"/>
            </w:tcBorders>
          </w:tcPr>
          <w:p w14:paraId="64F83C97" w14:textId="77777777" w:rsidR="00CA570E" w:rsidRPr="00E87295" w:rsidRDefault="00CA570E">
            <w:pPr>
              <w:ind w:left="100"/>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2239487F" w14:textId="77777777" w:rsidR="00CA570E" w:rsidRPr="00E87295" w:rsidRDefault="00CA570E">
            <w:pPr>
              <w:jc w:val="both"/>
              <w:rPr>
                <w:sz w:val="22"/>
                <w:szCs w:val="22"/>
                <w:lang w:val="sr-Latn-RS"/>
              </w:rPr>
            </w:pPr>
            <w:r w:rsidRPr="00E87295">
              <w:rPr>
                <w:sz w:val="22"/>
                <w:szCs w:val="22"/>
                <w:lang w:val="sr-Latn-RS"/>
              </w:rPr>
              <w:t>povremeno</w:t>
            </w:r>
          </w:p>
        </w:tc>
        <w:tc>
          <w:tcPr>
            <w:tcW w:w="3262" w:type="dxa"/>
            <w:tcBorders>
              <w:top w:val="single" w:sz="4" w:space="0" w:color="auto"/>
              <w:left w:val="single" w:sz="4" w:space="0" w:color="auto"/>
              <w:bottom w:val="single" w:sz="4" w:space="0" w:color="auto"/>
              <w:right w:val="single" w:sz="4" w:space="0" w:color="auto"/>
            </w:tcBorders>
          </w:tcPr>
          <w:p w14:paraId="0A9EE93C" w14:textId="77777777" w:rsidR="00CA570E" w:rsidRPr="00E87295" w:rsidRDefault="00CA570E">
            <w:pPr>
              <w:ind w:left="100"/>
              <w:jc w:val="both"/>
              <w:rPr>
                <w:sz w:val="22"/>
                <w:szCs w:val="22"/>
                <w:lang w:val="sr-Latn-RS"/>
              </w:rPr>
            </w:pPr>
            <w:r w:rsidRPr="00E87295">
              <w:rPr>
                <w:sz w:val="22"/>
                <w:szCs w:val="22"/>
                <w:lang w:val="sr-Latn-RS"/>
              </w:rPr>
              <w:t>osip</w:t>
            </w:r>
          </w:p>
        </w:tc>
      </w:tr>
      <w:tr w:rsidR="007677A5" w:rsidRPr="00E87295" w14:paraId="29479356" w14:textId="77777777" w:rsidTr="006652E4">
        <w:tc>
          <w:tcPr>
            <w:tcW w:w="4135" w:type="dxa"/>
            <w:tcBorders>
              <w:top w:val="single" w:sz="4" w:space="0" w:color="auto"/>
              <w:left w:val="single" w:sz="4" w:space="0" w:color="auto"/>
              <w:bottom w:val="single" w:sz="4" w:space="0" w:color="auto"/>
              <w:right w:val="single" w:sz="4" w:space="0" w:color="auto"/>
            </w:tcBorders>
            <w:hideMark/>
          </w:tcPr>
          <w:p w14:paraId="2C6431F2" w14:textId="77777777" w:rsidR="007677A5" w:rsidRPr="00E87295" w:rsidRDefault="007677A5">
            <w:pPr>
              <w:ind w:left="100"/>
              <w:jc w:val="both"/>
              <w:rPr>
                <w:sz w:val="22"/>
                <w:szCs w:val="22"/>
                <w:lang w:val="sr-Latn-RS"/>
              </w:rPr>
            </w:pPr>
            <w:r w:rsidRPr="00E87295">
              <w:rPr>
                <w:sz w:val="22"/>
                <w:szCs w:val="22"/>
                <w:lang w:val="sr-Latn-RS"/>
              </w:rPr>
              <w:lastRenderedPageBreak/>
              <w:t>Poremećaji mišićno-koštanog sistema i vezivnog tkiva</w:t>
            </w:r>
          </w:p>
        </w:tc>
        <w:tc>
          <w:tcPr>
            <w:tcW w:w="1658" w:type="dxa"/>
            <w:tcBorders>
              <w:top w:val="single" w:sz="4" w:space="0" w:color="auto"/>
              <w:left w:val="single" w:sz="4" w:space="0" w:color="auto"/>
              <w:bottom w:val="single" w:sz="4" w:space="0" w:color="auto"/>
              <w:right w:val="single" w:sz="4" w:space="0" w:color="auto"/>
            </w:tcBorders>
            <w:hideMark/>
          </w:tcPr>
          <w:p w14:paraId="1ADCD4E0" w14:textId="77777777" w:rsidR="007677A5" w:rsidRPr="00E87295" w:rsidRDefault="007677A5">
            <w:pPr>
              <w:jc w:val="both"/>
              <w:rPr>
                <w:sz w:val="22"/>
                <w:szCs w:val="22"/>
                <w:lang w:val="sr-Latn-RS"/>
              </w:rPr>
            </w:pPr>
            <w:r w:rsidRPr="00E87295">
              <w:rPr>
                <w:sz w:val="22"/>
                <w:szCs w:val="22"/>
                <w:lang w:val="sr-Latn-RS"/>
              </w:rPr>
              <w:t>često</w:t>
            </w:r>
          </w:p>
        </w:tc>
        <w:tc>
          <w:tcPr>
            <w:tcW w:w="3262" w:type="dxa"/>
            <w:tcBorders>
              <w:top w:val="single" w:sz="4" w:space="0" w:color="auto"/>
              <w:left w:val="single" w:sz="4" w:space="0" w:color="auto"/>
              <w:bottom w:val="single" w:sz="4" w:space="0" w:color="auto"/>
              <w:right w:val="single" w:sz="4" w:space="0" w:color="auto"/>
            </w:tcBorders>
            <w:hideMark/>
          </w:tcPr>
          <w:p w14:paraId="24DF658D" w14:textId="77777777" w:rsidR="007677A5" w:rsidRPr="00E87295" w:rsidRDefault="007677A5">
            <w:pPr>
              <w:ind w:left="100"/>
              <w:jc w:val="both"/>
              <w:rPr>
                <w:sz w:val="22"/>
                <w:szCs w:val="22"/>
                <w:lang w:val="sr-Latn-RS"/>
              </w:rPr>
            </w:pPr>
            <w:r w:rsidRPr="00E87295">
              <w:rPr>
                <w:sz w:val="22"/>
                <w:szCs w:val="22"/>
                <w:lang w:val="sr-Latn-RS"/>
              </w:rPr>
              <w:t>artralgija</w:t>
            </w:r>
          </w:p>
        </w:tc>
      </w:tr>
      <w:tr w:rsidR="007677A5" w:rsidRPr="00C929E2" w14:paraId="28BC97FE" w14:textId="77777777" w:rsidTr="006652E4">
        <w:tc>
          <w:tcPr>
            <w:tcW w:w="4135" w:type="dxa"/>
            <w:tcBorders>
              <w:top w:val="single" w:sz="4" w:space="0" w:color="auto"/>
              <w:left w:val="single" w:sz="4" w:space="0" w:color="auto"/>
              <w:bottom w:val="single" w:sz="4" w:space="0" w:color="auto"/>
              <w:right w:val="single" w:sz="4" w:space="0" w:color="auto"/>
            </w:tcBorders>
            <w:hideMark/>
          </w:tcPr>
          <w:p w14:paraId="39EC1E2A" w14:textId="77777777" w:rsidR="007677A5" w:rsidRPr="00E87295" w:rsidRDefault="007677A5">
            <w:pPr>
              <w:ind w:left="100"/>
              <w:jc w:val="both"/>
              <w:rPr>
                <w:sz w:val="22"/>
                <w:szCs w:val="22"/>
                <w:lang w:val="sr-Latn-RS"/>
              </w:rPr>
            </w:pPr>
            <w:r w:rsidRPr="00E87295">
              <w:rPr>
                <w:sz w:val="22"/>
                <w:szCs w:val="22"/>
                <w:lang w:val="sr-Latn-RS"/>
              </w:rPr>
              <w:t>Opšti poremećaji i reakcije na mjestu primjene</w:t>
            </w:r>
          </w:p>
        </w:tc>
        <w:tc>
          <w:tcPr>
            <w:tcW w:w="1658" w:type="dxa"/>
            <w:tcBorders>
              <w:top w:val="single" w:sz="4" w:space="0" w:color="auto"/>
              <w:left w:val="single" w:sz="4" w:space="0" w:color="auto"/>
              <w:bottom w:val="single" w:sz="4" w:space="0" w:color="auto"/>
              <w:right w:val="single" w:sz="4" w:space="0" w:color="auto"/>
            </w:tcBorders>
            <w:hideMark/>
          </w:tcPr>
          <w:p w14:paraId="324DF585" w14:textId="77777777" w:rsidR="007677A5" w:rsidRPr="00E87295" w:rsidRDefault="007677A5">
            <w:pPr>
              <w:spacing w:before="60"/>
              <w:jc w:val="both"/>
              <w:rPr>
                <w:sz w:val="22"/>
                <w:szCs w:val="22"/>
                <w:lang w:val="sr-Latn-RS"/>
              </w:rPr>
            </w:pPr>
            <w:r w:rsidRPr="00E87295">
              <w:rPr>
                <w:sz w:val="22"/>
                <w:szCs w:val="22"/>
                <w:lang w:val="sr-Latn-RS"/>
              </w:rPr>
              <w:t xml:space="preserve">često </w:t>
            </w:r>
          </w:p>
        </w:tc>
        <w:tc>
          <w:tcPr>
            <w:tcW w:w="3262" w:type="dxa"/>
            <w:tcBorders>
              <w:top w:val="single" w:sz="4" w:space="0" w:color="auto"/>
              <w:left w:val="single" w:sz="4" w:space="0" w:color="auto"/>
              <w:bottom w:val="single" w:sz="4" w:space="0" w:color="auto"/>
              <w:right w:val="single" w:sz="4" w:space="0" w:color="auto"/>
            </w:tcBorders>
          </w:tcPr>
          <w:p w14:paraId="73D0B4FF" w14:textId="3C3A9060" w:rsidR="007677A5" w:rsidRPr="00E87295" w:rsidRDefault="00331DE3">
            <w:pPr>
              <w:ind w:left="100"/>
              <w:jc w:val="both"/>
              <w:rPr>
                <w:sz w:val="22"/>
                <w:szCs w:val="22"/>
                <w:lang w:val="sr-Latn-RS"/>
              </w:rPr>
            </w:pPr>
            <w:r w:rsidRPr="00E87295">
              <w:rPr>
                <w:sz w:val="22"/>
                <w:szCs w:val="22"/>
                <w:lang w:val="sr-Latn-RS"/>
              </w:rPr>
              <w:t xml:space="preserve">reakcije </w:t>
            </w:r>
            <w:r w:rsidR="007677A5" w:rsidRPr="00E87295">
              <w:rPr>
                <w:sz w:val="22"/>
                <w:szCs w:val="22"/>
                <w:lang w:val="sr-Latn-RS"/>
              </w:rPr>
              <w:t xml:space="preserve">na mjestu primjene injekcije </w:t>
            </w:r>
          </w:p>
        </w:tc>
      </w:tr>
      <w:tr w:rsidR="00364608" w:rsidRPr="00E87295" w14:paraId="0CEB5E77" w14:textId="77777777" w:rsidTr="00317932">
        <w:tc>
          <w:tcPr>
            <w:tcW w:w="4135" w:type="dxa"/>
            <w:vMerge w:val="restart"/>
            <w:tcBorders>
              <w:top w:val="single" w:sz="4" w:space="0" w:color="auto"/>
              <w:left w:val="single" w:sz="4" w:space="0" w:color="auto"/>
              <w:right w:val="single" w:sz="4" w:space="0" w:color="auto"/>
            </w:tcBorders>
            <w:vAlign w:val="center"/>
          </w:tcPr>
          <w:p w14:paraId="27826B96" w14:textId="50B303C5" w:rsidR="00364608" w:rsidRPr="00E87295" w:rsidRDefault="00364608">
            <w:pPr>
              <w:ind w:left="100"/>
              <w:jc w:val="both"/>
              <w:rPr>
                <w:sz w:val="22"/>
                <w:szCs w:val="22"/>
                <w:lang w:val="sr-Latn-RS"/>
              </w:rPr>
            </w:pPr>
            <w:r w:rsidRPr="00E87295">
              <w:rPr>
                <w:sz w:val="22"/>
                <w:szCs w:val="22"/>
                <w:lang w:val="sr-Latn-RS"/>
              </w:rPr>
              <w:t>Ispitivanja</w:t>
            </w:r>
          </w:p>
        </w:tc>
        <w:tc>
          <w:tcPr>
            <w:tcW w:w="1658" w:type="dxa"/>
            <w:tcBorders>
              <w:top w:val="single" w:sz="4" w:space="0" w:color="auto"/>
              <w:left w:val="single" w:sz="4" w:space="0" w:color="auto"/>
              <w:bottom w:val="single" w:sz="4" w:space="0" w:color="auto"/>
              <w:right w:val="single" w:sz="4" w:space="0" w:color="auto"/>
            </w:tcBorders>
          </w:tcPr>
          <w:p w14:paraId="51661BA8" w14:textId="7EA46FBC" w:rsidR="00364608" w:rsidRPr="00E87295" w:rsidRDefault="00364608">
            <w:pPr>
              <w:spacing w:before="60"/>
              <w:jc w:val="both"/>
              <w:rPr>
                <w:sz w:val="22"/>
                <w:szCs w:val="22"/>
                <w:lang w:val="sr-Latn-RS"/>
              </w:rPr>
            </w:pPr>
            <w:r w:rsidRPr="00E87295">
              <w:rPr>
                <w:sz w:val="22"/>
                <w:szCs w:val="22"/>
                <w:lang w:val="sr-Latn-RS"/>
              </w:rPr>
              <w:t>često</w:t>
            </w:r>
          </w:p>
        </w:tc>
        <w:tc>
          <w:tcPr>
            <w:tcW w:w="3262" w:type="dxa"/>
            <w:tcBorders>
              <w:top w:val="single" w:sz="4" w:space="0" w:color="auto"/>
              <w:left w:val="single" w:sz="4" w:space="0" w:color="auto"/>
              <w:bottom w:val="single" w:sz="4" w:space="0" w:color="auto"/>
              <w:right w:val="single" w:sz="4" w:space="0" w:color="auto"/>
            </w:tcBorders>
          </w:tcPr>
          <w:p w14:paraId="553FD56B" w14:textId="055F70F8" w:rsidR="00364608" w:rsidRPr="00E87295" w:rsidRDefault="00364608">
            <w:pPr>
              <w:ind w:left="100"/>
              <w:jc w:val="both"/>
              <w:rPr>
                <w:sz w:val="22"/>
                <w:szCs w:val="22"/>
                <w:lang w:val="sr-Latn-RS"/>
              </w:rPr>
            </w:pPr>
            <w:r w:rsidRPr="00E87295">
              <w:rPr>
                <w:rStyle w:val="BodytextItalic"/>
                <w:i w:val="0"/>
                <w:iCs w:val="0"/>
                <w:sz w:val="22"/>
                <w:szCs w:val="22"/>
                <w:lang w:val="sr-Latn-RS"/>
              </w:rPr>
              <w:t>povišeni nivoi transaminaza</w:t>
            </w:r>
          </w:p>
        </w:tc>
      </w:tr>
      <w:tr w:rsidR="00364608" w:rsidRPr="00E87295" w14:paraId="3100EAC1" w14:textId="77777777" w:rsidTr="00317932">
        <w:tc>
          <w:tcPr>
            <w:tcW w:w="4135" w:type="dxa"/>
            <w:vMerge/>
            <w:tcBorders>
              <w:left w:val="single" w:sz="4" w:space="0" w:color="auto"/>
              <w:bottom w:val="single" w:sz="4" w:space="0" w:color="auto"/>
              <w:right w:val="single" w:sz="4" w:space="0" w:color="auto"/>
            </w:tcBorders>
            <w:vAlign w:val="center"/>
          </w:tcPr>
          <w:p w14:paraId="74B12703" w14:textId="77777777" w:rsidR="00364608" w:rsidRPr="00E87295" w:rsidRDefault="00364608">
            <w:pPr>
              <w:ind w:left="100"/>
              <w:jc w:val="both"/>
              <w:rPr>
                <w:sz w:val="22"/>
                <w:szCs w:val="22"/>
                <w:lang w:val="sr-Latn-RS"/>
              </w:rPr>
            </w:pPr>
          </w:p>
        </w:tc>
        <w:tc>
          <w:tcPr>
            <w:tcW w:w="1658" w:type="dxa"/>
            <w:tcBorders>
              <w:top w:val="single" w:sz="4" w:space="0" w:color="auto"/>
              <w:left w:val="single" w:sz="4" w:space="0" w:color="auto"/>
              <w:bottom w:val="single" w:sz="4" w:space="0" w:color="auto"/>
              <w:right w:val="single" w:sz="4" w:space="0" w:color="auto"/>
            </w:tcBorders>
          </w:tcPr>
          <w:p w14:paraId="4B329A19" w14:textId="397D7C56" w:rsidR="00364608" w:rsidRPr="00E87295" w:rsidRDefault="00364608">
            <w:pPr>
              <w:spacing w:before="60"/>
              <w:jc w:val="both"/>
              <w:rPr>
                <w:sz w:val="22"/>
                <w:szCs w:val="22"/>
                <w:lang w:val="sr-Latn-RS"/>
              </w:rPr>
            </w:pPr>
            <w:r w:rsidRPr="00E87295">
              <w:rPr>
                <w:sz w:val="22"/>
                <w:szCs w:val="22"/>
                <w:lang w:val="sr-Latn-RS"/>
              </w:rPr>
              <w:t>povremeno</w:t>
            </w:r>
          </w:p>
        </w:tc>
        <w:tc>
          <w:tcPr>
            <w:tcW w:w="3262" w:type="dxa"/>
            <w:tcBorders>
              <w:top w:val="single" w:sz="4" w:space="0" w:color="auto"/>
              <w:left w:val="single" w:sz="4" w:space="0" w:color="auto"/>
              <w:bottom w:val="single" w:sz="4" w:space="0" w:color="auto"/>
              <w:right w:val="single" w:sz="4" w:space="0" w:color="auto"/>
            </w:tcBorders>
          </w:tcPr>
          <w:p w14:paraId="6F4E7C3C" w14:textId="1E17C975" w:rsidR="00364608" w:rsidRPr="00E87295" w:rsidRDefault="00364608">
            <w:pPr>
              <w:ind w:left="100"/>
              <w:jc w:val="both"/>
              <w:rPr>
                <w:sz w:val="22"/>
                <w:szCs w:val="22"/>
                <w:lang w:val="sr-Latn-RS"/>
              </w:rPr>
            </w:pPr>
            <w:r w:rsidRPr="00E87295">
              <w:rPr>
                <w:rStyle w:val="BodytextItalic"/>
                <w:i w:val="0"/>
                <w:iCs w:val="0"/>
                <w:sz w:val="22"/>
                <w:szCs w:val="22"/>
                <w:lang w:val="sr-Latn-RS"/>
              </w:rPr>
              <w:t>sniženi broj neutrofila</w:t>
            </w:r>
          </w:p>
        </w:tc>
      </w:tr>
    </w:tbl>
    <w:p w14:paraId="3244FAD8" w14:textId="77777777" w:rsidR="007677A5" w:rsidRPr="00E87295" w:rsidRDefault="007677A5">
      <w:pPr>
        <w:tabs>
          <w:tab w:val="left" w:pos="1134"/>
          <w:tab w:val="left" w:pos="1701"/>
        </w:tabs>
        <w:spacing w:afterLines="80" w:after="192"/>
        <w:jc w:val="both"/>
        <w:rPr>
          <w:sz w:val="22"/>
          <w:szCs w:val="22"/>
          <w:u w:val="single"/>
          <w:lang w:val="sr-Latn-RS"/>
        </w:rPr>
      </w:pPr>
    </w:p>
    <w:p w14:paraId="1B57FE2C" w14:textId="77777777" w:rsidR="007677A5" w:rsidRPr="00E87295" w:rsidRDefault="007677A5">
      <w:pPr>
        <w:tabs>
          <w:tab w:val="left" w:pos="1134"/>
          <w:tab w:val="left" w:pos="1701"/>
        </w:tabs>
        <w:spacing w:afterLines="80" w:after="192"/>
        <w:jc w:val="both"/>
        <w:rPr>
          <w:sz w:val="22"/>
          <w:szCs w:val="22"/>
          <w:lang w:val="sr-Latn-RS"/>
        </w:rPr>
      </w:pPr>
      <w:r w:rsidRPr="00E87295">
        <w:rPr>
          <w:sz w:val="22"/>
          <w:szCs w:val="22"/>
          <w:u w:val="single"/>
          <w:lang w:val="sr-Latn-RS"/>
        </w:rPr>
        <w:t>Opis odabranih neželjenih reakcija</w:t>
      </w:r>
    </w:p>
    <w:p w14:paraId="0B18A8E3" w14:textId="31B26891" w:rsidR="006652E4" w:rsidRPr="00E87295" w:rsidRDefault="006652E4">
      <w:pPr>
        <w:pStyle w:val="Bodytext30"/>
        <w:shd w:val="clear" w:color="auto" w:fill="auto"/>
        <w:spacing w:before="0" w:line="240" w:lineRule="auto"/>
        <w:ind w:firstLine="0"/>
        <w:jc w:val="both"/>
        <w:rPr>
          <w:i/>
          <w:sz w:val="22"/>
          <w:szCs w:val="22"/>
          <w:lang w:val="sr-Latn-RS"/>
        </w:rPr>
      </w:pPr>
      <w:r w:rsidRPr="00E87295">
        <w:rPr>
          <w:i/>
          <w:sz w:val="22"/>
          <w:szCs w:val="22"/>
          <w:lang w:val="sr-Latn-RS"/>
        </w:rPr>
        <w:t>Povišene vr</w:t>
      </w:r>
      <w:r w:rsidR="009F5282" w:rsidRPr="00E87295">
        <w:rPr>
          <w:i/>
          <w:sz w:val="22"/>
          <w:szCs w:val="22"/>
          <w:lang w:val="sr-Latn-RS"/>
        </w:rPr>
        <w:t>ij</w:t>
      </w:r>
      <w:r w:rsidRPr="00E87295">
        <w:rPr>
          <w:i/>
          <w:sz w:val="22"/>
          <w:szCs w:val="22"/>
          <w:lang w:val="sr-Latn-RS"/>
        </w:rPr>
        <w:t xml:space="preserve">ednosti transaminaza </w:t>
      </w:r>
    </w:p>
    <w:p w14:paraId="05214886" w14:textId="350FDC3D" w:rsidR="00364608" w:rsidRPr="00E87295" w:rsidRDefault="00364608">
      <w:pPr>
        <w:autoSpaceDE w:val="0"/>
        <w:autoSpaceDN w:val="0"/>
        <w:jc w:val="both"/>
        <w:rPr>
          <w:sz w:val="22"/>
          <w:szCs w:val="22"/>
          <w:lang w:val="sr-Latn-RS" w:eastAsia="en-CA"/>
        </w:rPr>
      </w:pPr>
      <w:bookmarkStart w:id="0" w:name="_Hlk46392625"/>
      <w:r w:rsidRPr="00E87295">
        <w:rPr>
          <w:sz w:val="22"/>
          <w:szCs w:val="22"/>
          <w:lang w:val="sr-Latn-RS" w:eastAsia="en-CA"/>
        </w:rPr>
        <w:t>U dva klinička ispitivanja</w:t>
      </w:r>
      <w:r w:rsidRPr="00E87295">
        <w:rPr>
          <w:sz w:val="22"/>
          <w:szCs w:val="22"/>
          <w:lang w:val="sr-Latn-RS"/>
        </w:rPr>
        <w:t xml:space="preserve"> faze III u kojima je ispitivan psorijatični artritis, tokom placebom kontrolisanog perioda, neželjeni događaji povišen</w:t>
      </w:r>
      <w:r w:rsidR="005D0368" w:rsidRPr="00E87295">
        <w:rPr>
          <w:sz w:val="22"/>
          <w:szCs w:val="22"/>
          <w:lang w:val="sr-Latn-RS"/>
        </w:rPr>
        <w:t>e</w:t>
      </w:r>
      <w:r w:rsidRPr="00E87295">
        <w:rPr>
          <w:sz w:val="22"/>
          <w:szCs w:val="22"/>
          <w:lang w:val="sr-Latn-RS"/>
        </w:rPr>
        <w:t xml:space="preserve"> vr</w:t>
      </w:r>
      <w:r w:rsidR="00B94F3E" w:rsidRPr="00E87295">
        <w:rPr>
          <w:sz w:val="22"/>
          <w:szCs w:val="22"/>
          <w:lang w:val="sr-Latn-RS"/>
        </w:rPr>
        <w:t>ij</w:t>
      </w:r>
      <w:r w:rsidRPr="00E87295">
        <w:rPr>
          <w:sz w:val="22"/>
          <w:szCs w:val="22"/>
          <w:lang w:val="sr-Latn-RS"/>
        </w:rPr>
        <w:t>ednosti transaminaza (uključujući povišenu vr</w:t>
      </w:r>
      <w:r w:rsidR="00B94F3E" w:rsidRPr="00E87295">
        <w:rPr>
          <w:sz w:val="22"/>
          <w:szCs w:val="22"/>
          <w:lang w:val="sr-Latn-RS"/>
        </w:rPr>
        <w:t>ij</w:t>
      </w:r>
      <w:r w:rsidRPr="00E87295">
        <w:rPr>
          <w:sz w:val="22"/>
          <w:szCs w:val="22"/>
          <w:lang w:val="sr-Latn-RS"/>
        </w:rPr>
        <w:t>ednost ALT i AST, povišene vr</w:t>
      </w:r>
      <w:r w:rsidR="00B94F3E" w:rsidRPr="00E87295">
        <w:rPr>
          <w:sz w:val="22"/>
          <w:szCs w:val="22"/>
          <w:lang w:val="sr-Latn-RS"/>
        </w:rPr>
        <w:t>ij</w:t>
      </w:r>
      <w:r w:rsidRPr="00E87295">
        <w:rPr>
          <w:sz w:val="22"/>
          <w:szCs w:val="22"/>
          <w:lang w:val="sr-Latn-RS"/>
        </w:rPr>
        <w:t>ednosti enzima jetre, povišene vr</w:t>
      </w:r>
      <w:r w:rsidR="00B94F3E" w:rsidRPr="00E87295">
        <w:rPr>
          <w:sz w:val="22"/>
          <w:szCs w:val="22"/>
          <w:lang w:val="sr-Latn-RS"/>
        </w:rPr>
        <w:t>ij</w:t>
      </w:r>
      <w:r w:rsidRPr="00E87295">
        <w:rPr>
          <w:sz w:val="22"/>
          <w:szCs w:val="22"/>
          <w:lang w:val="sr-Latn-RS"/>
        </w:rPr>
        <w:t>ednosti transaminaza, abnormalni testovi funkcije jetre, hipertransaminazemija)</w:t>
      </w:r>
      <w:r w:rsidRPr="00E87295">
        <w:rPr>
          <w:sz w:val="22"/>
          <w:szCs w:val="22"/>
          <w:lang w:val="sr-Latn-RS" w:eastAsia="en-CA"/>
        </w:rPr>
        <w:t xml:space="preserve"> bile su češće zab</w:t>
      </w:r>
      <w:r w:rsidR="00B94F3E" w:rsidRPr="00E87295">
        <w:rPr>
          <w:sz w:val="22"/>
          <w:szCs w:val="22"/>
          <w:lang w:val="sr-Latn-RS" w:eastAsia="en-CA"/>
        </w:rPr>
        <w:t>ilj</w:t>
      </w:r>
      <w:r w:rsidRPr="00E87295">
        <w:rPr>
          <w:sz w:val="22"/>
          <w:szCs w:val="22"/>
          <w:lang w:val="sr-Latn-RS" w:eastAsia="en-CA"/>
        </w:rPr>
        <w:t xml:space="preserve">eženi u grupama koje su primale </w:t>
      </w:r>
      <w:r w:rsidR="005D0368" w:rsidRPr="00E87295">
        <w:rPr>
          <w:sz w:val="22"/>
          <w:szCs w:val="22"/>
          <w:lang w:val="sr-Latn-RS" w:eastAsia="en-CA"/>
        </w:rPr>
        <w:t>g</w:t>
      </w:r>
      <w:r w:rsidR="00345CFA" w:rsidRPr="00E87295">
        <w:rPr>
          <w:sz w:val="22"/>
          <w:szCs w:val="22"/>
          <w:lang w:val="sr-Latn-RS" w:eastAsia="en-CA"/>
        </w:rPr>
        <w:t>uselkumab</w:t>
      </w:r>
      <w:r w:rsidRPr="00E87295">
        <w:rPr>
          <w:sz w:val="22"/>
          <w:szCs w:val="22"/>
          <w:lang w:val="sr-Latn-RS" w:eastAsia="en-CA"/>
        </w:rPr>
        <w:t xml:space="preserve"> (</w:t>
      </w:r>
      <w:r w:rsidRPr="00E87295">
        <w:rPr>
          <w:sz w:val="22"/>
          <w:szCs w:val="22"/>
          <w:lang w:val="sr-Latn-RS"/>
        </w:rPr>
        <w:t>8,6% u grupi koja je l</w:t>
      </w:r>
      <w:r w:rsidR="00B94F3E" w:rsidRPr="00E87295">
        <w:rPr>
          <w:sz w:val="22"/>
          <w:szCs w:val="22"/>
          <w:lang w:val="sr-Latn-RS"/>
        </w:rPr>
        <w:t>ij</w:t>
      </w:r>
      <w:r w:rsidRPr="00E87295">
        <w:rPr>
          <w:sz w:val="22"/>
          <w:szCs w:val="22"/>
          <w:lang w:val="sr-Latn-RS"/>
        </w:rPr>
        <w:t>ek primala na 4 ned</w:t>
      </w:r>
      <w:r w:rsidR="00B94F3E" w:rsidRPr="00E87295">
        <w:rPr>
          <w:sz w:val="22"/>
          <w:szCs w:val="22"/>
          <w:lang w:val="sr-Latn-RS"/>
        </w:rPr>
        <w:t>j</w:t>
      </w:r>
      <w:r w:rsidRPr="00E87295">
        <w:rPr>
          <w:sz w:val="22"/>
          <w:szCs w:val="22"/>
          <w:lang w:val="sr-Latn-RS"/>
        </w:rPr>
        <w:t>elje i 8,3% u grupi koja je l</w:t>
      </w:r>
      <w:r w:rsidR="00B94F3E" w:rsidRPr="00E87295">
        <w:rPr>
          <w:sz w:val="22"/>
          <w:szCs w:val="22"/>
          <w:lang w:val="sr-Latn-RS"/>
        </w:rPr>
        <w:t>ij</w:t>
      </w:r>
      <w:r w:rsidRPr="00E87295">
        <w:rPr>
          <w:sz w:val="22"/>
          <w:szCs w:val="22"/>
          <w:lang w:val="sr-Latn-RS"/>
        </w:rPr>
        <w:t>ek primala na 8 ned</w:t>
      </w:r>
      <w:r w:rsidR="00B94F3E" w:rsidRPr="00E87295">
        <w:rPr>
          <w:sz w:val="22"/>
          <w:szCs w:val="22"/>
          <w:lang w:val="sr-Latn-RS"/>
        </w:rPr>
        <w:t>j</w:t>
      </w:r>
      <w:r w:rsidRPr="00E87295">
        <w:rPr>
          <w:sz w:val="22"/>
          <w:szCs w:val="22"/>
          <w:lang w:val="sr-Latn-RS"/>
        </w:rPr>
        <w:t>elja</w:t>
      </w:r>
      <w:r w:rsidRPr="00E87295">
        <w:rPr>
          <w:sz w:val="22"/>
          <w:szCs w:val="22"/>
          <w:lang w:val="sr-Latn-RS" w:eastAsia="en-CA"/>
        </w:rPr>
        <w:t>) nego u grupi koja je primala placebo (4,6%). Tokom 1 godine, neželjene događaje povišenih vr</w:t>
      </w:r>
      <w:r w:rsidR="00B94F3E" w:rsidRPr="00E87295">
        <w:rPr>
          <w:sz w:val="22"/>
          <w:szCs w:val="22"/>
          <w:lang w:val="sr-Latn-RS" w:eastAsia="en-CA"/>
        </w:rPr>
        <w:t>ij</w:t>
      </w:r>
      <w:r w:rsidRPr="00E87295">
        <w:rPr>
          <w:sz w:val="22"/>
          <w:szCs w:val="22"/>
          <w:lang w:val="sr-Latn-RS" w:eastAsia="en-CA"/>
        </w:rPr>
        <w:t xml:space="preserve">ednosti transaminaza (kako su prethodno opisani) prijavilo je 12,9% pacijenata </w:t>
      </w:r>
      <w:r w:rsidRPr="00E87295">
        <w:rPr>
          <w:sz w:val="22"/>
          <w:szCs w:val="22"/>
          <w:lang w:val="sr-Latn-RS"/>
        </w:rPr>
        <w:t>u grupi koja je l</w:t>
      </w:r>
      <w:r w:rsidR="00B94F3E" w:rsidRPr="00E87295">
        <w:rPr>
          <w:sz w:val="22"/>
          <w:szCs w:val="22"/>
          <w:lang w:val="sr-Latn-RS"/>
        </w:rPr>
        <w:t>ij</w:t>
      </w:r>
      <w:r w:rsidRPr="00E87295">
        <w:rPr>
          <w:sz w:val="22"/>
          <w:szCs w:val="22"/>
          <w:lang w:val="sr-Latn-RS"/>
        </w:rPr>
        <w:t>ek primala na 4 ned</w:t>
      </w:r>
      <w:r w:rsidR="00B94F3E" w:rsidRPr="00E87295">
        <w:rPr>
          <w:sz w:val="22"/>
          <w:szCs w:val="22"/>
          <w:lang w:val="sr-Latn-RS"/>
        </w:rPr>
        <w:t>j</w:t>
      </w:r>
      <w:r w:rsidRPr="00E87295">
        <w:rPr>
          <w:sz w:val="22"/>
          <w:szCs w:val="22"/>
          <w:lang w:val="sr-Latn-RS"/>
        </w:rPr>
        <w:t>elje</w:t>
      </w:r>
      <w:r w:rsidRPr="00E87295">
        <w:rPr>
          <w:sz w:val="22"/>
          <w:szCs w:val="22"/>
          <w:lang w:val="sr-Latn-RS" w:eastAsia="en-CA"/>
        </w:rPr>
        <w:t xml:space="preserve"> i 11,7% pacijenata u </w:t>
      </w:r>
      <w:r w:rsidRPr="00E87295">
        <w:rPr>
          <w:sz w:val="22"/>
          <w:szCs w:val="22"/>
          <w:lang w:val="sr-Latn-RS"/>
        </w:rPr>
        <w:t>grupi koja je l</w:t>
      </w:r>
      <w:r w:rsidR="00B94F3E" w:rsidRPr="00E87295">
        <w:rPr>
          <w:sz w:val="22"/>
          <w:szCs w:val="22"/>
          <w:lang w:val="sr-Latn-RS"/>
        </w:rPr>
        <w:t>ij</w:t>
      </w:r>
      <w:r w:rsidRPr="00E87295">
        <w:rPr>
          <w:sz w:val="22"/>
          <w:szCs w:val="22"/>
          <w:lang w:val="sr-Latn-RS"/>
        </w:rPr>
        <w:t>ek primala na 8 ned</w:t>
      </w:r>
      <w:r w:rsidR="00B94F3E" w:rsidRPr="00E87295">
        <w:rPr>
          <w:sz w:val="22"/>
          <w:szCs w:val="22"/>
          <w:lang w:val="sr-Latn-RS"/>
        </w:rPr>
        <w:t>j</w:t>
      </w:r>
      <w:r w:rsidRPr="00E87295">
        <w:rPr>
          <w:sz w:val="22"/>
          <w:szCs w:val="22"/>
          <w:lang w:val="sr-Latn-RS"/>
        </w:rPr>
        <w:t>elja</w:t>
      </w:r>
      <w:r w:rsidRPr="00E87295">
        <w:rPr>
          <w:sz w:val="22"/>
          <w:szCs w:val="22"/>
          <w:lang w:val="sr-Latn-RS" w:eastAsia="en-CA"/>
        </w:rPr>
        <w:t>.</w:t>
      </w:r>
    </w:p>
    <w:bookmarkEnd w:id="0"/>
    <w:p w14:paraId="2ADA27B1" w14:textId="77777777" w:rsidR="006652E4" w:rsidRPr="00E87295" w:rsidRDefault="006652E4">
      <w:pPr>
        <w:autoSpaceDE w:val="0"/>
        <w:autoSpaceDN w:val="0"/>
        <w:jc w:val="both"/>
        <w:rPr>
          <w:sz w:val="22"/>
          <w:szCs w:val="22"/>
          <w:lang w:val="sr-Latn-RS" w:eastAsia="en-CA"/>
        </w:rPr>
      </w:pPr>
    </w:p>
    <w:p w14:paraId="0E318440" w14:textId="29612E42" w:rsidR="006652E4" w:rsidRPr="00E87295" w:rsidRDefault="006652E4">
      <w:pPr>
        <w:autoSpaceDE w:val="0"/>
        <w:autoSpaceDN w:val="0"/>
        <w:jc w:val="both"/>
        <w:rPr>
          <w:sz w:val="22"/>
          <w:szCs w:val="22"/>
          <w:lang w:val="sr-Latn-RS"/>
        </w:rPr>
      </w:pPr>
      <w:r w:rsidRPr="00E87295">
        <w:rPr>
          <w:sz w:val="22"/>
          <w:szCs w:val="22"/>
          <w:lang w:val="sr-Latn-RS" w:eastAsia="en-CA"/>
        </w:rPr>
        <w:t>Na osnovu laboratorijskih proc</w:t>
      </w:r>
      <w:r w:rsidR="009F5282" w:rsidRPr="00E87295">
        <w:rPr>
          <w:sz w:val="22"/>
          <w:szCs w:val="22"/>
          <w:lang w:val="sr-Latn-RS" w:eastAsia="en-CA"/>
        </w:rPr>
        <w:t>j</w:t>
      </w:r>
      <w:r w:rsidRPr="00E87295">
        <w:rPr>
          <w:sz w:val="22"/>
          <w:szCs w:val="22"/>
          <w:lang w:val="sr-Latn-RS" w:eastAsia="en-CA"/>
        </w:rPr>
        <w:t>ena, najveći broj ovih porasta vr</w:t>
      </w:r>
      <w:r w:rsidR="009F5282" w:rsidRPr="00E87295">
        <w:rPr>
          <w:sz w:val="22"/>
          <w:szCs w:val="22"/>
          <w:lang w:val="sr-Latn-RS" w:eastAsia="en-CA"/>
        </w:rPr>
        <w:t>ij</w:t>
      </w:r>
      <w:r w:rsidRPr="00E87295">
        <w:rPr>
          <w:sz w:val="22"/>
          <w:szCs w:val="22"/>
          <w:lang w:val="sr-Latn-RS" w:eastAsia="en-CA"/>
        </w:rPr>
        <w:t xml:space="preserve">ednosti </w:t>
      </w:r>
      <w:r w:rsidRPr="00E87295">
        <w:rPr>
          <w:sz w:val="22"/>
          <w:szCs w:val="22"/>
          <w:lang w:val="sr-Latn-RS"/>
        </w:rPr>
        <w:t xml:space="preserve">transaminaza </w:t>
      </w:r>
      <w:r w:rsidR="00364608" w:rsidRPr="00E87295">
        <w:rPr>
          <w:sz w:val="22"/>
          <w:szCs w:val="22"/>
          <w:lang w:val="sr-Latn-RS"/>
        </w:rPr>
        <w:t xml:space="preserve">(ALT i AST) </w:t>
      </w:r>
      <w:r w:rsidRPr="00E87295">
        <w:rPr>
          <w:sz w:val="22"/>
          <w:szCs w:val="22"/>
          <w:lang w:val="sr-Latn-RS"/>
        </w:rPr>
        <w:t>bio je ≤ 3 x gornja granica normale (GGN). Skok transaminaza rastao je sa &gt; 3 do ≤ 5 x GGN ali su porasti od &gt; 5 x GGN bili r</w:t>
      </w:r>
      <w:r w:rsidR="009F5282" w:rsidRPr="00E87295">
        <w:rPr>
          <w:sz w:val="22"/>
          <w:szCs w:val="22"/>
          <w:lang w:val="sr-Latn-RS"/>
        </w:rPr>
        <w:t>ij</w:t>
      </w:r>
      <w:r w:rsidRPr="00E87295">
        <w:rPr>
          <w:sz w:val="22"/>
          <w:szCs w:val="22"/>
          <w:lang w:val="sr-Latn-RS"/>
        </w:rPr>
        <w:t xml:space="preserve">etki, i češći u grupi koja je </w:t>
      </w:r>
      <w:r w:rsidR="00FD7763" w:rsidRPr="00E87295">
        <w:rPr>
          <w:sz w:val="22"/>
          <w:szCs w:val="22"/>
          <w:lang w:val="sr-Latn-RS"/>
        </w:rPr>
        <w:t>g</w:t>
      </w:r>
      <w:r w:rsidR="00345CFA" w:rsidRPr="00E87295">
        <w:rPr>
          <w:sz w:val="22"/>
          <w:szCs w:val="22"/>
          <w:lang w:val="sr-Latn-RS"/>
        </w:rPr>
        <w:t>uselkumab</w:t>
      </w:r>
      <w:r w:rsidRPr="00E87295">
        <w:rPr>
          <w:sz w:val="22"/>
          <w:szCs w:val="22"/>
          <w:lang w:val="sr-Latn-RS"/>
        </w:rPr>
        <w:t xml:space="preserve"> primala na svake 4 ned</w:t>
      </w:r>
      <w:r w:rsidR="009F5282" w:rsidRPr="00E87295">
        <w:rPr>
          <w:sz w:val="22"/>
          <w:szCs w:val="22"/>
          <w:lang w:val="sr-Latn-RS"/>
        </w:rPr>
        <w:t>j</w:t>
      </w:r>
      <w:r w:rsidRPr="00E87295">
        <w:rPr>
          <w:sz w:val="22"/>
          <w:szCs w:val="22"/>
          <w:lang w:val="sr-Latn-RS"/>
        </w:rPr>
        <w:t xml:space="preserve">elje nego kod onih koji su </w:t>
      </w:r>
      <w:r w:rsidR="00FD7763" w:rsidRPr="00E87295">
        <w:rPr>
          <w:sz w:val="22"/>
          <w:szCs w:val="22"/>
          <w:lang w:val="sr-Latn-RS"/>
        </w:rPr>
        <w:t>g</w:t>
      </w:r>
      <w:r w:rsidR="00345CFA" w:rsidRPr="00E87295">
        <w:rPr>
          <w:sz w:val="22"/>
          <w:szCs w:val="22"/>
          <w:lang w:val="sr-Latn-RS"/>
        </w:rPr>
        <w:t>uselkumab</w:t>
      </w:r>
      <w:r w:rsidRPr="00E87295">
        <w:rPr>
          <w:sz w:val="22"/>
          <w:szCs w:val="22"/>
          <w:lang w:val="sr-Latn-RS"/>
        </w:rPr>
        <w:t xml:space="preserve"> primali na 8 ned</w:t>
      </w:r>
      <w:r w:rsidR="009F5282" w:rsidRPr="00E87295">
        <w:rPr>
          <w:sz w:val="22"/>
          <w:szCs w:val="22"/>
          <w:lang w:val="sr-Latn-RS"/>
        </w:rPr>
        <w:t>j</w:t>
      </w:r>
      <w:r w:rsidRPr="00E87295">
        <w:rPr>
          <w:sz w:val="22"/>
          <w:szCs w:val="22"/>
          <w:lang w:val="sr-Latn-RS"/>
        </w:rPr>
        <w:t>elja (Tabela 2).</w:t>
      </w:r>
      <w:r w:rsidR="00A754C1" w:rsidRPr="00E87295">
        <w:rPr>
          <w:sz w:val="22"/>
          <w:szCs w:val="22"/>
          <w:lang w:val="sr-Latn-RS"/>
        </w:rPr>
        <w:t xml:space="preserve"> Sličan obrazac učestalosti prema ozbiljnosti i grupi koja je primala terapiju zab</w:t>
      </w:r>
      <w:r w:rsidR="00C7727A" w:rsidRPr="00E87295">
        <w:rPr>
          <w:sz w:val="22"/>
          <w:szCs w:val="22"/>
          <w:lang w:val="sr-Latn-RS"/>
        </w:rPr>
        <w:t>i</w:t>
      </w:r>
      <w:r w:rsidR="00A754C1" w:rsidRPr="00E87295">
        <w:rPr>
          <w:sz w:val="22"/>
          <w:szCs w:val="22"/>
          <w:lang w:val="sr-Latn-RS"/>
        </w:rPr>
        <w:t>l</w:t>
      </w:r>
      <w:r w:rsidR="00C7727A" w:rsidRPr="00E87295">
        <w:rPr>
          <w:sz w:val="22"/>
          <w:szCs w:val="22"/>
          <w:lang w:val="sr-Latn-RS"/>
        </w:rPr>
        <w:t>j</w:t>
      </w:r>
      <w:r w:rsidR="00A754C1" w:rsidRPr="00E87295">
        <w:rPr>
          <w:sz w:val="22"/>
          <w:szCs w:val="22"/>
          <w:lang w:val="sr-Latn-RS"/>
        </w:rPr>
        <w:t>ežen je do kraja dvogodišnjeg kliničkog ispitivanja faze III za psorijazni artritis.</w:t>
      </w:r>
    </w:p>
    <w:p w14:paraId="1CAB41A7" w14:textId="77777777" w:rsidR="006652E4" w:rsidRPr="00E87295" w:rsidRDefault="006652E4">
      <w:pPr>
        <w:pStyle w:val="Bodytext30"/>
        <w:shd w:val="clear" w:color="auto" w:fill="auto"/>
        <w:spacing w:before="0" w:line="240" w:lineRule="auto"/>
        <w:ind w:firstLine="0"/>
        <w:jc w:val="both"/>
        <w:rPr>
          <w:iCs/>
          <w:sz w:val="22"/>
          <w:szCs w:val="22"/>
          <w:lang w:val="sr-Latn-R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913"/>
        <w:gridCol w:w="1887"/>
        <w:gridCol w:w="1887"/>
        <w:gridCol w:w="1887"/>
        <w:gridCol w:w="1887"/>
      </w:tblGrid>
      <w:tr w:rsidR="006652E4" w:rsidRPr="00C929E2" w14:paraId="011840A7" w14:textId="77777777" w:rsidTr="00472BF6">
        <w:tc>
          <w:tcPr>
            <w:tcW w:w="9445" w:type="dxa"/>
            <w:gridSpan w:val="6"/>
            <w:tcBorders>
              <w:top w:val="nil"/>
              <w:left w:val="nil"/>
              <w:bottom w:val="single" w:sz="4" w:space="0" w:color="auto"/>
              <w:right w:val="nil"/>
            </w:tcBorders>
            <w:shd w:val="clear" w:color="auto" w:fill="auto"/>
          </w:tcPr>
          <w:p w14:paraId="71025232" w14:textId="2A378AC6" w:rsidR="006652E4" w:rsidRPr="00E87295" w:rsidRDefault="006652E4" w:rsidP="00E87295">
            <w:pPr>
              <w:ind w:left="1134" w:hanging="1134"/>
              <w:jc w:val="both"/>
              <w:rPr>
                <w:sz w:val="22"/>
                <w:szCs w:val="22"/>
                <w:lang w:val="sr-Latn-RS"/>
              </w:rPr>
            </w:pPr>
            <w:r w:rsidRPr="00E87295">
              <w:rPr>
                <w:b/>
                <w:bCs/>
                <w:sz w:val="22"/>
                <w:szCs w:val="22"/>
                <w:lang w:val="sr-Latn-RS"/>
              </w:rPr>
              <w:t>Tabela 2:</w:t>
            </w:r>
            <w:r w:rsidRPr="00E87295">
              <w:rPr>
                <w:b/>
                <w:bCs/>
                <w:sz w:val="22"/>
                <w:szCs w:val="22"/>
                <w:lang w:val="sr-Latn-RS"/>
              </w:rPr>
              <w:tab/>
              <w:t>Učestalost pacijenata sa porastom vr</w:t>
            </w:r>
            <w:r w:rsidR="009F5282" w:rsidRPr="00E87295">
              <w:rPr>
                <w:b/>
                <w:bCs/>
                <w:sz w:val="22"/>
                <w:szCs w:val="22"/>
                <w:lang w:val="sr-Latn-RS"/>
              </w:rPr>
              <w:t>ij</w:t>
            </w:r>
            <w:r w:rsidRPr="00E87295">
              <w:rPr>
                <w:b/>
                <w:bCs/>
                <w:sz w:val="22"/>
                <w:szCs w:val="22"/>
                <w:lang w:val="sr-Latn-RS"/>
              </w:rPr>
              <w:t>ednosti transaminaza u odnosu na početne u dv</w:t>
            </w:r>
            <w:r w:rsidR="009F5282" w:rsidRPr="00E87295">
              <w:rPr>
                <w:b/>
                <w:bCs/>
                <w:sz w:val="22"/>
                <w:szCs w:val="22"/>
                <w:lang w:val="sr-Latn-RS"/>
              </w:rPr>
              <w:t>ij</w:t>
            </w:r>
            <w:r w:rsidRPr="00E87295">
              <w:rPr>
                <w:b/>
                <w:bCs/>
                <w:sz w:val="22"/>
                <w:szCs w:val="22"/>
                <w:lang w:val="sr-Latn-RS"/>
              </w:rPr>
              <w:t xml:space="preserve">e kliničke studije faze III sa psorijatičnim artritisom  </w:t>
            </w:r>
          </w:p>
        </w:tc>
      </w:tr>
      <w:tr w:rsidR="006652E4" w:rsidRPr="00E87295" w14:paraId="2C07CA95" w14:textId="77777777" w:rsidTr="00472BF6">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14:paraId="1A74FD25" w14:textId="77777777" w:rsidR="006652E4" w:rsidRPr="00E87295" w:rsidRDefault="006652E4" w:rsidP="00E87295">
            <w:pPr>
              <w:jc w:val="both"/>
              <w:rPr>
                <w:sz w:val="22"/>
                <w:szCs w:val="22"/>
                <w:lang w:val="sr-Latn-RS"/>
              </w:rPr>
            </w:pPr>
          </w:p>
        </w:tc>
        <w:tc>
          <w:tcPr>
            <w:tcW w:w="4639" w:type="dxa"/>
            <w:gridSpan w:val="3"/>
            <w:tcBorders>
              <w:top w:val="single" w:sz="4" w:space="0" w:color="auto"/>
              <w:left w:val="single" w:sz="4" w:space="0" w:color="auto"/>
              <w:bottom w:val="single" w:sz="4" w:space="0" w:color="auto"/>
              <w:right w:val="single" w:sz="4" w:space="0" w:color="auto"/>
            </w:tcBorders>
            <w:shd w:val="clear" w:color="auto" w:fill="auto"/>
          </w:tcPr>
          <w:p w14:paraId="152029F2" w14:textId="77777777" w:rsidR="006652E4" w:rsidRPr="00E87295" w:rsidRDefault="006652E4">
            <w:pPr>
              <w:jc w:val="center"/>
              <w:rPr>
                <w:b/>
                <w:bCs/>
                <w:sz w:val="22"/>
                <w:szCs w:val="22"/>
                <w:lang w:val="sr-Latn-RS"/>
              </w:rPr>
            </w:pPr>
            <w:r w:rsidRPr="00E87295">
              <w:rPr>
                <w:b/>
                <w:bCs/>
                <w:sz w:val="22"/>
                <w:szCs w:val="22"/>
                <w:lang w:val="sr-Latn-RS"/>
              </w:rPr>
              <w:t>Tokom 24. nedelje</w:t>
            </w:r>
            <w:r w:rsidRPr="00E87295">
              <w:rPr>
                <w:b/>
                <w:bCs/>
                <w:sz w:val="22"/>
                <w:szCs w:val="22"/>
                <w:vertAlign w:val="superscript"/>
                <w:lang w:val="sr-Latn-RS"/>
              </w:rPr>
              <w:t>a</w:t>
            </w:r>
          </w:p>
        </w:tc>
        <w:tc>
          <w:tcPr>
            <w:tcW w:w="3812" w:type="dxa"/>
            <w:gridSpan w:val="2"/>
            <w:tcBorders>
              <w:top w:val="single" w:sz="4" w:space="0" w:color="auto"/>
              <w:left w:val="single" w:sz="4" w:space="0" w:color="auto"/>
              <w:bottom w:val="single" w:sz="4" w:space="0" w:color="auto"/>
              <w:right w:val="single" w:sz="4" w:space="0" w:color="auto"/>
            </w:tcBorders>
            <w:shd w:val="clear" w:color="auto" w:fill="auto"/>
          </w:tcPr>
          <w:p w14:paraId="0DF5DC0E" w14:textId="77777777" w:rsidR="006652E4" w:rsidRPr="00E87295" w:rsidRDefault="006652E4">
            <w:pPr>
              <w:jc w:val="center"/>
              <w:rPr>
                <w:b/>
                <w:bCs/>
                <w:sz w:val="22"/>
                <w:szCs w:val="22"/>
                <w:lang w:val="sr-Latn-RS"/>
              </w:rPr>
            </w:pPr>
            <w:r w:rsidRPr="00E87295">
              <w:rPr>
                <w:b/>
                <w:bCs/>
                <w:sz w:val="22"/>
                <w:szCs w:val="22"/>
                <w:lang w:val="sr-Latn-RS"/>
              </w:rPr>
              <w:t>Tokom prve godine</w:t>
            </w:r>
            <w:r w:rsidRPr="00E87295">
              <w:rPr>
                <w:b/>
                <w:bCs/>
                <w:sz w:val="22"/>
                <w:szCs w:val="22"/>
                <w:vertAlign w:val="superscript"/>
                <w:lang w:val="sr-Latn-RS"/>
              </w:rPr>
              <w:t>b</w:t>
            </w:r>
          </w:p>
        </w:tc>
      </w:tr>
      <w:tr w:rsidR="006652E4" w:rsidRPr="00C929E2" w14:paraId="648564FA" w14:textId="77777777" w:rsidTr="00472BF6">
        <w:tc>
          <w:tcPr>
            <w:tcW w:w="994" w:type="dxa"/>
            <w:vMerge/>
            <w:tcBorders>
              <w:top w:val="single" w:sz="4" w:space="0" w:color="auto"/>
              <w:left w:val="single" w:sz="4" w:space="0" w:color="auto"/>
              <w:bottom w:val="single" w:sz="4" w:space="0" w:color="auto"/>
              <w:right w:val="single" w:sz="4" w:space="0" w:color="auto"/>
            </w:tcBorders>
            <w:shd w:val="clear" w:color="auto" w:fill="auto"/>
          </w:tcPr>
          <w:p w14:paraId="41F38EE2" w14:textId="77777777" w:rsidR="006652E4" w:rsidRPr="00E87295" w:rsidRDefault="006652E4" w:rsidP="00E87295">
            <w:pPr>
              <w:jc w:val="both"/>
              <w:rPr>
                <w:sz w:val="22"/>
                <w:szCs w:val="22"/>
                <w:lang w:val="sr-Latn-RS"/>
              </w:rPr>
            </w:pP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7BD40A4" w14:textId="77777777" w:rsidR="006652E4" w:rsidRPr="00E87295" w:rsidRDefault="006652E4" w:rsidP="00E87295">
            <w:pPr>
              <w:jc w:val="both"/>
              <w:rPr>
                <w:sz w:val="22"/>
                <w:szCs w:val="22"/>
                <w:lang w:val="sr-Latn-RS"/>
              </w:rPr>
            </w:pPr>
            <w:r w:rsidRPr="00E87295">
              <w:rPr>
                <w:sz w:val="22"/>
                <w:szCs w:val="22"/>
                <w:lang w:val="sr-Latn-RS"/>
              </w:rPr>
              <w:t>Placebo</w:t>
            </w:r>
          </w:p>
          <w:p w14:paraId="7265AF23" w14:textId="225FF9B6" w:rsidR="006652E4" w:rsidRPr="00E87295" w:rsidRDefault="006652E4" w:rsidP="00E87295">
            <w:pPr>
              <w:jc w:val="both"/>
              <w:rPr>
                <w:sz w:val="22"/>
                <w:szCs w:val="22"/>
                <w:vertAlign w:val="superscript"/>
                <w:lang w:val="sr-Latn-RS"/>
              </w:rPr>
            </w:pPr>
            <w:r w:rsidRPr="00E87295">
              <w:rPr>
                <w:sz w:val="22"/>
                <w:szCs w:val="22"/>
                <w:lang w:val="sr-Latn-RS"/>
              </w:rPr>
              <w:t>N=370</w:t>
            </w:r>
            <w:r w:rsidR="00A754C1" w:rsidRPr="00E87295">
              <w:rPr>
                <w:sz w:val="22"/>
                <w:szCs w:val="22"/>
                <w:vertAlign w:val="superscript"/>
                <w:lang w:val="sr-Latn-RS"/>
              </w:rPr>
              <w:t>c</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525A5207" w14:textId="5C3C5E96" w:rsidR="00FD7763" w:rsidRPr="00E87295" w:rsidRDefault="00FD7763" w:rsidP="00E87295">
            <w:pPr>
              <w:jc w:val="both"/>
              <w:rPr>
                <w:sz w:val="22"/>
                <w:szCs w:val="22"/>
                <w:lang w:val="sr-Latn-RS"/>
              </w:rPr>
            </w:pPr>
            <w:r w:rsidRPr="00E87295">
              <w:rPr>
                <w:sz w:val="22"/>
                <w:szCs w:val="22"/>
                <w:lang w:val="sr-Latn-RS"/>
              </w:rPr>
              <w:t xml:space="preserve">guselkumab </w:t>
            </w:r>
          </w:p>
          <w:p w14:paraId="040599AF" w14:textId="77777777" w:rsidR="00FD7763" w:rsidRPr="00E87295" w:rsidRDefault="00FD7763" w:rsidP="00E87295">
            <w:pPr>
              <w:jc w:val="both"/>
              <w:rPr>
                <w:sz w:val="22"/>
                <w:szCs w:val="22"/>
                <w:lang w:val="sr-Latn-RS"/>
              </w:rPr>
            </w:pPr>
          </w:p>
          <w:p w14:paraId="1ADA3873" w14:textId="6E09AB82" w:rsidR="006652E4" w:rsidRPr="00E87295" w:rsidRDefault="006652E4" w:rsidP="00E87295">
            <w:pPr>
              <w:jc w:val="both"/>
              <w:rPr>
                <w:sz w:val="22"/>
                <w:szCs w:val="22"/>
                <w:lang w:val="sr-Latn-RS"/>
              </w:rPr>
            </w:pPr>
            <w:r w:rsidRPr="00E87295">
              <w:rPr>
                <w:sz w:val="22"/>
                <w:szCs w:val="22"/>
                <w:lang w:val="sr-Latn-RS"/>
              </w:rPr>
              <w:t>100 mg, na svakih 8 ned</w:t>
            </w:r>
            <w:r w:rsidR="009F5282" w:rsidRPr="00E87295">
              <w:rPr>
                <w:sz w:val="22"/>
                <w:szCs w:val="22"/>
                <w:lang w:val="sr-Latn-RS"/>
              </w:rPr>
              <w:t>j</w:t>
            </w:r>
            <w:r w:rsidRPr="00E87295">
              <w:rPr>
                <w:sz w:val="22"/>
                <w:szCs w:val="22"/>
                <w:lang w:val="sr-Latn-RS"/>
              </w:rPr>
              <w:t>elja</w:t>
            </w:r>
          </w:p>
          <w:p w14:paraId="40B44B39" w14:textId="56FB92EF" w:rsidR="006652E4" w:rsidRPr="00E87295" w:rsidRDefault="006652E4" w:rsidP="00E87295">
            <w:pPr>
              <w:jc w:val="both"/>
              <w:rPr>
                <w:sz w:val="22"/>
                <w:szCs w:val="22"/>
                <w:vertAlign w:val="superscript"/>
                <w:lang w:val="sr-Latn-RS"/>
              </w:rPr>
            </w:pPr>
            <w:r w:rsidRPr="00E87295">
              <w:rPr>
                <w:sz w:val="22"/>
                <w:szCs w:val="22"/>
                <w:lang w:val="sr-Latn-RS"/>
              </w:rPr>
              <w:t>N=373</w:t>
            </w:r>
            <w:r w:rsidR="00A754C1" w:rsidRPr="00E87295">
              <w:rPr>
                <w:sz w:val="22"/>
                <w:szCs w:val="22"/>
                <w:vertAlign w:val="superscript"/>
                <w:lang w:val="sr-Latn-RS"/>
              </w:rPr>
              <w:t>c</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636D6B49" w14:textId="552FD52B" w:rsidR="00FD7763" w:rsidRPr="00E87295" w:rsidRDefault="00FD7763" w:rsidP="00E87295">
            <w:pPr>
              <w:jc w:val="both"/>
              <w:rPr>
                <w:sz w:val="22"/>
                <w:szCs w:val="22"/>
                <w:lang w:val="sr-Latn-RS"/>
              </w:rPr>
            </w:pPr>
            <w:r w:rsidRPr="00E87295">
              <w:rPr>
                <w:sz w:val="22"/>
                <w:szCs w:val="22"/>
                <w:lang w:val="sr-Latn-RS"/>
              </w:rPr>
              <w:t>guselkumab</w:t>
            </w:r>
          </w:p>
          <w:p w14:paraId="28E7FCFE" w14:textId="77777777" w:rsidR="00FD7763" w:rsidRPr="00E87295" w:rsidRDefault="00FD7763" w:rsidP="00E87295">
            <w:pPr>
              <w:jc w:val="both"/>
              <w:rPr>
                <w:sz w:val="22"/>
                <w:szCs w:val="22"/>
                <w:lang w:val="sr-Latn-RS"/>
              </w:rPr>
            </w:pPr>
          </w:p>
          <w:p w14:paraId="7F0E681C" w14:textId="77B9AB27" w:rsidR="006652E4" w:rsidRPr="00E87295" w:rsidRDefault="006652E4" w:rsidP="00E87295">
            <w:pPr>
              <w:jc w:val="both"/>
              <w:rPr>
                <w:sz w:val="22"/>
                <w:szCs w:val="22"/>
                <w:lang w:val="sr-Latn-RS"/>
              </w:rPr>
            </w:pPr>
            <w:r w:rsidRPr="00E87295">
              <w:rPr>
                <w:sz w:val="22"/>
                <w:szCs w:val="22"/>
                <w:lang w:val="sr-Latn-RS"/>
              </w:rPr>
              <w:t>100 mg na svake 4 ned</w:t>
            </w:r>
            <w:r w:rsidR="009F5282" w:rsidRPr="00E87295">
              <w:rPr>
                <w:sz w:val="22"/>
                <w:szCs w:val="22"/>
                <w:lang w:val="sr-Latn-RS"/>
              </w:rPr>
              <w:t>j</w:t>
            </w:r>
            <w:r w:rsidRPr="00E87295">
              <w:rPr>
                <w:sz w:val="22"/>
                <w:szCs w:val="22"/>
                <w:lang w:val="sr-Latn-RS"/>
              </w:rPr>
              <w:t>elje</w:t>
            </w:r>
          </w:p>
          <w:p w14:paraId="66BD029D" w14:textId="0C40B02C" w:rsidR="006652E4" w:rsidRPr="00E87295" w:rsidRDefault="006652E4" w:rsidP="00E87295">
            <w:pPr>
              <w:jc w:val="both"/>
              <w:rPr>
                <w:sz w:val="22"/>
                <w:szCs w:val="22"/>
                <w:vertAlign w:val="superscript"/>
                <w:lang w:val="sr-Latn-RS"/>
              </w:rPr>
            </w:pPr>
            <w:r w:rsidRPr="00E87295">
              <w:rPr>
                <w:sz w:val="22"/>
                <w:szCs w:val="22"/>
                <w:lang w:val="sr-Latn-RS"/>
              </w:rPr>
              <w:t>N=371</w:t>
            </w:r>
            <w:r w:rsidR="00A754C1" w:rsidRPr="00E87295">
              <w:rPr>
                <w:sz w:val="22"/>
                <w:szCs w:val="22"/>
                <w:vertAlign w:val="superscript"/>
                <w:lang w:val="sr-Latn-RS"/>
              </w:rPr>
              <w:t>c</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4955A2D0" w14:textId="6F25991A" w:rsidR="00FD7763" w:rsidRPr="00E87295" w:rsidRDefault="00FD7763" w:rsidP="00E87295">
            <w:pPr>
              <w:jc w:val="both"/>
              <w:rPr>
                <w:sz w:val="22"/>
                <w:szCs w:val="22"/>
                <w:lang w:val="sr-Latn-RS"/>
              </w:rPr>
            </w:pPr>
            <w:r w:rsidRPr="00E87295">
              <w:rPr>
                <w:sz w:val="22"/>
                <w:szCs w:val="22"/>
                <w:lang w:val="sr-Latn-RS"/>
              </w:rPr>
              <w:t>guselkumab</w:t>
            </w:r>
          </w:p>
          <w:p w14:paraId="2C721251" w14:textId="77777777" w:rsidR="00FD7763" w:rsidRPr="00E87295" w:rsidRDefault="00FD7763" w:rsidP="00E87295">
            <w:pPr>
              <w:jc w:val="both"/>
              <w:rPr>
                <w:sz w:val="22"/>
                <w:szCs w:val="22"/>
                <w:lang w:val="sr-Latn-RS"/>
              </w:rPr>
            </w:pPr>
          </w:p>
          <w:p w14:paraId="14F26218" w14:textId="7553D728" w:rsidR="006652E4" w:rsidRPr="00E87295" w:rsidRDefault="006652E4" w:rsidP="00E87295">
            <w:pPr>
              <w:jc w:val="both"/>
              <w:rPr>
                <w:sz w:val="22"/>
                <w:szCs w:val="22"/>
                <w:lang w:val="sr-Latn-RS"/>
              </w:rPr>
            </w:pPr>
            <w:r w:rsidRPr="00E87295">
              <w:rPr>
                <w:sz w:val="22"/>
                <w:szCs w:val="22"/>
                <w:lang w:val="sr-Latn-RS"/>
              </w:rPr>
              <w:t>100 mg na svakih 8 ned</w:t>
            </w:r>
            <w:r w:rsidR="009F5282" w:rsidRPr="00E87295">
              <w:rPr>
                <w:sz w:val="22"/>
                <w:szCs w:val="22"/>
                <w:lang w:val="sr-Latn-RS"/>
              </w:rPr>
              <w:t>j</w:t>
            </w:r>
            <w:r w:rsidRPr="00E87295">
              <w:rPr>
                <w:sz w:val="22"/>
                <w:szCs w:val="22"/>
                <w:lang w:val="sr-Latn-RS"/>
              </w:rPr>
              <w:t xml:space="preserve">elja </w:t>
            </w:r>
          </w:p>
          <w:p w14:paraId="31A9FFAC" w14:textId="28B33731" w:rsidR="006652E4" w:rsidRPr="00E87295" w:rsidRDefault="006652E4" w:rsidP="00E87295">
            <w:pPr>
              <w:jc w:val="both"/>
              <w:rPr>
                <w:sz w:val="22"/>
                <w:szCs w:val="22"/>
                <w:vertAlign w:val="superscript"/>
                <w:lang w:val="sr-Latn-RS"/>
              </w:rPr>
            </w:pPr>
            <w:r w:rsidRPr="00E87295">
              <w:rPr>
                <w:sz w:val="22"/>
                <w:szCs w:val="22"/>
                <w:lang w:val="sr-Latn-RS"/>
              </w:rPr>
              <w:t>N=373</w:t>
            </w:r>
            <w:r w:rsidR="00A754C1" w:rsidRPr="00E87295">
              <w:rPr>
                <w:sz w:val="22"/>
                <w:szCs w:val="22"/>
                <w:vertAlign w:val="superscript"/>
                <w:lang w:val="sr-Latn-RS"/>
              </w:rPr>
              <w:t>c</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6DB4D004" w14:textId="1D31A18A" w:rsidR="00FD7763" w:rsidRPr="00E87295" w:rsidRDefault="00FD7763" w:rsidP="00E87295">
            <w:pPr>
              <w:jc w:val="both"/>
              <w:rPr>
                <w:sz w:val="22"/>
                <w:szCs w:val="22"/>
                <w:lang w:val="sr-Latn-RS"/>
              </w:rPr>
            </w:pPr>
            <w:r w:rsidRPr="00E87295">
              <w:rPr>
                <w:sz w:val="22"/>
                <w:szCs w:val="22"/>
                <w:lang w:val="sr-Latn-RS"/>
              </w:rPr>
              <w:t>guselkumab</w:t>
            </w:r>
          </w:p>
          <w:p w14:paraId="44316554" w14:textId="77777777" w:rsidR="00FD7763" w:rsidRPr="00E87295" w:rsidRDefault="00FD7763" w:rsidP="00E87295">
            <w:pPr>
              <w:jc w:val="both"/>
              <w:rPr>
                <w:sz w:val="22"/>
                <w:szCs w:val="22"/>
                <w:lang w:val="sr-Latn-RS"/>
              </w:rPr>
            </w:pPr>
          </w:p>
          <w:p w14:paraId="71FFD6F4" w14:textId="4C9D28C1" w:rsidR="006652E4" w:rsidRPr="00E87295" w:rsidRDefault="006652E4" w:rsidP="00E87295">
            <w:pPr>
              <w:jc w:val="both"/>
              <w:rPr>
                <w:sz w:val="22"/>
                <w:szCs w:val="22"/>
                <w:lang w:val="sr-Latn-RS"/>
              </w:rPr>
            </w:pPr>
            <w:r w:rsidRPr="00E87295">
              <w:rPr>
                <w:sz w:val="22"/>
                <w:szCs w:val="22"/>
                <w:lang w:val="sr-Latn-RS"/>
              </w:rPr>
              <w:t>100 mg na svake 4 ned</w:t>
            </w:r>
            <w:r w:rsidR="009F5282" w:rsidRPr="00E87295">
              <w:rPr>
                <w:sz w:val="22"/>
                <w:szCs w:val="22"/>
                <w:lang w:val="sr-Latn-RS"/>
              </w:rPr>
              <w:t>j</w:t>
            </w:r>
            <w:r w:rsidRPr="00E87295">
              <w:rPr>
                <w:sz w:val="22"/>
                <w:szCs w:val="22"/>
                <w:lang w:val="sr-Latn-RS"/>
              </w:rPr>
              <w:t>elje</w:t>
            </w:r>
          </w:p>
          <w:p w14:paraId="7EE64F84" w14:textId="7E5916E8" w:rsidR="006652E4" w:rsidRPr="00E87295" w:rsidRDefault="006652E4" w:rsidP="00E87295">
            <w:pPr>
              <w:jc w:val="both"/>
              <w:rPr>
                <w:sz w:val="22"/>
                <w:szCs w:val="22"/>
                <w:vertAlign w:val="superscript"/>
                <w:lang w:val="sr-Latn-RS"/>
              </w:rPr>
            </w:pPr>
            <w:r w:rsidRPr="00E87295">
              <w:rPr>
                <w:sz w:val="22"/>
                <w:szCs w:val="22"/>
                <w:lang w:val="sr-Latn-RS"/>
              </w:rPr>
              <w:t>N=371</w:t>
            </w:r>
            <w:r w:rsidR="00A754C1" w:rsidRPr="00E87295">
              <w:rPr>
                <w:sz w:val="22"/>
                <w:szCs w:val="22"/>
                <w:vertAlign w:val="superscript"/>
                <w:lang w:val="sr-Latn-RS"/>
              </w:rPr>
              <w:t>c</w:t>
            </w:r>
          </w:p>
        </w:tc>
      </w:tr>
      <w:tr w:rsidR="006652E4" w:rsidRPr="00E87295" w14:paraId="77FF3783" w14:textId="77777777" w:rsidTr="00472BF6">
        <w:tc>
          <w:tcPr>
            <w:tcW w:w="9445" w:type="dxa"/>
            <w:gridSpan w:val="6"/>
            <w:tcBorders>
              <w:top w:val="single" w:sz="4" w:space="0" w:color="auto"/>
              <w:left w:val="single" w:sz="4" w:space="0" w:color="auto"/>
              <w:bottom w:val="single" w:sz="4" w:space="0" w:color="auto"/>
              <w:right w:val="single" w:sz="4" w:space="0" w:color="auto"/>
            </w:tcBorders>
            <w:shd w:val="clear" w:color="auto" w:fill="auto"/>
          </w:tcPr>
          <w:p w14:paraId="6C7FA58E" w14:textId="77777777" w:rsidR="006652E4" w:rsidRPr="00E87295" w:rsidRDefault="006652E4" w:rsidP="00E87295">
            <w:pPr>
              <w:jc w:val="both"/>
              <w:rPr>
                <w:b/>
                <w:bCs/>
                <w:sz w:val="22"/>
                <w:szCs w:val="22"/>
                <w:lang w:val="sr-Latn-RS"/>
              </w:rPr>
            </w:pPr>
            <w:r w:rsidRPr="00E87295">
              <w:rPr>
                <w:b/>
                <w:bCs/>
                <w:sz w:val="22"/>
                <w:szCs w:val="22"/>
                <w:lang w:val="sr-Latn-RS"/>
              </w:rPr>
              <w:t xml:space="preserve">ALT </w:t>
            </w:r>
          </w:p>
        </w:tc>
      </w:tr>
      <w:tr w:rsidR="006652E4" w:rsidRPr="00E87295" w14:paraId="6ACA7DCB" w14:textId="77777777" w:rsidTr="00472BF6">
        <w:tc>
          <w:tcPr>
            <w:tcW w:w="994" w:type="dxa"/>
            <w:tcBorders>
              <w:top w:val="single" w:sz="4" w:space="0" w:color="auto"/>
              <w:left w:val="single" w:sz="4" w:space="0" w:color="auto"/>
              <w:bottom w:val="single" w:sz="4" w:space="0" w:color="auto"/>
              <w:right w:val="single" w:sz="4" w:space="0" w:color="auto"/>
            </w:tcBorders>
            <w:shd w:val="clear" w:color="auto" w:fill="auto"/>
          </w:tcPr>
          <w:p w14:paraId="15019168" w14:textId="77777777" w:rsidR="006652E4" w:rsidRPr="00E87295" w:rsidRDefault="006652E4" w:rsidP="00E87295">
            <w:pPr>
              <w:jc w:val="both"/>
              <w:rPr>
                <w:sz w:val="22"/>
                <w:szCs w:val="22"/>
                <w:lang w:val="sr-Latn-RS"/>
              </w:rPr>
            </w:pPr>
            <w:r w:rsidRPr="00E87295">
              <w:rPr>
                <w:sz w:val="22"/>
                <w:szCs w:val="22"/>
                <w:lang w:val="sr-Latn-RS"/>
              </w:rPr>
              <w:t>&gt;1 to ≤3 x GGN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7833FD26" w14:textId="77777777" w:rsidR="006652E4" w:rsidRPr="00E87295" w:rsidRDefault="006652E4" w:rsidP="00E87295">
            <w:pPr>
              <w:jc w:val="both"/>
              <w:rPr>
                <w:sz w:val="22"/>
                <w:szCs w:val="22"/>
                <w:lang w:val="sr-Latn-RS"/>
              </w:rPr>
            </w:pPr>
            <w:r w:rsidRPr="00E87295">
              <w:rPr>
                <w:sz w:val="22"/>
                <w:szCs w:val="22"/>
                <w:lang w:val="sr-Latn-RS"/>
              </w:rPr>
              <w:t>30,0%</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7D8387BF" w14:textId="77777777" w:rsidR="006652E4" w:rsidRPr="00E87295" w:rsidRDefault="006652E4" w:rsidP="00E87295">
            <w:pPr>
              <w:jc w:val="both"/>
              <w:rPr>
                <w:sz w:val="22"/>
                <w:szCs w:val="22"/>
                <w:lang w:val="sr-Latn-RS"/>
              </w:rPr>
            </w:pPr>
            <w:r w:rsidRPr="00E87295">
              <w:rPr>
                <w:sz w:val="22"/>
                <w:szCs w:val="22"/>
                <w:lang w:val="sr-Latn-RS"/>
              </w:rPr>
              <w:t>28,2%</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39FBAEC9" w14:textId="77777777" w:rsidR="006652E4" w:rsidRPr="00E87295" w:rsidRDefault="006652E4" w:rsidP="00E87295">
            <w:pPr>
              <w:jc w:val="both"/>
              <w:rPr>
                <w:sz w:val="22"/>
                <w:szCs w:val="22"/>
                <w:lang w:val="sr-Latn-RS"/>
              </w:rPr>
            </w:pPr>
            <w:r w:rsidRPr="00E87295">
              <w:rPr>
                <w:sz w:val="22"/>
                <w:szCs w:val="22"/>
                <w:lang w:val="sr-Latn-RS"/>
              </w:rPr>
              <w:t>35,0%</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76D2D5D" w14:textId="77777777" w:rsidR="006652E4" w:rsidRPr="00E87295" w:rsidRDefault="006652E4" w:rsidP="00E87295">
            <w:pPr>
              <w:jc w:val="both"/>
              <w:rPr>
                <w:sz w:val="22"/>
                <w:szCs w:val="22"/>
                <w:lang w:val="sr-Latn-RS"/>
              </w:rPr>
            </w:pPr>
            <w:r w:rsidRPr="00E87295">
              <w:rPr>
                <w:sz w:val="22"/>
                <w:szCs w:val="22"/>
                <w:lang w:val="sr-Latn-RS"/>
              </w:rPr>
              <w:t>33,5%</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272022F" w14:textId="77777777" w:rsidR="006652E4" w:rsidRPr="00E87295" w:rsidRDefault="006652E4" w:rsidP="00E87295">
            <w:pPr>
              <w:jc w:val="both"/>
              <w:rPr>
                <w:sz w:val="22"/>
                <w:szCs w:val="22"/>
                <w:lang w:val="sr-Latn-RS"/>
              </w:rPr>
            </w:pPr>
            <w:r w:rsidRPr="00E87295">
              <w:rPr>
                <w:sz w:val="22"/>
                <w:szCs w:val="22"/>
                <w:lang w:val="sr-Latn-RS"/>
              </w:rPr>
              <w:t>41,2%</w:t>
            </w:r>
          </w:p>
        </w:tc>
      </w:tr>
      <w:tr w:rsidR="006652E4" w:rsidRPr="00E87295" w14:paraId="47E99977" w14:textId="77777777" w:rsidTr="00472BF6">
        <w:tc>
          <w:tcPr>
            <w:tcW w:w="994" w:type="dxa"/>
            <w:tcBorders>
              <w:top w:val="single" w:sz="4" w:space="0" w:color="auto"/>
              <w:left w:val="single" w:sz="4" w:space="0" w:color="auto"/>
              <w:bottom w:val="single" w:sz="4" w:space="0" w:color="auto"/>
              <w:right w:val="single" w:sz="4" w:space="0" w:color="auto"/>
            </w:tcBorders>
            <w:shd w:val="clear" w:color="auto" w:fill="auto"/>
          </w:tcPr>
          <w:p w14:paraId="7548C1D7" w14:textId="77777777" w:rsidR="006652E4" w:rsidRPr="00E87295" w:rsidRDefault="006652E4" w:rsidP="00E87295">
            <w:pPr>
              <w:jc w:val="both"/>
              <w:rPr>
                <w:sz w:val="22"/>
                <w:szCs w:val="22"/>
                <w:lang w:val="sr-Latn-RS"/>
              </w:rPr>
            </w:pPr>
            <w:r w:rsidRPr="00E87295">
              <w:rPr>
                <w:sz w:val="22"/>
                <w:szCs w:val="22"/>
                <w:lang w:val="sr-Latn-RS"/>
              </w:rPr>
              <w:t>&gt;3 to ≤ 5 x GGN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3415802" w14:textId="77777777" w:rsidR="006652E4" w:rsidRPr="00E87295" w:rsidRDefault="006652E4" w:rsidP="00E87295">
            <w:pPr>
              <w:jc w:val="both"/>
              <w:rPr>
                <w:sz w:val="22"/>
                <w:szCs w:val="22"/>
                <w:lang w:val="sr-Latn-RS"/>
              </w:rPr>
            </w:pPr>
            <w:r w:rsidRPr="00E87295">
              <w:rPr>
                <w:sz w:val="22"/>
                <w:szCs w:val="22"/>
                <w:lang w:val="sr-Latn-RS"/>
              </w:rPr>
              <w:t>1,4%</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7CDA04C9" w14:textId="77777777" w:rsidR="006652E4" w:rsidRPr="00E87295" w:rsidRDefault="006652E4" w:rsidP="00E87295">
            <w:pPr>
              <w:jc w:val="both"/>
              <w:rPr>
                <w:sz w:val="22"/>
                <w:szCs w:val="22"/>
                <w:lang w:val="sr-Latn-RS"/>
              </w:rPr>
            </w:pPr>
            <w:r w:rsidRPr="00E87295">
              <w:rPr>
                <w:sz w:val="22"/>
                <w:szCs w:val="22"/>
                <w:lang w:val="sr-Latn-RS"/>
              </w:rPr>
              <w:t>1,1%</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52F69ED6" w14:textId="77777777" w:rsidR="006652E4" w:rsidRPr="00E87295" w:rsidRDefault="006652E4" w:rsidP="00E87295">
            <w:pPr>
              <w:jc w:val="both"/>
              <w:rPr>
                <w:sz w:val="22"/>
                <w:szCs w:val="22"/>
                <w:lang w:val="sr-Latn-RS"/>
              </w:rPr>
            </w:pPr>
            <w:r w:rsidRPr="00E87295">
              <w:rPr>
                <w:sz w:val="22"/>
                <w:szCs w:val="22"/>
                <w:lang w:val="sr-Latn-RS"/>
              </w:rPr>
              <w:t>2,7%</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5A386669" w14:textId="77777777" w:rsidR="006652E4" w:rsidRPr="00E87295" w:rsidRDefault="006652E4" w:rsidP="00E87295">
            <w:pPr>
              <w:jc w:val="both"/>
              <w:rPr>
                <w:sz w:val="22"/>
                <w:szCs w:val="22"/>
                <w:lang w:val="sr-Latn-RS"/>
              </w:rPr>
            </w:pPr>
            <w:r w:rsidRPr="00E87295">
              <w:rPr>
                <w:sz w:val="22"/>
                <w:szCs w:val="22"/>
                <w:lang w:val="sr-Latn-RS"/>
              </w:rPr>
              <w:t>1,6%</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40BDAED9" w14:textId="77777777" w:rsidR="006652E4" w:rsidRPr="00E87295" w:rsidRDefault="006652E4" w:rsidP="00E87295">
            <w:pPr>
              <w:jc w:val="both"/>
              <w:rPr>
                <w:sz w:val="22"/>
                <w:szCs w:val="22"/>
                <w:lang w:val="sr-Latn-RS"/>
              </w:rPr>
            </w:pPr>
            <w:r w:rsidRPr="00E87295">
              <w:rPr>
                <w:sz w:val="22"/>
                <w:szCs w:val="22"/>
                <w:lang w:val="sr-Latn-RS"/>
              </w:rPr>
              <w:t>4,6%</w:t>
            </w:r>
          </w:p>
        </w:tc>
      </w:tr>
      <w:tr w:rsidR="006652E4" w:rsidRPr="00E87295" w14:paraId="7AE5AE97" w14:textId="77777777" w:rsidTr="00472BF6">
        <w:tc>
          <w:tcPr>
            <w:tcW w:w="994" w:type="dxa"/>
            <w:tcBorders>
              <w:top w:val="single" w:sz="4" w:space="0" w:color="auto"/>
              <w:left w:val="single" w:sz="4" w:space="0" w:color="auto"/>
              <w:bottom w:val="single" w:sz="4" w:space="0" w:color="auto"/>
              <w:right w:val="single" w:sz="4" w:space="0" w:color="auto"/>
            </w:tcBorders>
            <w:shd w:val="clear" w:color="auto" w:fill="auto"/>
          </w:tcPr>
          <w:p w14:paraId="67B153E1" w14:textId="77777777" w:rsidR="006652E4" w:rsidRPr="00E87295" w:rsidRDefault="006652E4" w:rsidP="00E87295">
            <w:pPr>
              <w:jc w:val="both"/>
              <w:rPr>
                <w:sz w:val="22"/>
                <w:szCs w:val="22"/>
                <w:lang w:val="sr-Latn-RS"/>
              </w:rPr>
            </w:pPr>
            <w:r w:rsidRPr="00E87295">
              <w:rPr>
                <w:sz w:val="22"/>
                <w:szCs w:val="22"/>
                <w:lang w:val="sr-Latn-RS"/>
              </w:rPr>
              <w:t>&gt;5 x GGN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18EBBCED" w14:textId="77777777" w:rsidR="006652E4" w:rsidRPr="00E87295" w:rsidRDefault="006652E4" w:rsidP="00E87295">
            <w:pPr>
              <w:jc w:val="both"/>
              <w:rPr>
                <w:sz w:val="22"/>
                <w:szCs w:val="22"/>
                <w:lang w:val="sr-Latn-RS"/>
              </w:rPr>
            </w:pPr>
            <w:r w:rsidRPr="00E87295">
              <w:rPr>
                <w:sz w:val="22"/>
                <w:szCs w:val="22"/>
                <w:lang w:val="sr-Latn-RS"/>
              </w:rPr>
              <w:t>0,8%</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26BB8FF0" w14:textId="77777777" w:rsidR="006652E4" w:rsidRPr="00E87295" w:rsidRDefault="006652E4" w:rsidP="00E87295">
            <w:pPr>
              <w:jc w:val="both"/>
              <w:rPr>
                <w:sz w:val="22"/>
                <w:szCs w:val="22"/>
                <w:lang w:val="sr-Latn-RS"/>
              </w:rPr>
            </w:pPr>
            <w:r w:rsidRPr="00E87295">
              <w:rPr>
                <w:sz w:val="22"/>
                <w:szCs w:val="22"/>
                <w:lang w:val="sr-Latn-RS"/>
              </w:rPr>
              <w:t>0,8%</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48DBABD" w14:textId="77777777" w:rsidR="006652E4" w:rsidRPr="00E87295" w:rsidRDefault="006652E4" w:rsidP="00E87295">
            <w:pPr>
              <w:jc w:val="both"/>
              <w:rPr>
                <w:sz w:val="22"/>
                <w:szCs w:val="22"/>
                <w:lang w:val="sr-Latn-RS"/>
              </w:rPr>
            </w:pPr>
            <w:r w:rsidRPr="00E87295">
              <w:rPr>
                <w:sz w:val="22"/>
                <w:szCs w:val="22"/>
                <w:lang w:val="sr-Latn-RS"/>
              </w:rPr>
              <w:t>1,1%</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4C41A240" w14:textId="77777777" w:rsidR="006652E4" w:rsidRPr="00E87295" w:rsidRDefault="006652E4" w:rsidP="00E87295">
            <w:pPr>
              <w:jc w:val="both"/>
              <w:rPr>
                <w:sz w:val="22"/>
                <w:szCs w:val="22"/>
                <w:lang w:val="sr-Latn-RS"/>
              </w:rPr>
            </w:pPr>
            <w:r w:rsidRPr="00E87295">
              <w:rPr>
                <w:sz w:val="22"/>
                <w:szCs w:val="22"/>
                <w:lang w:val="sr-Latn-RS"/>
              </w:rPr>
              <w:t>1,1%</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CFA56EE" w14:textId="77777777" w:rsidR="006652E4" w:rsidRPr="00E87295" w:rsidRDefault="006652E4" w:rsidP="00E87295">
            <w:pPr>
              <w:jc w:val="both"/>
              <w:rPr>
                <w:sz w:val="22"/>
                <w:szCs w:val="22"/>
                <w:lang w:val="sr-Latn-RS"/>
              </w:rPr>
            </w:pPr>
            <w:r w:rsidRPr="00E87295">
              <w:rPr>
                <w:sz w:val="22"/>
                <w:szCs w:val="22"/>
                <w:lang w:val="sr-Latn-RS"/>
              </w:rPr>
              <w:t>1,1%</w:t>
            </w:r>
          </w:p>
        </w:tc>
      </w:tr>
      <w:tr w:rsidR="006652E4" w:rsidRPr="00E87295" w14:paraId="22C92B2A" w14:textId="77777777" w:rsidTr="00472BF6">
        <w:tc>
          <w:tcPr>
            <w:tcW w:w="9445" w:type="dxa"/>
            <w:gridSpan w:val="6"/>
            <w:tcBorders>
              <w:top w:val="single" w:sz="4" w:space="0" w:color="auto"/>
              <w:left w:val="single" w:sz="4" w:space="0" w:color="auto"/>
              <w:bottom w:val="single" w:sz="4" w:space="0" w:color="auto"/>
              <w:right w:val="single" w:sz="4" w:space="0" w:color="auto"/>
            </w:tcBorders>
            <w:shd w:val="clear" w:color="auto" w:fill="auto"/>
          </w:tcPr>
          <w:p w14:paraId="5867D7A8" w14:textId="77777777" w:rsidR="006652E4" w:rsidRPr="00E87295" w:rsidRDefault="006652E4" w:rsidP="00E87295">
            <w:pPr>
              <w:jc w:val="both"/>
              <w:rPr>
                <w:b/>
                <w:bCs/>
                <w:sz w:val="22"/>
                <w:szCs w:val="22"/>
                <w:lang w:val="sr-Latn-RS"/>
              </w:rPr>
            </w:pPr>
            <w:r w:rsidRPr="00E87295">
              <w:rPr>
                <w:b/>
                <w:bCs/>
                <w:sz w:val="22"/>
                <w:szCs w:val="22"/>
                <w:lang w:val="sr-Latn-RS"/>
              </w:rPr>
              <w:t>AST</w:t>
            </w:r>
          </w:p>
        </w:tc>
      </w:tr>
      <w:tr w:rsidR="006652E4" w:rsidRPr="00E87295" w14:paraId="47FB883D" w14:textId="77777777" w:rsidTr="00472BF6">
        <w:tc>
          <w:tcPr>
            <w:tcW w:w="994" w:type="dxa"/>
            <w:tcBorders>
              <w:top w:val="single" w:sz="4" w:space="0" w:color="auto"/>
              <w:left w:val="single" w:sz="4" w:space="0" w:color="auto"/>
              <w:bottom w:val="single" w:sz="4" w:space="0" w:color="auto"/>
              <w:right w:val="single" w:sz="4" w:space="0" w:color="auto"/>
            </w:tcBorders>
            <w:shd w:val="clear" w:color="auto" w:fill="auto"/>
          </w:tcPr>
          <w:p w14:paraId="1A89A9A6" w14:textId="77777777" w:rsidR="006652E4" w:rsidRPr="00E87295" w:rsidRDefault="006652E4" w:rsidP="00E87295">
            <w:pPr>
              <w:jc w:val="both"/>
              <w:rPr>
                <w:sz w:val="22"/>
                <w:szCs w:val="22"/>
                <w:lang w:val="sr-Latn-RS"/>
              </w:rPr>
            </w:pPr>
            <w:r w:rsidRPr="00E87295">
              <w:rPr>
                <w:sz w:val="22"/>
                <w:szCs w:val="22"/>
                <w:lang w:val="sr-Latn-RS"/>
              </w:rPr>
              <w:t>&gt;1 to ≤3 x GGN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2E3E1268" w14:textId="77777777" w:rsidR="006652E4" w:rsidRPr="00E87295" w:rsidRDefault="006652E4" w:rsidP="00E87295">
            <w:pPr>
              <w:jc w:val="both"/>
              <w:rPr>
                <w:sz w:val="22"/>
                <w:szCs w:val="22"/>
                <w:lang w:val="sr-Latn-RS"/>
              </w:rPr>
            </w:pPr>
            <w:r w:rsidRPr="00E87295">
              <w:rPr>
                <w:sz w:val="22"/>
                <w:szCs w:val="22"/>
                <w:lang w:val="sr-Latn-RS"/>
              </w:rPr>
              <w:t>20,0%</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1E54F61A" w14:textId="77777777" w:rsidR="006652E4" w:rsidRPr="00E87295" w:rsidRDefault="006652E4" w:rsidP="00E87295">
            <w:pPr>
              <w:jc w:val="both"/>
              <w:rPr>
                <w:sz w:val="22"/>
                <w:szCs w:val="22"/>
                <w:lang w:val="sr-Latn-RS"/>
              </w:rPr>
            </w:pPr>
            <w:r w:rsidRPr="00E87295">
              <w:rPr>
                <w:sz w:val="22"/>
                <w:szCs w:val="22"/>
                <w:lang w:val="sr-Latn-RS"/>
              </w:rPr>
              <w:t>18,8%</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3C720083" w14:textId="77777777" w:rsidR="006652E4" w:rsidRPr="00E87295" w:rsidRDefault="006652E4" w:rsidP="00E87295">
            <w:pPr>
              <w:jc w:val="both"/>
              <w:rPr>
                <w:sz w:val="22"/>
                <w:szCs w:val="22"/>
                <w:lang w:val="sr-Latn-RS"/>
              </w:rPr>
            </w:pPr>
            <w:r w:rsidRPr="00E87295">
              <w:rPr>
                <w:sz w:val="22"/>
                <w:szCs w:val="22"/>
                <w:lang w:val="sr-Latn-RS"/>
              </w:rPr>
              <w:t>21,6%</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7C8A7CD9" w14:textId="77777777" w:rsidR="006652E4" w:rsidRPr="00E87295" w:rsidRDefault="006652E4" w:rsidP="00E87295">
            <w:pPr>
              <w:jc w:val="both"/>
              <w:rPr>
                <w:sz w:val="22"/>
                <w:szCs w:val="22"/>
                <w:lang w:val="sr-Latn-RS"/>
              </w:rPr>
            </w:pPr>
            <w:r w:rsidRPr="00E87295">
              <w:rPr>
                <w:sz w:val="22"/>
                <w:szCs w:val="22"/>
                <w:lang w:val="sr-Latn-RS"/>
              </w:rPr>
              <w:t>22,8%</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67E49A2C" w14:textId="77777777" w:rsidR="006652E4" w:rsidRPr="00E87295" w:rsidRDefault="006652E4" w:rsidP="00E87295">
            <w:pPr>
              <w:jc w:val="both"/>
              <w:rPr>
                <w:sz w:val="22"/>
                <w:szCs w:val="22"/>
                <w:lang w:val="sr-Latn-RS"/>
              </w:rPr>
            </w:pPr>
            <w:r w:rsidRPr="00E87295">
              <w:rPr>
                <w:sz w:val="22"/>
                <w:szCs w:val="22"/>
                <w:lang w:val="sr-Latn-RS"/>
              </w:rPr>
              <w:t>27,8%</w:t>
            </w:r>
          </w:p>
        </w:tc>
      </w:tr>
      <w:tr w:rsidR="006652E4" w:rsidRPr="00E87295" w14:paraId="099FC36C" w14:textId="77777777" w:rsidTr="00472BF6">
        <w:tc>
          <w:tcPr>
            <w:tcW w:w="994" w:type="dxa"/>
            <w:tcBorders>
              <w:top w:val="single" w:sz="4" w:space="0" w:color="auto"/>
              <w:left w:val="single" w:sz="4" w:space="0" w:color="auto"/>
              <w:bottom w:val="single" w:sz="4" w:space="0" w:color="auto"/>
              <w:right w:val="single" w:sz="4" w:space="0" w:color="auto"/>
            </w:tcBorders>
            <w:shd w:val="clear" w:color="auto" w:fill="auto"/>
          </w:tcPr>
          <w:p w14:paraId="17A66879" w14:textId="77777777" w:rsidR="006652E4" w:rsidRPr="00E87295" w:rsidRDefault="006652E4" w:rsidP="00E87295">
            <w:pPr>
              <w:jc w:val="both"/>
              <w:rPr>
                <w:sz w:val="22"/>
                <w:szCs w:val="22"/>
                <w:lang w:val="sr-Latn-RS"/>
              </w:rPr>
            </w:pPr>
            <w:r w:rsidRPr="00E87295">
              <w:rPr>
                <w:sz w:val="22"/>
                <w:szCs w:val="22"/>
                <w:lang w:val="sr-Latn-RS"/>
              </w:rPr>
              <w:t>&gt;3 to ≤ 5 x GGN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6602BB67" w14:textId="77777777" w:rsidR="006652E4" w:rsidRPr="00E87295" w:rsidRDefault="006652E4" w:rsidP="00E87295">
            <w:pPr>
              <w:jc w:val="both"/>
              <w:rPr>
                <w:sz w:val="22"/>
                <w:szCs w:val="22"/>
                <w:lang w:val="sr-Latn-RS"/>
              </w:rPr>
            </w:pPr>
            <w:r w:rsidRPr="00E87295">
              <w:rPr>
                <w:sz w:val="22"/>
                <w:szCs w:val="22"/>
                <w:lang w:val="sr-Latn-RS"/>
              </w:rPr>
              <w:t>0,5%</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11DC4945" w14:textId="77777777" w:rsidR="006652E4" w:rsidRPr="00E87295" w:rsidRDefault="006652E4" w:rsidP="00E87295">
            <w:pPr>
              <w:jc w:val="both"/>
              <w:rPr>
                <w:sz w:val="22"/>
                <w:szCs w:val="22"/>
                <w:lang w:val="sr-Latn-RS"/>
              </w:rPr>
            </w:pPr>
            <w:r w:rsidRPr="00E87295">
              <w:rPr>
                <w:sz w:val="22"/>
                <w:szCs w:val="22"/>
                <w:lang w:val="sr-Latn-RS"/>
              </w:rPr>
              <w:t>1,6%</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4AF3904B" w14:textId="77777777" w:rsidR="006652E4" w:rsidRPr="00E87295" w:rsidRDefault="006652E4" w:rsidP="00E87295">
            <w:pPr>
              <w:jc w:val="both"/>
              <w:rPr>
                <w:sz w:val="22"/>
                <w:szCs w:val="22"/>
                <w:lang w:val="sr-Latn-RS"/>
              </w:rPr>
            </w:pPr>
            <w:r w:rsidRPr="00E87295">
              <w:rPr>
                <w:sz w:val="22"/>
                <w:szCs w:val="22"/>
                <w:lang w:val="sr-Latn-RS"/>
              </w:rPr>
              <w:t>1,6%</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7CF357DF" w14:textId="77777777" w:rsidR="006652E4" w:rsidRPr="00E87295" w:rsidRDefault="006652E4" w:rsidP="00E87295">
            <w:pPr>
              <w:jc w:val="both"/>
              <w:rPr>
                <w:sz w:val="22"/>
                <w:szCs w:val="22"/>
                <w:lang w:val="sr-Latn-RS"/>
              </w:rPr>
            </w:pPr>
            <w:r w:rsidRPr="00E87295">
              <w:rPr>
                <w:sz w:val="22"/>
                <w:szCs w:val="22"/>
                <w:lang w:val="sr-Latn-RS"/>
              </w:rPr>
              <w:t>2,9%</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1E7F02EB" w14:textId="77777777" w:rsidR="006652E4" w:rsidRPr="00E87295" w:rsidRDefault="006652E4" w:rsidP="00E87295">
            <w:pPr>
              <w:jc w:val="both"/>
              <w:rPr>
                <w:sz w:val="22"/>
                <w:szCs w:val="22"/>
                <w:lang w:val="sr-Latn-RS"/>
              </w:rPr>
            </w:pPr>
            <w:r w:rsidRPr="00E87295">
              <w:rPr>
                <w:sz w:val="22"/>
                <w:szCs w:val="22"/>
                <w:lang w:val="sr-Latn-RS"/>
              </w:rPr>
              <w:t>3,8%</w:t>
            </w:r>
          </w:p>
        </w:tc>
      </w:tr>
      <w:tr w:rsidR="006652E4" w:rsidRPr="00E87295" w14:paraId="366342D5" w14:textId="77777777" w:rsidTr="00472BF6">
        <w:tc>
          <w:tcPr>
            <w:tcW w:w="994" w:type="dxa"/>
            <w:tcBorders>
              <w:top w:val="single" w:sz="4" w:space="0" w:color="auto"/>
              <w:left w:val="single" w:sz="4" w:space="0" w:color="auto"/>
              <w:bottom w:val="single" w:sz="4" w:space="0" w:color="auto"/>
              <w:right w:val="single" w:sz="4" w:space="0" w:color="auto"/>
            </w:tcBorders>
            <w:shd w:val="clear" w:color="auto" w:fill="auto"/>
          </w:tcPr>
          <w:p w14:paraId="5118B5BD" w14:textId="77777777" w:rsidR="006652E4" w:rsidRPr="00E87295" w:rsidRDefault="006652E4" w:rsidP="00E87295">
            <w:pPr>
              <w:jc w:val="both"/>
              <w:rPr>
                <w:sz w:val="22"/>
                <w:szCs w:val="22"/>
                <w:lang w:val="sr-Latn-RS"/>
              </w:rPr>
            </w:pPr>
            <w:r w:rsidRPr="00E87295">
              <w:rPr>
                <w:sz w:val="22"/>
                <w:szCs w:val="22"/>
                <w:lang w:val="sr-Latn-RS"/>
              </w:rPr>
              <w:t>&gt;5 x GGN</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3C00F3A5" w14:textId="77777777" w:rsidR="006652E4" w:rsidRPr="00E87295" w:rsidRDefault="006652E4" w:rsidP="00E87295">
            <w:pPr>
              <w:jc w:val="both"/>
              <w:rPr>
                <w:sz w:val="22"/>
                <w:szCs w:val="22"/>
                <w:lang w:val="sr-Latn-RS"/>
              </w:rPr>
            </w:pPr>
            <w:r w:rsidRPr="00E87295">
              <w:rPr>
                <w:sz w:val="22"/>
                <w:szCs w:val="22"/>
                <w:lang w:val="sr-Latn-RS"/>
              </w:rPr>
              <w:t>1,1%</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B8FCE92" w14:textId="77777777" w:rsidR="006652E4" w:rsidRPr="00E87295" w:rsidRDefault="006652E4" w:rsidP="00E87295">
            <w:pPr>
              <w:jc w:val="both"/>
              <w:rPr>
                <w:sz w:val="22"/>
                <w:szCs w:val="22"/>
                <w:lang w:val="sr-Latn-RS"/>
              </w:rPr>
            </w:pPr>
            <w:r w:rsidRPr="00E87295">
              <w:rPr>
                <w:sz w:val="22"/>
                <w:szCs w:val="22"/>
                <w:lang w:val="sr-Latn-RS"/>
              </w:rPr>
              <w:t>0,5%</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26F47169" w14:textId="77777777" w:rsidR="006652E4" w:rsidRPr="00E87295" w:rsidRDefault="006652E4" w:rsidP="00E87295">
            <w:pPr>
              <w:jc w:val="both"/>
              <w:rPr>
                <w:sz w:val="22"/>
                <w:szCs w:val="22"/>
                <w:lang w:val="sr-Latn-RS"/>
              </w:rPr>
            </w:pPr>
            <w:r w:rsidRPr="00E87295">
              <w:rPr>
                <w:sz w:val="22"/>
                <w:szCs w:val="22"/>
                <w:lang w:val="sr-Latn-RS"/>
              </w:rPr>
              <w:t>1,6%</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AAF8FBB" w14:textId="77777777" w:rsidR="006652E4" w:rsidRPr="00E87295" w:rsidRDefault="006652E4" w:rsidP="00E87295">
            <w:pPr>
              <w:jc w:val="both"/>
              <w:rPr>
                <w:sz w:val="22"/>
                <w:szCs w:val="22"/>
                <w:lang w:val="sr-Latn-RS"/>
              </w:rPr>
            </w:pPr>
            <w:r w:rsidRPr="00E87295">
              <w:rPr>
                <w:sz w:val="22"/>
                <w:szCs w:val="22"/>
                <w:lang w:val="sr-Latn-RS"/>
              </w:rPr>
              <w:t>0,5%</w:t>
            </w:r>
          </w:p>
        </w:tc>
        <w:tc>
          <w:tcPr>
            <w:tcW w:w="1906" w:type="dxa"/>
            <w:tcBorders>
              <w:top w:val="single" w:sz="4" w:space="0" w:color="auto"/>
              <w:left w:val="single" w:sz="4" w:space="0" w:color="auto"/>
              <w:bottom w:val="single" w:sz="4" w:space="0" w:color="auto"/>
              <w:right w:val="single" w:sz="4" w:space="0" w:color="auto"/>
            </w:tcBorders>
            <w:shd w:val="clear" w:color="auto" w:fill="auto"/>
          </w:tcPr>
          <w:p w14:paraId="0C29B075" w14:textId="77777777" w:rsidR="006652E4" w:rsidRPr="00E87295" w:rsidRDefault="006652E4" w:rsidP="00E87295">
            <w:pPr>
              <w:jc w:val="both"/>
              <w:rPr>
                <w:sz w:val="22"/>
                <w:szCs w:val="22"/>
                <w:lang w:val="sr-Latn-RS"/>
              </w:rPr>
            </w:pPr>
            <w:r w:rsidRPr="00E87295">
              <w:rPr>
                <w:sz w:val="22"/>
                <w:szCs w:val="22"/>
                <w:lang w:val="sr-Latn-RS"/>
              </w:rPr>
              <w:t>1,6%</w:t>
            </w:r>
          </w:p>
        </w:tc>
      </w:tr>
      <w:tr w:rsidR="006652E4" w:rsidRPr="00C929E2" w14:paraId="5245BD58" w14:textId="77777777" w:rsidTr="00E87295">
        <w:trPr>
          <w:trHeight w:val="1025"/>
        </w:trPr>
        <w:tc>
          <w:tcPr>
            <w:tcW w:w="9445" w:type="dxa"/>
            <w:gridSpan w:val="6"/>
            <w:tcBorders>
              <w:top w:val="single" w:sz="4" w:space="0" w:color="auto"/>
              <w:left w:val="nil"/>
              <w:bottom w:val="nil"/>
              <w:right w:val="nil"/>
            </w:tcBorders>
            <w:shd w:val="clear" w:color="auto" w:fill="auto"/>
          </w:tcPr>
          <w:p w14:paraId="1907C66A" w14:textId="77777777" w:rsidR="006652E4" w:rsidRPr="00E87295" w:rsidRDefault="006652E4" w:rsidP="00E87295">
            <w:pPr>
              <w:ind w:left="284" w:hanging="284"/>
              <w:jc w:val="both"/>
              <w:rPr>
                <w:sz w:val="22"/>
                <w:szCs w:val="22"/>
                <w:lang w:val="sr-Latn-RS"/>
              </w:rPr>
            </w:pPr>
            <w:r w:rsidRPr="00E87295">
              <w:rPr>
                <w:sz w:val="22"/>
                <w:szCs w:val="22"/>
                <w:vertAlign w:val="superscript"/>
                <w:lang w:val="sr-Latn-RS"/>
              </w:rPr>
              <w:t>a</w:t>
            </w:r>
            <w:r w:rsidRPr="00E87295">
              <w:rPr>
                <w:sz w:val="22"/>
                <w:szCs w:val="22"/>
                <w:lang w:val="sr-Latn-RS"/>
              </w:rPr>
              <w:tab/>
              <w:t>placebom kontrolisani period</w:t>
            </w:r>
          </w:p>
          <w:p w14:paraId="36FDDF28" w14:textId="10AAC3A2" w:rsidR="00A754C1" w:rsidRPr="00E87295" w:rsidRDefault="006652E4" w:rsidP="00E87295">
            <w:pPr>
              <w:ind w:left="284" w:hanging="284"/>
              <w:jc w:val="both"/>
              <w:rPr>
                <w:sz w:val="22"/>
                <w:szCs w:val="22"/>
                <w:lang w:val="sr-Latn-RS"/>
              </w:rPr>
            </w:pPr>
            <w:r w:rsidRPr="00E87295">
              <w:rPr>
                <w:sz w:val="22"/>
                <w:szCs w:val="22"/>
                <w:vertAlign w:val="superscript"/>
                <w:lang w:val="sr-Latn-RS"/>
              </w:rPr>
              <w:t>b</w:t>
            </w:r>
            <w:r w:rsidRPr="00E87295">
              <w:rPr>
                <w:sz w:val="22"/>
                <w:szCs w:val="22"/>
                <w:lang w:val="sr-Latn-RS"/>
              </w:rPr>
              <w:tab/>
            </w:r>
            <w:r w:rsidR="00A754C1" w:rsidRPr="00E87295">
              <w:rPr>
                <w:sz w:val="22"/>
                <w:szCs w:val="22"/>
                <w:lang w:val="sr-Latn-RS"/>
              </w:rPr>
              <w:t>ni</w:t>
            </w:r>
            <w:r w:rsidR="00C236F1" w:rsidRPr="00E87295">
              <w:rPr>
                <w:sz w:val="22"/>
                <w:szCs w:val="22"/>
                <w:lang w:val="sr-Latn-RS"/>
              </w:rPr>
              <w:t>je</w:t>
            </w:r>
            <w:r w:rsidR="00A754C1" w:rsidRPr="00E87295">
              <w:rPr>
                <w:sz w:val="22"/>
                <w:szCs w:val="22"/>
                <w:lang w:val="sr-Latn-RS"/>
              </w:rPr>
              <w:t xml:space="preserve">su uključeni </w:t>
            </w:r>
            <w:r w:rsidRPr="00E87295">
              <w:rPr>
                <w:sz w:val="22"/>
                <w:szCs w:val="22"/>
                <w:lang w:val="sr-Latn-RS"/>
              </w:rPr>
              <w:t xml:space="preserve">pacijenti </w:t>
            </w:r>
            <w:r w:rsidR="006F4567" w:rsidRPr="00E87295">
              <w:rPr>
                <w:sz w:val="22"/>
                <w:szCs w:val="22"/>
                <w:lang w:val="sr-Latn-RS"/>
              </w:rPr>
              <w:t xml:space="preserve">koji su </w:t>
            </w:r>
            <w:r w:rsidRPr="00E87295">
              <w:rPr>
                <w:sz w:val="22"/>
                <w:szCs w:val="22"/>
                <w:lang w:val="sr-Latn-RS"/>
              </w:rPr>
              <w:t>na početku</w:t>
            </w:r>
            <w:r w:rsidR="006F4567" w:rsidRPr="00E87295">
              <w:rPr>
                <w:sz w:val="22"/>
                <w:szCs w:val="22"/>
                <w:lang w:val="sr-Latn-RS"/>
              </w:rPr>
              <w:t xml:space="preserve"> bili</w:t>
            </w:r>
            <w:r w:rsidRPr="00E87295">
              <w:rPr>
                <w:sz w:val="22"/>
                <w:szCs w:val="22"/>
                <w:lang w:val="sr-Latn-RS"/>
              </w:rPr>
              <w:t xml:space="preserve"> randomizovani da primaju </w:t>
            </w:r>
            <w:r w:rsidR="00A754C1" w:rsidRPr="00E87295">
              <w:rPr>
                <w:sz w:val="22"/>
                <w:szCs w:val="22"/>
                <w:lang w:val="sr-Latn-RS"/>
              </w:rPr>
              <w:t>placebo, a prešli su na l</w:t>
            </w:r>
            <w:r w:rsidR="00C7727A" w:rsidRPr="00E87295">
              <w:rPr>
                <w:sz w:val="22"/>
                <w:szCs w:val="22"/>
                <w:lang w:val="sr-Latn-RS"/>
              </w:rPr>
              <w:t>ij</w:t>
            </w:r>
            <w:r w:rsidR="00A754C1" w:rsidRPr="00E87295">
              <w:rPr>
                <w:sz w:val="22"/>
                <w:szCs w:val="22"/>
                <w:lang w:val="sr-Latn-RS"/>
              </w:rPr>
              <w:t xml:space="preserve">ečenje </w:t>
            </w:r>
            <w:r w:rsidR="00FD7763" w:rsidRPr="00E87295">
              <w:rPr>
                <w:sz w:val="22"/>
                <w:szCs w:val="22"/>
                <w:lang w:val="sr-Latn-RS"/>
              </w:rPr>
              <w:t>guselkumabom</w:t>
            </w:r>
          </w:p>
          <w:p w14:paraId="5A538C99" w14:textId="5CF1910C" w:rsidR="006652E4" w:rsidRPr="00E87295" w:rsidRDefault="00A754C1" w:rsidP="00E87295">
            <w:pPr>
              <w:jc w:val="both"/>
              <w:rPr>
                <w:sz w:val="22"/>
                <w:szCs w:val="22"/>
                <w:lang w:val="sr-Latn-RS"/>
              </w:rPr>
            </w:pPr>
            <w:r w:rsidRPr="00E87295">
              <w:rPr>
                <w:sz w:val="22"/>
                <w:szCs w:val="22"/>
                <w:vertAlign w:val="superscript"/>
                <w:lang w:val="sr-Latn-RS"/>
              </w:rPr>
              <w:t xml:space="preserve">c </w:t>
            </w:r>
            <w:r w:rsidR="006F4567" w:rsidRPr="00E87295">
              <w:rPr>
                <w:sz w:val="22"/>
                <w:szCs w:val="22"/>
                <w:vertAlign w:val="superscript"/>
                <w:lang w:val="sr-Latn-RS"/>
              </w:rPr>
              <w:t xml:space="preserve">   </w:t>
            </w:r>
            <w:r w:rsidRPr="00E87295">
              <w:rPr>
                <w:sz w:val="22"/>
                <w:szCs w:val="22"/>
                <w:lang w:val="sr-Latn-RS"/>
              </w:rPr>
              <w:t>broj pacijenata sa najmanje jednom proc</w:t>
            </w:r>
            <w:r w:rsidR="00C7727A" w:rsidRPr="00E87295">
              <w:rPr>
                <w:sz w:val="22"/>
                <w:szCs w:val="22"/>
                <w:lang w:val="sr-Latn-RS"/>
              </w:rPr>
              <w:t>j</w:t>
            </w:r>
            <w:r w:rsidRPr="00E87295">
              <w:rPr>
                <w:sz w:val="22"/>
                <w:szCs w:val="22"/>
                <w:lang w:val="sr-Latn-RS"/>
              </w:rPr>
              <w:t>enom specifičnih laboratorijskih ispitivanja tokom vremenskog perioda, nakon početka l</w:t>
            </w:r>
            <w:r w:rsidR="00C7727A" w:rsidRPr="00E87295">
              <w:rPr>
                <w:sz w:val="22"/>
                <w:szCs w:val="22"/>
                <w:lang w:val="sr-Latn-RS"/>
              </w:rPr>
              <w:t>ij</w:t>
            </w:r>
            <w:r w:rsidRPr="00E87295">
              <w:rPr>
                <w:sz w:val="22"/>
                <w:szCs w:val="22"/>
                <w:lang w:val="sr-Latn-RS"/>
              </w:rPr>
              <w:t>ečenja</w:t>
            </w:r>
          </w:p>
        </w:tc>
      </w:tr>
    </w:tbl>
    <w:p w14:paraId="587DCB29" w14:textId="77777777" w:rsidR="006652E4" w:rsidRPr="00E87295" w:rsidRDefault="006652E4">
      <w:pPr>
        <w:pStyle w:val="Bodytext30"/>
        <w:shd w:val="clear" w:color="auto" w:fill="auto"/>
        <w:spacing w:before="0" w:line="240" w:lineRule="auto"/>
        <w:ind w:firstLine="0"/>
        <w:jc w:val="both"/>
        <w:rPr>
          <w:iCs/>
          <w:sz w:val="22"/>
          <w:szCs w:val="22"/>
          <w:lang w:val="sr-Latn-RS"/>
        </w:rPr>
      </w:pPr>
      <w:r w:rsidRPr="00E87295">
        <w:rPr>
          <w:iCs/>
          <w:sz w:val="22"/>
          <w:szCs w:val="22"/>
          <w:lang w:val="sr-Latn-RS"/>
        </w:rPr>
        <w:t xml:space="preserve"> </w:t>
      </w:r>
    </w:p>
    <w:p w14:paraId="5CC921F7" w14:textId="3A5670DF" w:rsidR="00681A8E" w:rsidRPr="00E87295" w:rsidRDefault="00681A8E" w:rsidP="00E87295">
      <w:pPr>
        <w:autoSpaceDE w:val="0"/>
        <w:autoSpaceDN w:val="0"/>
        <w:jc w:val="both"/>
        <w:rPr>
          <w:sz w:val="22"/>
          <w:szCs w:val="22"/>
          <w:lang w:val="sr-Latn-RS"/>
        </w:rPr>
      </w:pPr>
      <w:r w:rsidRPr="00E87295">
        <w:rPr>
          <w:sz w:val="22"/>
          <w:szCs w:val="22"/>
          <w:lang w:val="sr-Latn-RS"/>
        </w:rPr>
        <w:lastRenderedPageBreak/>
        <w:t>U kliničkim ispitivanjima u kojima je ispitivana psorijaza, tokom jedne godine, učestalost porasta vr</w:t>
      </w:r>
      <w:r w:rsidR="004B149E" w:rsidRPr="00E87295">
        <w:rPr>
          <w:sz w:val="22"/>
          <w:szCs w:val="22"/>
          <w:lang w:val="sr-Latn-RS"/>
        </w:rPr>
        <w:t>ij</w:t>
      </w:r>
      <w:r w:rsidRPr="00E87295">
        <w:rPr>
          <w:sz w:val="22"/>
          <w:szCs w:val="22"/>
          <w:lang w:val="sr-Latn-RS"/>
        </w:rPr>
        <w:t xml:space="preserve">ednosti transminaza (ALT i AST) je bila slična u grupi koja je </w:t>
      </w:r>
      <w:r w:rsidR="00FD7763" w:rsidRPr="00E87295">
        <w:rPr>
          <w:sz w:val="22"/>
          <w:szCs w:val="22"/>
          <w:lang w:val="sr-Latn-RS"/>
        </w:rPr>
        <w:t>g</w:t>
      </w:r>
      <w:r w:rsidR="00345CFA" w:rsidRPr="00E87295">
        <w:rPr>
          <w:sz w:val="22"/>
          <w:szCs w:val="22"/>
          <w:lang w:val="sr-Latn-RS"/>
        </w:rPr>
        <w:t>uselkumab</w:t>
      </w:r>
      <w:r w:rsidRPr="00E87295">
        <w:rPr>
          <w:sz w:val="22"/>
          <w:szCs w:val="22"/>
          <w:lang w:val="sr-Latn-RS"/>
        </w:rPr>
        <w:t xml:space="preserve"> primala na 8 ned</w:t>
      </w:r>
      <w:r w:rsidR="00EF2F11" w:rsidRPr="00E87295">
        <w:rPr>
          <w:sz w:val="22"/>
          <w:szCs w:val="22"/>
          <w:lang w:val="sr-Latn-RS"/>
        </w:rPr>
        <w:t>j</w:t>
      </w:r>
      <w:r w:rsidRPr="00E87295">
        <w:rPr>
          <w:sz w:val="22"/>
          <w:szCs w:val="22"/>
          <w:lang w:val="sr-Latn-RS"/>
        </w:rPr>
        <w:t xml:space="preserve">elja u odnosu na grupu koja je primala </w:t>
      </w:r>
      <w:r w:rsidR="00FD7763" w:rsidRPr="00E87295">
        <w:rPr>
          <w:sz w:val="22"/>
          <w:szCs w:val="22"/>
          <w:lang w:val="sr-Latn-RS"/>
        </w:rPr>
        <w:t>g</w:t>
      </w:r>
      <w:r w:rsidR="00345CFA" w:rsidRPr="00E87295">
        <w:rPr>
          <w:sz w:val="22"/>
          <w:szCs w:val="22"/>
          <w:lang w:val="sr-Latn-RS"/>
        </w:rPr>
        <w:t>uselkumab</w:t>
      </w:r>
      <w:r w:rsidRPr="00E87295">
        <w:rPr>
          <w:sz w:val="22"/>
          <w:szCs w:val="22"/>
          <w:lang w:val="sr-Latn-RS"/>
        </w:rPr>
        <w:t xml:space="preserve"> na 8 nedelja u kliničkim ispitivanjima za psorijatični artritis. Tokom 5 godina, incidenca </w:t>
      </w:r>
      <w:r w:rsidR="006F4567" w:rsidRPr="00E87295">
        <w:rPr>
          <w:sz w:val="22"/>
          <w:szCs w:val="22"/>
          <w:lang w:val="sr-Latn-RS"/>
        </w:rPr>
        <w:t>povišenja</w:t>
      </w:r>
      <w:r w:rsidRPr="00E87295">
        <w:rPr>
          <w:sz w:val="22"/>
          <w:szCs w:val="22"/>
          <w:lang w:val="sr-Latn-RS"/>
        </w:rPr>
        <w:t xml:space="preserve"> transaminaza se nije povećavala u odnosu na godine prim</w:t>
      </w:r>
      <w:r w:rsidR="004B149E" w:rsidRPr="00E87295">
        <w:rPr>
          <w:sz w:val="22"/>
          <w:szCs w:val="22"/>
          <w:lang w:val="sr-Latn-RS"/>
        </w:rPr>
        <w:t>j</w:t>
      </w:r>
      <w:r w:rsidRPr="00E87295">
        <w:rPr>
          <w:sz w:val="22"/>
          <w:szCs w:val="22"/>
          <w:lang w:val="sr-Latn-RS"/>
        </w:rPr>
        <w:t>ene terapije guselkumabom. Najveći broj porasta vr</w:t>
      </w:r>
      <w:r w:rsidR="004B149E" w:rsidRPr="00E87295">
        <w:rPr>
          <w:sz w:val="22"/>
          <w:szCs w:val="22"/>
          <w:lang w:val="sr-Latn-RS"/>
        </w:rPr>
        <w:t>ij</w:t>
      </w:r>
      <w:r w:rsidRPr="00E87295">
        <w:rPr>
          <w:sz w:val="22"/>
          <w:szCs w:val="22"/>
          <w:lang w:val="sr-Latn-RS"/>
        </w:rPr>
        <w:t>ednosti transaminaza je bio ≤ 3 x GGN.</w:t>
      </w:r>
    </w:p>
    <w:p w14:paraId="2B28DA6C" w14:textId="77777777" w:rsidR="00681A8E" w:rsidRPr="00E87295" w:rsidRDefault="00681A8E" w:rsidP="00E87295">
      <w:pPr>
        <w:autoSpaceDE w:val="0"/>
        <w:autoSpaceDN w:val="0"/>
        <w:jc w:val="both"/>
        <w:rPr>
          <w:sz w:val="22"/>
          <w:szCs w:val="22"/>
          <w:lang w:val="sr-Latn-RS"/>
        </w:rPr>
      </w:pPr>
    </w:p>
    <w:p w14:paraId="595024F8" w14:textId="11B83B55" w:rsidR="00681A8E" w:rsidRPr="00E87295" w:rsidRDefault="00681A8E" w:rsidP="00E87295">
      <w:pPr>
        <w:autoSpaceDE w:val="0"/>
        <w:autoSpaceDN w:val="0"/>
        <w:jc w:val="both"/>
        <w:rPr>
          <w:sz w:val="22"/>
          <w:szCs w:val="22"/>
          <w:lang w:val="sr-Latn-RS"/>
        </w:rPr>
      </w:pPr>
      <w:r w:rsidRPr="00E87295">
        <w:rPr>
          <w:sz w:val="22"/>
          <w:szCs w:val="22"/>
          <w:lang w:val="sr-Latn-RS"/>
        </w:rPr>
        <w:t>U najvećem broju slučajeva, porast vr</w:t>
      </w:r>
      <w:r w:rsidR="004B149E" w:rsidRPr="00E87295">
        <w:rPr>
          <w:sz w:val="22"/>
          <w:szCs w:val="22"/>
          <w:lang w:val="sr-Latn-RS"/>
        </w:rPr>
        <w:t>ij</w:t>
      </w:r>
      <w:r w:rsidRPr="00E87295">
        <w:rPr>
          <w:sz w:val="22"/>
          <w:szCs w:val="22"/>
          <w:lang w:val="sr-Latn-RS"/>
        </w:rPr>
        <w:t>ednosti transaminaza je bio prolazan i nije dovodio do obustave terapije.</w:t>
      </w:r>
    </w:p>
    <w:p w14:paraId="6A1C5A82" w14:textId="77777777" w:rsidR="00681A8E" w:rsidRPr="00E87295" w:rsidRDefault="00681A8E">
      <w:pPr>
        <w:keepNext/>
        <w:autoSpaceDE w:val="0"/>
        <w:autoSpaceDN w:val="0"/>
        <w:adjustRightInd w:val="0"/>
        <w:jc w:val="both"/>
        <w:rPr>
          <w:i/>
          <w:iCs/>
          <w:sz w:val="22"/>
          <w:szCs w:val="22"/>
          <w:lang w:val="sr-Latn-RS"/>
        </w:rPr>
      </w:pPr>
    </w:p>
    <w:p w14:paraId="6CE7B6D6" w14:textId="5BE13789" w:rsidR="006652E4" w:rsidRPr="00E87295" w:rsidRDefault="006652E4">
      <w:pPr>
        <w:keepNext/>
        <w:autoSpaceDE w:val="0"/>
        <w:autoSpaceDN w:val="0"/>
        <w:adjustRightInd w:val="0"/>
        <w:jc w:val="both"/>
        <w:rPr>
          <w:i/>
          <w:sz w:val="22"/>
          <w:szCs w:val="22"/>
          <w:lang w:val="sr-Latn-RS" w:eastAsia="en-CA"/>
        </w:rPr>
      </w:pPr>
      <w:r w:rsidRPr="00E87295">
        <w:rPr>
          <w:i/>
          <w:iCs/>
          <w:sz w:val="22"/>
          <w:szCs w:val="22"/>
          <w:lang w:val="sr-Latn-RS"/>
        </w:rPr>
        <w:t>Smanjeni broj neutrofila</w:t>
      </w:r>
    </w:p>
    <w:p w14:paraId="3F2E1AD0" w14:textId="7BF1C3E3" w:rsidR="006652E4" w:rsidRPr="00E87295" w:rsidRDefault="006652E4">
      <w:pPr>
        <w:pStyle w:val="Bodytext30"/>
        <w:shd w:val="clear" w:color="auto" w:fill="auto"/>
        <w:spacing w:before="0" w:line="240" w:lineRule="auto"/>
        <w:ind w:firstLine="0"/>
        <w:jc w:val="both"/>
        <w:rPr>
          <w:iCs/>
          <w:sz w:val="22"/>
          <w:szCs w:val="22"/>
          <w:lang w:val="sr-Latn-RS"/>
        </w:rPr>
      </w:pPr>
      <w:r w:rsidRPr="00E87295">
        <w:rPr>
          <w:sz w:val="22"/>
          <w:szCs w:val="22"/>
          <w:lang w:val="sr-Latn-RS" w:eastAsia="en-CA"/>
        </w:rPr>
        <w:t>U dva klinička ispitivanja</w:t>
      </w:r>
      <w:r w:rsidRPr="00E87295">
        <w:rPr>
          <w:sz w:val="22"/>
          <w:szCs w:val="22"/>
          <w:lang w:val="sr-Latn-RS"/>
        </w:rPr>
        <w:t xml:space="preserve"> III faze u kojima je ispitivan psorijatični artritis, tokom placebom kontrolisanog perioda </w:t>
      </w:r>
      <w:r w:rsidR="00364608" w:rsidRPr="00E87295">
        <w:rPr>
          <w:sz w:val="22"/>
          <w:szCs w:val="22"/>
          <w:lang w:val="sr-Latn-RS"/>
        </w:rPr>
        <w:t>neželjeni događaj</w:t>
      </w:r>
      <w:r w:rsidR="006F4567" w:rsidRPr="00E87295">
        <w:rPr>
          <w:sz w:val="22"/>
          <w:szCs w:val="22"/>
          <w:lang w:val="sr-Latn-RS"/>
        </w:rPr>
        <w:t>,</w:t>
      </w:r>
      <w:r w:rsidR="00364608" w:rsidRPr="00E87295">
        <w:rPr>
          <w:sz w:val="22"/>
          <w:szCs w:val="22"/>
          <w:lang w:val="sr-Latn-RS"/>
        </w:rPr>
        <w:t xml:space="preserve"> </w:t>
      </w:r>
      <w:r w:rsidRPr="00E87295">
        <w:rPr>
          <w:sz w:val="22"/>
          <w:szCs w:val="22"/>
          <w:lang w:val="sr-Latn-RS"/>
        </w:rPr>
        <w:t>smanje</w:t>
      </w:r>
      <w:r w:rsidR="006F4567" w:rsidRPr="00E87295">
        <w:rPr>
          <w:sz w:val="22"/>
          <w:szCs w:val="22"/>
          <w:lang w:val="sr-Latn-RS"/>
        </w:rPr>
        <w:t>nje</w:t>
      </w:r>
      <w:r w:rsidRPr="00E87295">
        <w:rPr>
          <w:sz w:val="22"/>
          <w:szCs w:val="22"/>
          <w:lang w:val="sr-Latn-RS"/>
        </w:rPr>
        <w:t xml:space="preserve"> broj</w:t>
      </w:r>
      <w:r w:rsidR="006F4567" w:rsidRPr="00E87295">
        <w:rPr>
          <w:sz w:val="22"/>
          <w:szCs w:val="22"/>
          <w:lang w:val="sr-Latn-RS"/>
        </w:rPr>
        <w:t>a</w:t>
      </w:r>
      <w:r w:rsidRPr="00E87295">
        <w:rPr>
          <w:sz w:val="22"/>
          <w:szCs w:val="22"/>
          <w:lang w:val="sr-Latn-RS"/>
        </w:rPr>
        <w:t xml:space="preserve"> neutrofila je zab</w:t>
      </w:r>
      <w:r w:rsidR="009F5282" w:rsidRPr="00E87295">
        <w:rPr>
          <w:sz w:val="22"/>
          <w:szCs w:val="22"/>
          <w:lang w:val="sr-Latn-RS"/>
        </w:rPr>
        <w:t>i</w:t>
      </w:r>
      <w:r w:rsidRPr="00E87295">
        <w:rPr>
          <w:sz w:val="22"/>
          <w:szCs w:val="22"/>
          <w:lang w:val="sr-Latn-RS"/>
        </w:rPr>
        <w:t>l</w:t>
      </w:r>
      <w:r w:rsidR="009F5282" w:rsidRPr="00E87295">
        <w:rPr>
          <w:sz w:val="22"/>
          <w:szCs w:val="22"/>
          <w:lang w:val="sr-Latn-RS"/>
        </w:rPr>
        <w:t>j</w:t>
      </w:r>
      <w:r w:rsidRPr="00E87295">
        <w:rPr>
          <w:sz w:val="22"/>
          <w:szCs w:val="22"/>
          <w:lang w:val="sr-Latn-RS"/>
        </w:rPr>
        <w:t xml:space="preserve">ežen češće </w:t>
      </w:r>
      <w:r w:rsidRPr="00E87295">
        <w:rPr>
          <w:sz w:val="22"/>
          <w:szCs w:val="22"/>
          <w:lang w:val="sr-Latn-RS" w:eastAsia="en-CA"/>
        </w:rPr>
        <w:t xml:space="preserve"> u grupama koje su primale </w:t>
      </w:r>
      <w:r w:rsidR="00FD7763" w:rsidRPr="00E87295">
        <w:rPr>
          <w:sz w:val="22"/>
          <w:szCs w:val="22"/>
          <w:lang w:val="sr-Latn-RS" w:eastAsia="en-CA"/>
        </w:rPr>
        <w:t>g</w:t>
      </w:r>
      <w:r w:rsidR="00345CFA" w:rsidRPr="00E87295">
        <w:rPr>
          <w:sz w:val="22"/>
          <w:szCs w:val="22"/>
          <w:lang w:val="sr-Latn-RS" w:eastAsia="en-CA"/>
        </w:rPr>
        <w:t>uselkumab</w:t>
      </w:r>
      <w:r w:rsidRPr="00E87295">
        <w:rPr>
          <w:sz w:val="22"/>
          <w:szCs w:val="22"/>
          <w:lang w:val="sr-Latn-RS" w:eastAsia="en-CA"/>
        </w:rPr>
        <w:t xml:space="preserve"> (</w:t>
      </w:r>
      <w:r w:rsidRPr="00E87295">
        <w:rPr>
          <w:sz w:val="22"/>
          <w:szCs w:val="22"/>
          <w:lang w:val="sr-Latn-RS"/>
        </w:rPr>
        <w:t>0,9%</w:t>
      </w:r>
      <w:r w:rsidRPr="00E87295">
        <w:rPr>
          <w:sz w:val="22"/>
          <w:szCs w:val="22"/>
          <w:lang w:val="sr-Latn-RS" w:eastAsia="en-CA"/>
        </w:rPr>
        <w:t xml:space="preserve">) nego u grupi koja je primala placebo (0%). </w:t>
      </w:r>
      <w:r w:rsidR="00364608" w:rsidRPr="00E87295">
        <w:rPr>
          <w:sz w:val="22"/>
          <w:szCs w:val="22"/>
          <w:lang w:val="sr-Latn-RS" w:eastAsia="en-CA"/>
        </w:rPr>
        <w:t>Tokom 1 godine neželjeni događaj smanjenj</w:t>
      </w:r>
      <w:r w:rsidR="006F4567" w:rsidRPr="00E87295">
        <w:rPr>
          <w:sz w:val="22"/>
          <w:szCs w:val="22"/>
          <w:lang w:val="sr-Latn-RS" w:eastAsia="en-CA"/>
        </w:rPr>
        <w:t>e</w:t>
      </w:r>
      <w:r w:rsidR="00364608" w:rsidRPr="00E87295">
        <w:rPr>
          <w:sz w:val="22"/>
          <w:szCs w:val="22"/>
          <w:lang w:val="sr-Latn-RS" w:eastAsia="en-CA"/>
        </w:rPr>
        <w:t xml:space="preserve"> broja neutrofila prijavljen je kod 0,9% pacijenata l</w:t>
      </w:r>
      <w:r w:rsidR="00B94F3E" w:rsidRPr="00E87295">
        <w:rPr>
          <w:sz w:val="22"/>
          <w:szCs w:val="22"/>
          <w:lang w:val="sr-Latn-RS" w:eastAsia="en-CA"/>
        </w:rPr>
        <w:t>ij</w:t>
      </w:r>
      <w:r w:rsidR="00364608" w:rsidRPr="00E87295">
        <w:rPr>
          <w:sz w:val="22"/>
          <w:szCs w:val="22"/>
          <w:lang w:val="sr-Latn-RS" w:eastAsia="en-CA"/>
        </w:rPr>
        <w:t xml:space="preserve">ečenih </w:t>
      </w:r>
      <w:r w:rsidR="00FD7763" w:rsidRPr="00E87295">
        <w:rPr>
          <w:sz w:val="22"/>
          <w:szCs w:val="22"/>
          <w:lang w:val="sr-Latn-RS" w:eastAsia="en-CA"/>
        </w:rPr>
        <w:t>guselkumabom</w:t>
      </w:r>
      <w:r w:rsidR="00364608" w:rsidRPr="00E87295">
        <w:rPr>
          <w:sz w:val="22"/>
          <w:szCs w:val="22"/>
          <w:lang w:val="sr-Latn-RS" w:eastAsia="en-CA"/>
        </w:rPr>
        <w:t xml:space="preserve">. </w:t>
      </w:r>
      <w:r w:rsidRPr="00E87295">
        <w:rPr>
          <w:sz w:val="22"/>
          <w:szCs w:val="22"/>
          <w:lang w:val="sr-Latn-RS" w:eastAsia="en-CA"/>
        </w:rPr>
        <w:t>U većini slučajeva, ovo smanjenje broja neutrofila u krvi bilo je blago i prolazno, ali nije bilo povezano sa infekcijama i nije dovodilo do obustave terapije</w:t>
      </w:r>
      <w:r w:rsidRPr="00E87295">
        <w:rPr>
          <w:sz w:val="22"/>
          <w:szCs w:val="22"/>
          <w:lang w:val="sr-Latn-RS"/>
        </w:rPr>
        <w:t>.</w:t>
      </w:r>
    </w:p>
    <w:p w14:paraId="0CDDA05C" w14:textId="77777777" w:rsidR="006652E4" w:rsidRPr="00E87295" w:rsidRDefault="006652E4">
      <w:pPr>
        <w:pStyle w:val="Bodytext30"/>
        <w:shd w:val="clear" w:color="auto" w:fill="auto"/>
        <w:spacing w:before="0" w:line="240" w:lineRule="auto"/>
        <w:ind w:left="560"/>
        <w:jc w:val="both"/>
        <w:rPr>
          <w:iCs/>
          <w:sz w:val="22"/>
          <w:szCs w:val="22"/>
          <w:lang w:val="sr-Latn-RS"/>
        </w:rPr>
      </w:pPr>
    </w:p>
    <w:p w14:paraId="19BE9F53" w14:textId="66C774ED" w:rsidR="007677A5" w:rsidRPr="00E87295" w:rsidRDefault="007677A5">
      <w:pPr>
        <w:pStyle w:val="Bodytext30"/>
        <w:shd w:val="clear" w:color="auto" w:fill="auto"/>
        <w:spacing w:before="0" w:line="240" w:lineRule="auto"/>
        <w:ind w:left="560"/>
        <w:jc w:val="both"/>
        <w:rPr>
          <w:i/>
          <w:sz w:val="22"/>
          <w:szCs w:val="22"/>
          <w:lang w:val="sr-Latn-RS"/>
        </w:rPr>
      </w:pPr>
      <w:r w:rsidRPr="00E87295">
        <w:rPr>
          <w:i/>
          <w:sz w:val="22"/>
          <w:szCs w:val="22"/>
          <w:lang w:val="sr-Latn-RS"/>
        </w:rPr>
        <w:t>Gastroenteritis</w:t>
      </w:r>
    </w:p>
    <w:p w14:paraId="40F2F59D" w14:textId="04F4E676" w:rsidR="007677A5" w:rsidRPr="00E87295" w:rsidRDefault="007677A5">
      <w:pPr>
        <w:spacing w:after="240"/>
        <w:ind w:left="20"/>
        <w:jc w:val="both"/>
        <w:rPr>
          <w:sz w:val="22"/>
          <w:szCs w:val="22"/>
          <w:lang w:val="sr-Latn-RS"/>
        </w:rPr>
      </w:pPr>
      <w:r w:rsidRPr="00E87295">
        <w:rPr>
          <w:sz w:val="22"/>
          <w:szCs w:val="22"/>
          <w:lang w:val="sr-Latn-RS"/>
        </w:rPr>
        <w:t xml:space="preserve">U dva klinička ispitivanja </w:t>
      </w:r>
      <w:r w:rsidR="006652E4" w:rsidRPr="00E87295">
        <w:rPr>
          <w:sz w:val="22"/>
          <w:szCs w:val="22"/>
          <w:lang w:val="sr-Latn-RS"/>
        </w:rPr>
        <w:t xml:space="preserve">psorijaze u studijama </w:t>
      </w:r>
      <w:r w:rsidRPr="00E87295">
        <w:rPr>
          <w:sz w:val="22"/>
          <w:szCs w:val="22"/>
          <w:lang w:val="sr-Latn-RS"/>
        </w:rPr>
        <w:t xml:space="preserve">faze III tokom placebom kontrolisanog perioda, gastroenteritis se češće javljao u grupi koja je primala </w:t>
      </w:r>
      <w:r w:rsidR="00FD7763" w:rsidRPr="00E87295">
        <w:rPr>
          <w:sz w:val="22"/>
          <w:szCs w:val="22"/>
          <w:lang w:val="sr-Latn-RS"/>
        </w:rPr>
        <w:t>g</w:t>
      </w:r>
      <w:r w:rsidR="00345CFA" w:rsidRPr="00E87295">
        <w:rPr>
          <w:sz w:val="22"/>
          <w:szCs w:val="22"/>
          <w:lang w:val="sr-Latn-RS"/>
        </w:rPr>
        <w:t>uselkumab</w:t>
      </w:r>
      <w:r w:rsidRPr="00E87295">
        <w:rPr>
          <w:sz w:val="22"/>
          <w:szCs w:val="22"/>
          <w:lang w:val="sr-Latn-RS"/>
        </w:rPr>
        <w:t xml:space="preserve"> (1,1%) nego u onoj koja je primala placebo (0,7%). </w:t>
      </w:r>
      <w:r w:rsidR="0006393B" w:rsidRPr="00C929E2">
        <w:rPr>
          <w:sz w:val="22"/>
          <w:szCs w:val="22"/>
          <w:lang w:val="sr-Latn-RS"/>
        </w:rPr>
        <w:t xml:space="preserve">Gastoenteritis je prijavljen kod </w:t>
      </w:r>
      <w:r w:rsidR="00681A8E" w:rsidRPr="00E87295">
        <w:rPr>
          <w:sz w:val="22"/>
          <w:szCs w:val="22"/>
          <w:lang w:val="sr-Latn-RS"/>
        </w:rPr>
        <w:t>5,8</w:t>
      </w:r>
      <w:r w:rsidR="0006393B" w:rsidRPr="00C929E2">
        <w:rPr>
          <w:sz w:val="22"/>
          <w:szCs w:val="22"/>
          <w:lang w:val="sr-Latn-RS"/>
        </w:rPr>
        <w:t>% pacijenata od ukupnog broja pacijenata l</w:t>
      </w:r>
      <w:r w:rsidR="008A303B" w:rsidRPr="00C929E2">
        <w:rPr>
          <w:sz w:val="22"/>
          <w:szCs w:val="22"/>
          <w:lang w:val="sr-Latn-RS"/>
        </w:rPr>
        <w:t>ij</w:t>
      </w:r>
      <w:r w:rsidR="0006393B" w:rsidRPr="00C929E2">
        <w:rPr>
          <w:sz w:val="22"/>
          <w:szCs w:val="22"/>
          <w:lang w:val="sr-Latn-RS"/>
        </w:rPr>
        <w:t xml:space="preserve">ečenih </w:t>
      </w:r>
      <w:r w:rsidR="00FD7763" w:rsidRPr="00C929E2">
        <w:rPr>
          <w:sz w:val="22"/>
          <w:szCs w:val="22"/>
          <w:lang w:val="sr-Latn-RS"/>
        </w:rPr>
        <w:t xml:space="preserve">guselkumabom </w:t>
      </w:r>
      <w:r w:rsidR="0006393B" w:rsidRPr="00C929E2">
        <w:rPr>
          <w:sz w:val="22"/>
          <w:szCs w:val="22"/>
          <w:lang w:val="sr-Latn-RS"/>
        </w:rPr>
        <w:t xml:space="preserve">tokom </w:t>
      </w:r>
      <w:r w:rsidR="00681A8E" w:rsidRPr="00E87295">
        <w:rPr>
          <w:sz w:val="22"/>
          <w:szCs w:val="22"/>
          <w:lang w:val="sr-Latn-RS"/>
        </w:rPr>
        <w:t>264</w:t>
      </w:r>
      <w:r w:rsidR="006411D1" w:rsidRPr="00E87295">
        <w:rPr>
          <w:sz w:val="22"/>
          <w:szCs w:val="22"/>
          <w:lang w:val="sr-Latn-RS"/>
        </w:rPr>
        <w:t xml:space="preserve"> </w:t>
      </w:r>
      <w:r w:rsidR="0006393B" w:rsidRPr="00C929E2">
        <w:rPr>
          <w:sz w:val="22"/>
          <w:szCs w:val="22"/>
          <w:lang w:val="sr-Latn-RS"/>
        </w:rPr>
        <w:t>ned</w:t>
      </w:r>
      <w:r w:rsidR="004C56CA" w:rsidRPr="00C929E2">
        <w:rPr>
          <w:sz w:val="22"/>
          <w:szCs w:val="22"/>
          <w:lang w:val="sr-Latn-RS"/>
        </w:rPr>
        <w:t>j</w:t>
      </w:r>
      <w:r w:rsidR="0006393B" w:rsidRPr="00C929E2">
        <w:rPr>
          <w:sz w:val="22"/>
          <w:szCs w:val="22"/>
          <w:lang w:val="sr-Latn-RS"/>
        </w:rPr>
        <w:t>elja</w:t>
      </w:r>
      <w:r w:rsidR="006411D1" w:rsidRPr="00C929E2">
        <w:rPr>
          <w:sz w:val="22"/>
          <w:szCs w:val="22"/>
          <w:lang w:val="sr-Latn-RS"/>
        </w:rPr>
        <w:t>.</w:t>
      </w:r>
      <w:r w:rsidR="0006393B" w:rsidRPr="00C929E2">
        <w:rPr>
          <w:sz w:val="22"/>
          <w:szCs w:val="22"/>
          <w:lang w:val="sr-Latn-RS"/>
        </w:rPr>
        <w:t xml:space="preserve"> </w:t>
      </w:r>
      <w:r w:rsidRPr="00E87295">
        <w:rPr>
          <w:sz w:val="22"/>
          <w:szCs w:val="22"/>
          <w:lang w:val="sr-Latn-RS"/>
        </w:rPr>
        <w:t xml:space="preserve">Gastroenteritis nije bio ozbiljna neželjena reakcija i nije vodio do prekida terapije </w:t>
      </w:r>
      <w:r w:rsidR="00FD7763" w:rsidRPr="00E87295">
        <w:rPr>
          <w:sz w:val="22"/>
          <w:szCs w:val="22"/>
          <w:lang w:val="sr-Latn-RS"/>
        </w:rPr>
        <w:t xml:space="preserve">guselkumabom </w:t>
      </w:r>
      <w:r w:rsidRPr="00E87295">
        <w:rPr>
          <w:sz w:val="22"/>
          <w:szCs w:val="22"/>
          <w:lang w:val="sr-Latn-RS"/>
        </w:rPr>
        <w:t xml:space="preserve">tokom </w:t>
      </w:r>
      <w:r w:rsidR="00681A8E" w:rsidRPr="00E87295">
        <w:rPr>
          <w:sz w:val="22"/>
          <w:szCs w:val="22"/>
          <w:lang w:val="sr-Latn-RS"/>
        </w:rPr>
        <w:t>264</w:t>
      </w:r>
      <w:r w:rsidR="0006393B" w:rsidRPr="00C929E2">
        <w:rPr>
          <w:sz w:val="22"/>
          <w:szCs w:val="22"/>
          <w:lang w:val="sr-Latn-RS"/>
        </w:rPr>
        <w:t xml:space="preserve"> </w:t>
      </w:r>
      <w:r w:rsidRPr="00E87295">
        <w:rPr>
          <w:sz w:val="22"/>
          <w:szCs w:val="22"/>
          <w:lang w:val="sr-Latn-RS"/>
        </w:rPr>
        <w:t>ned</w:t>
      </w:r>
      <w:r w:rsidR="00935501" w:rsidRPr="00E87295">
        <w:rPr>
          <w:sz w:val="22"/>
          <w:szCs w:val="22"/>
          <w:lang w:val="sr-Latn-RS"/>
        </w:rPr>
        <w:t>j</w:t>
      </w:r>
      <w:r w:rsidRPr="00E87295">
        <w:rPr>
          <w:sz w:val="22"/>
          <w:szCs w:val="22"/>
          <w:lang w:val="sr-Latn-RS"/>
        </w:rPr>
        <w:t>elj</w:t>
      </w:r>
      <w:r w:rsidR="00FE4979" w:rsidRPr="00E87295">
        <w:rPr>
          <w:sz w:val="22"/>
          <w:szCs w:val="22"/>
          <w:lang w:val="sr-Latn-RS"/>
        </w:rPr>
        <w:t>e</w:t>
      </w:r>
      <w:r w:rsidRPr="00E87295">
        <w:rPr>
          <w:sz w:val="22"/>
          <w:szCs w:val="22"/>
          <w:lang w:val="sr-Latn-RS"/>
        </w:rPr>
        <w:t>.</w:t>
      </w:r>
      <w:r w:rsidR="006652E4" w:rsidRPr="00E87295">
        <w:rPr>
          <w:sz w:val="22"/>
          <w:szCs w:val="22"/>
          <w:lang w:val="sr-Latn-RS"/>
        </w:rPr>
        <w:t xml:space="preserve"> Stope gastroenteritisa </w:t>
      </w:r>
      <w:r w:rsidR="00FE4979" w:rsidRPr="00E87295">
        <w:rPr>
          <w:sz w:val="22"/>
          <w:szCs w:val="22"/>
          <w:lang w:val="sr-Latn-RS"/>
        </w:rPr>
        <w:t xml:space="preserve">zabilježene </w:t>
      </w:r>
      <w:r w:rsidR="006652E4" w:rsidRPr="00E87295">
        <w:rPr>
          <w:sz w:val="22"/>
          <w:szCs w:val="22"/>
          <w:lang w:val="sr-Latn-RS"/>
        </w:rPr>
        <w:t>u kliničkim ispitivanjima psorijatičnog artritisa tokom placebom kontrolisanog perioda bile su slične kao kod onih u kliničkim ispitivanjima psorijaze.</w:t>
      </w:r>
    </w:p>
    <w:p w14:paraId="43C5664C" w14:textId="77777777" w:rsidR="007677A5" w:rsidRPr="00E87295" w:rsidRDefault="007677A5">
      <w:pPr>
        <w:pStyle w:val="Bodytext30"/>
        <w:shd w:val="clear" w:color="auto" w:fill="auto"/>
        <w:spacing w:before="0" w:line="240" w:lineRule="auto"/>
        <w:ind w:left="580"/>
        <w:jc w:val="both"/>
        <w:rPr>
          <w:i/>
          <w:sz w:val="22"/>
          <w:szCs w:val="22"/>
          <w:lang w:val="sr-Latn-RS"/>
        </w:rPr>
      </w:pPr>
      <w:r w:rsidRPr="00E87295">
        <w:rPr>
          <w:i/>
          <w:sz w:val="22"/>
          <w:szCs w:val="22"/>
          <w:lang w:val="sr-Latn-RS"/>
        </w:rPr>
        <w:t>Reakcije na mjestu primjene injekcije</w:t>
      </w:r>
    </w:p>
    <w:p w14:paraId="06F2386C" w14:textId="4239EE3F" w:rsidR="007677A5" w:rsidRPr="00E87295" w:rsidRDefault="007677A5">
      <w:pPr>
        <w:spacing w:after="240"/>
        <w:ind w:left="20"/>
        <w:jc w:val="both"/>
        <w:rPr>
          <w:sz w:val="22"/>
          <w:szCs w:val="22"/>
          <w:lang w:val="sr-Latn-RS"/>
        </w:rPr>
      </w:pPr>
      <w:r w:rsidRPr="00E87295">
        <w:rPr>
          <w:sz w:val="22"/>
          <w:szCs w:val="22"/>
          <w:lang w:val="sr-Latn-RS"/>
        </w:rPr>
        <w:t>U 48 ned</w:t>
      </w:r>
      <w:r w:rsidR="00935501" w:rsidRPr="00E87295">
        <w:rPr>
          <w:sz w:val="22"/>
          <w:szCs w:val="22"/>
          <w:lang w:val="sr-Latn-RS"/>
        </w:rPr>
        <w:t>j</w:t>
      </w:r>
      <w:r w:rsidRPr="00E87295">
        <w:rPr>
          <w:sz w:val="22"/>
          <w:szCs w:val="22"/>
          <w:lang w:val="sr-Latn-RS"/>
        </w:rPr>
        <w:t xml:space="preserve">elji, u dva klinička ispitivanja </w:t>
      </w:r>
      <w:r w:rsidR="006652E4" w:rsidRPr="00E87295">
        <w:rPr>
          <w:sz w:val="22"/>
          <w:szCs w:val="22"/>
          <w:lang w:val="sr-Latn-RS"/>
        </w:rPr>
        <w:t xml:space="preserve">psorijaze </w:t>
      </w:r>
      <w:r w:rsidRPr="00E87295">
        <w:rPr>
          <w:sz w:val="22"/>
          <w:szCs w:val="22"/>
          <w:lang w:val="sr-Latn-RS"/>
        </w:rPr>
        <w:t>faze III, javile su se neželjene reakcije na mjestu primjene lijeka i to kod 0,7% prim</w:t>
      </w:r>
      <w:r w:rsidR="00B7192C" w:rsidRPr="00E87295">
        <w:rPr>
          <w:sz w:val="22"/>
          <w:szCs w:val="22"/>
          <w:lang w:val="sr-Latn-RS"/>
        </w:rPr>
        <w:t>i</w:t>
      </w:r>
      <w:r w:rsidRPr="00E87295">
        <w:rPr>
          <w:sz w:val="22"/>
          <w:szCs w:val="22"/>
          <w:lang w:val="sr-Latn-RS"/>
        </w:rPr>
        <w:t xml:space="preserve">jenjenih injekcija </w:t>
      </w:r>
      <w:r w:rsidR="00345CFA" w:rsidRPr="00E87295">
        <w:rPr>
          <w:sz w:val="22"/>
          <w:szCs w:val="22"/>
          <w:lang w:val="sr-Latn-RS"/>
        </w:rPr>
        <w:t>guselkumaba</w:t>
      </w:r>
      <w:r w:rsidRPr="00E87295">
        <w:rPr>
          <w:sz w:val="22"/>
          <w:szCs w:val="22"/>
          <w:lang w:val="sr-Latn-RS"/>
        </w:rPr>
        <w:t xml:space="preserve"> i kod 0,3% prim</w:t>
      </w:r>
      <w:r w:rsidR="006B648D" w:rsidRPr="00E87295">
        <w:rPr>
          <w:sz w:val="22"/>
          <w:szCs w:val="22"/>
          <w:lang w:val="sr-Latn-RS"/>
        </w:rPr>
        <w:t>i</w:t>
      </w:r>
      <w:r w:rsidRPr="00E87295">
        <w:rPr>
          <w:sz w:val="22"/>
          <w:szCs w:val="22"/>
          <w:lang w:val="sr-Latn-RS"/>
        </w:rPr>
        <w:t xml:space="preserve">jenjenih injekcija placeba. </w:t>
      </w:r>
      <w:r w:rsidR="0006393B" w:rsidRPr="00C929E2">
        <w:rPr>
          <w:sz w:val="22"/>
          <w:szCs w:val="22"/>
          <w:lang w:val="sr-Latn-RS"/>
        </w:rPr>
        <w:t xml:space="preserve">Tokom </w:t>
      </w:r>
      <w:r w:rsidR="00681A8E" w:rsidRPr="00E87295">
        <w:rPr>
          <w:sz w:val="22"/>
          <w:szCs w:val="22"/>
          <w:lang w:val="sr-Latn-RS"/>
        </w:rPr>
        <w:t>264</w:t>
      </w:r>
      <w:r w:rsidR="0006393B" w:rsidRPr="00C929E2">
        <w:rPr>
          <w:sz w:val="22"/>
          <w:szCs w:val="22"/>
          <w:lang w:val="sr-Latn-RS"/>
        </w:rPr>
        <w:t xml:space="preserve"> nedelj</w:t>
      </w:r>
      <w:r w:rsidR="00FE4979" w:rsidRPr="00C929E2">
        <w:rPr>
          <w:sz w:val="22"/>
          <w:szCs w:val="22"/>
          <w:lang w:val="sr-Latn-RS"/>
        </w:rPr>
        <w:t>e</w:t>
      </w:r>
      <w:r w:rsidR="0006393B" w:rsidRPr="00C929E2">
        <w:rPr>
          <w:sz w:val="22"/>
          <w:szCs w:val="22"/>
          <w:lang w:val="sr-Latn-RS"/>
        </w:rPr>
        <w:t xml:space="preserve"> je 0,</w:t>
      </w:r>
      <w:r w:rsidR="00681A8E" w:rsidRPr="00C929E2">
        <w:rPr>
          <w:sz w:val="22"/>
          <w:szCs w:val="22"/>
          <w:lang w:val="sr-Latn-RS"/>
        </w:rPr>
        <w:t>4</w:t>
      </w:r>
      <w:r w:rsidR="0006393B" w:rsidRPr="00C929E2">
        <w:rPr>
          <w:sz w:val="22"/>
          <w:szCs w:val="22"/>
          <w:lang w:val="sr-Latn-RS"/>
        </w:rPr>
        <w:t xml:space="preserve">% injekcija </w:t>
      </w:r>
      <w:r w:rsidR="00345CFA" w:rsidRPr="00C929E2">
        <w:rPr>
          <w:sz w:val="22"/>
          <w:szCs w:val="22"/>
          <w:lang w:val="sr-Latn-RS"/>
        </w:rPr>
        <w:t>guselkumaba</w:t>
      </w:r>
      <w:r w:rsidR="0006393B" w:rsidRPr="00C929E2">
        <w:rPr>
          <w:sz w:val="22"/>
          <w:szCs w:val="22"/>
          <w:lang w:val="sr-Latn-RS"/>
        </w:rPr>
        <w:t xml:space="preserve"> povezano sa reakcijama na m</w:t>
      </w:r>
      <w:r w:rsidR="008A303B" w:rsidRPr="00C929E2">
        <w:rPr>
          <w:sz w:val="22"/>
          <w:szCs w:val="22"/>
          <w:lang w:val="sr-Latn-RS"/>
        </w:rPr>
        <w:t>j</w:t>
      </w:r>
      <w:r w:rsidR="0006393B" w:rsidRPr="00C929E2">
        <w:rPr>
          <w:sz w:val="22"/>
          <w:szCs w:val="22"/>
          <w:lang w:val="sr-Latn-RS"/>
        </w:rPr>
        <w:t>estu prim</w:t>
      </w:r>
      <w:r w:rsidR="008A303B" w:rsidRPr="00C929E2">
        <w:rPr>
          <w:sz w:val="22"/>
          <w:szCs w:val="22"/>
          <w:lang w:val="sr-Latn-RS"/>
        </w:rPr>
        <w:t>j</w:t>
      </w:r>
      <w:r w:rsidR="0006393B" w:rsidRPr="00C929E2">
        <w:rPr>
          <w:sz w:val="22"/>
          <w:szCs w:val="22"/>
          <w:lang w:val="sr-Latn-RS"/>
        </w:rPr>
        <w:t>ene inje</w:t>
      </w:r>
      <w:r w:rsidR="008A303B" w:rsidRPr="00C929E2">
        <w:rPr>
          <w:sz w:val="22"/>
          <w:szCs w:val="22"/>
          <w:lang w:val="sr-Latn-RS"/>
        </w:rPr>
        <w:t>k</w:t>
      </w:r>
      <w:r w:rsidR="0006393B" w:rsidRPr="00C929E2">
        <w:rPr>
          <w:sz w:val="22"/>
          <w:szCs w:val="22"/>
          <w:lang w:val="sr-Latn-RS"/>
        </w:rPr>
        <w:t>cije</w:t>
      </w:r>
      <w:r w:rsidR="00681A8E" w:rsidRPr="00C929E2">
        <w:rPr>
          <w:sz w:val="22"/>
          <w:szCs w:val="22"/>
          <w:lang w:val="sr-Latn-RS"/>
        </w:rPr>
        <w:t xml:space="preserve"> i </w:t>
      </w:r>
      <w:r w:rsidRPr="00E87295">
        <w:rPr>
          <w:sz w:val="22"/>
          <w:szCs w:val="22"/>
          <w:lang w:val="sr-Latn-RS"/>
        </w:rPr>
        <w:t xml:space="preserve">bile su </w:t>
      </w:r>
      <w:r w:rsidR="0006393B" w:rsidRPr="00C929E2">
        <w:rPr>
          <w:sz w:val="22"/>
          <w:szCs w:val="22"/>
          <w:lang w:val="sr-Latn-RS"/>
        </w:rPr>
        <w:t xml:space="preserve">uglavnom </w:t>
      </w:r>
      <w:r w:rsidRPr="00E87295">
        <w:rPr>
          <w:sz w:val="22"/>
          <w:szCs w:val="22"/>
          <w:lang w:val="sr-Latn-RS"/>
        </w:rPr>
        <w:t xml:space="preserve">blage do umjerene težine, nijedna nije bila ozbiljna i </w:t>
      </w:r>
      <w:r w:rsidR="00681A8E" w:rsidRPr="00E87295">
        <w:rPr>
          <w:sz w:val="22"/>
          <w:szCs w:val="22"/>
          <w:lang w:val="sr-Latn-RS"/>
        </w:rPr>
        <w:t>jedna</w:t>
      </w:r>
      <w:r w:rsidRPr="00E87295">
        <w:rPr>
          <w:sz w:val="22"/>
          <w:szCs w:val="22"/>
          <w:lang w:val="sr-Latn-RS"/>
        </w:rPr>
        <w:t xml:space="preserve"> je vodila do prekida terapije</w:t>
      </w:r>
      <w:r w:rsidR="00FD7763" w:rsidRPr="00E87295">
        <w:rPr>
          <w:sz w:val="22"/>
          <w:szCs w:val="22"/>
          <w:lang w:val="sr-Latn-RS"/>
        </w:rPr>
        <w:t xml:space="preserve"> guselkumabom</w:t>
      </w:r>
      <w:r w:rsidRPr="00E87295">
        <w:rPr>
          <w:sz w:val="22"/>
          <w:szCs w:val="22"/>
          <w:lang w:val="sr-Latn-RS"/>
        </w:rPr>
        <w:t>.</w:t>
      </w:r>
    </w:p>
    <w:p w14:paraId="3B3646B0" w14:textId="15B7A508" w:rsidR="006652E4" w:rsidRPr="00E87295" w:rsidRDefault="006652E4">
      <w:pPr>
        <w:jc w:val="both"/>
        <w:rPr>
          <w:iCs/>
          <w:sz w:val="22"/>
          <w:szCs w:val="22"/>
          <w:lang w:val="sr-Latn-RS"/>
        </w:rPr>
      </w:pPr>
      <w:bookmarkStart w:id="1" w:name="_Hlk36108698"/>
      <w:r w:rsidRPr="00E87295">
        <w:rPr>
          <w:sz w:val="22"/>
          <w:szCs w:val="22"/>
          <w:lang w:val="sr-Latn-RS"/>
        </w:rPr>
        <w:t>U dva klinička ispitivanja psorijatičnog artritisa</w:t>
      </w:r>
      <w:r w:rsidRPr="00E87295">
        <w:rPr>
          <w:iCs/>
          <w:sz w:val="22"/>
          <w:szCs w:val="22"/>
          <w:lang w:val="sr-Latn-RS"/>
        </w:rPr>
        <w:t xml:space="preserve"> u studijama III faze tokom 24. ned</w:t>
      </w:r>
      <w:r w:rsidR="009F5282" w:rsidRPr="00E87295">
        <w:rPr>
          <w:iCs/>
          <w:sz w:val="22"/>
          <w:szCs w:val="22"/>
          <w:lang w:val="sr-Latn-RS"/>
        </w:rPr>
        <w:t>j</w:t>
      </w:r>
      <w:r w:rsidRPr="00E87295">
        <w:rPr>
          <w:iCs/>
          <w:sz w:val="22"/>
          <w:szCs w:val="22"/>
          <w:lang w:val="sr-Latn-RS"/>
        </w:rPr>
        <w:t xml:space="preserve">elje broj ispitanika koji </w:t>
      </w:r>
      <w:r w:rsidR="00FE4979" w:rsidRPr="00E87295">
        <w:rPr>
          <w:iCs/>
          <w:sz w:val="22"/>
          <w:szCs w:val="22"/>
          <w:lang w:val="sr-Latn-RS"/>
        </w:rPr>
        <w:t>su</w:t>
      </w:r>
      <w:r w:rsidRPr="00E87295">
        <w:rPr>
          <w:iCs/>
          <w:sz w:val="22"/>
          <w:szCs w:val="22"/>
          <w:lang w:val="sr-Latn-RS"/>
        </w:rPr>
        <w:t xml:space="preserve"> prijavi</w:t>
      </w:r>
      <w:r w:rsidR="00FE4979" w:rsidRPr="00E87295">
        <w:rPr>
          <w:iCs/>
          <w:sz w:val="22"/>
          <w:szCs w:val="22"/>
          <w:lang w:val="sr-Latn-RS"/>
        </w:rPr>
        <w:t>li</w:t>
      </w:r>
      <w:r w:rsidRPr="00E87295">
        <w:rPr>
          <w:iCs/>
          <w:sz w:val="22"/>
          <w:szCs w:val="22"/>
          <w:lang w:val="sr-Latn-RS"/>
        </w:rPr>
        <w:t xml:space="preserve"> jednu ili više reakcija na m</w:t>
      </w:r>
      <w:r w:rsidR="009F5282" w:rsidRPr="00E87295">
        <w:rPr>
          <w:iCs/>
          <w:sz w:val="22"/>
          <w:szCs w:val="22"/>
          <w:lang w:val="sr-Latn-RS"/>
        </w:rPr>
        <w:t>j</w:t>
      </w:r>
      <w:r w:rsidRPr="00E87295">
        <w:rPr>
          <w:iCs/>
          <w:sz w:val="22"/>
          <w:szCs w:val="22"/>
          <w:lang w:val="sr-Latn-RS"/>
        </w:rPr>
        <w:t>estu prim</w:t>
      </w:r>
      <w:r w:rsidR="009F5282" w:rsidRPr="00E87295">
        <w:rPr>
          <w:iCs/>
          <w:sz w:val="22"/>
          <w:szCs w:val="22"/>
          <w:lang w:val="sr-Latn-RS"/>
        </w:rPr>
        <w:t>j</w:t>
      </w:r>
      <w:r w:rsidRPr="00E87295">
        <w:rPr>
          <w:iCs/>
          <w:sz w:val="22"/>
          <w:szCs w:val="22"/>
          <w:lang w:val="sr-Latn-RS"/>
        </w:rPr>
        <w:t xml:space="preserve">ene injekcije bio je nizak, a samo neznatno viši u grupi koja je primala </w:t>
      </w:r>
      <w:r w:rsidR="00FD7763" w:rsidRPr="00E87295">
        <w:rPr>
          <w:iCs/>
          <w:sz w:val="22"/>
          <w:szCs w:val="22"/>
          <w:lang w:val="sr-Latn-RS"/>
        </w:rPr>
        <w:t>g</w:t>
      </w:r>
      <w:r w:rsidR="00345CFA" w:rsidRPr="00E87295">
        <w:rPr>
          <w:iCs/>
          <w:sz w:val="22"/>
          <w:szCs w:val="22"/>
          <w:lang w:val="sr-Latn-RS"/>
        </w:rPr>
        <w:t>uselkumab</w:t>
      </w:r>
      <w:r w:rsidRPr="00E87295">
        <w:rPr>
          <w:iCs/>
          <w:sz w:val="22"/>
          <w:szCs w:val="22"/>
          <w:lang w:val="sr-Latn-RS"/>
        </w:rPr>
        <w:t xml:space="preserve"> nego u grupi koja je primala placebo: 5 (1,3%) ispitanika u grupi koji su </w:t>
      </w:r>
      <w:r w:rsidR="00A91E1D" w:rsidRPr="00E87295">
        <w:rPr>
          <w:iCs/>
          <w:sz w:val="22"/>
          <w:szCs w:val="22"/>
          <w:lang w:val="sr-Latn-RS"/>
        </w:rPr>
        <w:t>g</w:t>
      </w:r>
      <w:r w:rsidR="00345CFA" w:rsidRPr="00E87295">
        <w:rPr>
          <w:iCs/>
          <w:sz w:val="22"/>
          <w:szCs w:val="22"/>
          <w:lang w:val="sr-Latn-RS"/>
        </w:rPr>
        <w:t>uselkumab</w:t>
      </w:r>
      <w:r w:rsidRPr="00E87295">
        <w:rPr>
          <w:iCs/>
          <w:sz w:val="22"/>
          <w:szCs w:val="22"/>
          <w:lang w:val="sr-Latn-RS"/>
        </w:rPr>
        <w:t xml:space="preserve"> primali na 8 ned</w:t>
      </w:r>
      <w:r w:rsidR="009F5282" w:rsidRPr="00E87295">
        <w:rPr>
          <w:iCs/>
          <w:sz w:val="22"/>
          <w:szCs w:val="22"/>
          <w:lang w:val="sr-Latn-RS"/>
        </w:rPr>
        <w:t>j</w:t>
      </w:r>
      <w:r w:rsidRPr="00E87295">
        <w:rPr>
          <w:iCs/>
          <w:sz w:val="22"/>
          <w:szCs w:val="22"/>
          <w:lang w:val="sr-Latn-RS"/>
        </w:rPr>
        <w:t xml:space="preserve">elja, 4 (1,1%)  u grupi koji su </w:t>
      </w:r>
      <w:r w:rsidR="00FD7763" w:rsidRPr="00E87295">
        <w:rPr>
          <w:iCs/>
          <w:sz w:val="22"/>
          <w:szCs w:val="22"/>
          <w:lang w:val="sr-Latn-RS"/>
        </w:rPr>
        <w:t>g</w:t>
      </w:r>
      <w:r w:rsidR="00345CFA" w:rsidRPr="00E87295">
        <w:rPr>
          <w:iCs/>
          <w:sz w:val="22"/>
          <w:szCs w:val="22"/>
          <w:lang w:val="sr-Latn-RS"/>
        </w:rPr>
        <w:t>uselkumab</w:t>
      </w:r>
      <w:r w:rsidRPr="00E87295">
        <w:rPr>
          <w:iCs/>
          <w:sz w:val="22"/>
          <w:szCs w:val="22"/>
          <w:lang w:val="sr-Latn-RS"/>
        </w:rPr>
        <w:t xml:space="preserve"> primali na 4 ned</w:t>
      </w:r>
      <w:r w:rsidR="009F5282" w:rsidRPr="00E87295">
        <w:rPr>
          <w:iCs/>
          <w:sz w:val="22"/>
          <w:szCs w:val="22"/>
          <w:lang w:val="sr-Latn-RS"/>
        </w:rPr>
        <w:t>j</w:t>
      </w:r>
      <w:r w:rsidRPr="00E87295">
        <w:rPr>
          <w:iCs/>
          <w:sz w:val="22"/>
          <w:szCs w:val="22"/>
          <w:lang w:val="sr-Latn-RS"/>
        </w:rPr>
        <w:t xml:space="preserve">elje, i 1 (0,3%) u grupi koja je primala placebo. Jedan ispitanik prestao je da uzima </w:t>
      </w:r>
      <w:r w:rsidR="00A91E1D" w:rsidRPr="00E87295">
        <w:rPr>
          <w:iCs/>
          <w:sz w:val="22"/>
          <w:szCs w:val="22"/>
          <w:lang w:val="sr-Latn-RS"/>
        </w:rPr>
        <w:t>g</w:t>
      </w:r>
      <w:r w:rsidR="00345CFA" w:rsidRPr="00E87295">
        <w:rPr>
          <w:iCs/>
          <w:sz w:val="22"/>
          <w:szCs w:val="22"/>
          <w:lang w:val="sr-Latn-RS"/>
        </w:rPr>
        <w:t>uselkumab</w:t>
      </w:r>
      <w:r w:rsidRPr="00E87295">
        <w:rPr>
          <w:iCs/>
          <w:sz w:val="22"/>
          <w:szCs w:val="22"/>
          <w:lang w:val="sr-Latn-RS" w:eastAsia="zh-TW"/>
        </w:rPr>
        <w:t xml:space="preserve"> zbog </w:t>
      </w:r>
      <w:r w:rsidRPr="00E87295">
        <w:rPr>
          <w:iCs/>
          <w:sz w:val="22"/>
          <w:szCs w:val="22"/>
          <w:lang w:val="sr-Latn-RS"/>
        </w:rPr>
        <w:t>reakcije na m</w:t>
      </w:r>
      <w:r w:rsidR="009F5282" w:rsidRPr="00E87295">
        <w:rPr>
          <w:iCs/>
          <w:sz w:val="22"/>
          <w:szCs w:val="22"/>
          <w:lang w:val="sr-Latn-RS"/>
        </w:rPr>
        <w:t>j</w:t>
      </w:r>
      <w:r w:rsidRPr="00E87295">
        <w:rPr>
          <w:iCs/>
          <w:sz w:val="22"/>
          <w:szCs w:val="22"/>
          <w:lang w:val="sr-Latn-RS"/>
        </w:rPr>
        <w:t>estu prim</w:t>
      </w:r>
      <w:r w:rsidR="009F5282" w:rsidRPr="00E87295">
        <w:rPr>
          <w:iCs/>
          <w:sz w:val="22"/>
          <w:szCs w:val="22"/>
          <w:lang w:val="sr-Latn-RS"/>
        </w:rPr>
        <w:t>j</w:t>
      </w:r>
      <w:r w:rsidRPr="00E87295">
        <w:rPr>
          <w:iCs/>
          <w:sz w:val="22"/>
          <w:szCs w:val="22"/>
          <w:lang w:val="sr-Latn-RS"/>
        </w:rPr>
        <w:t xml:space="preserve">ene </w:t>
      </w:r>
      <w:r w:rsidRPr="00E87295">
        <w:rPr>
          <w:iCs/>
          <w:sz w:val="22"/>
          <w:szCs w:val="22"/>
          <w:lang w:val="sr-Latn-RS" w:eastAsia="zh-TW"/>
        </w:rPr>
        <w:t xml:space="preserve">tokom placebom kontrolisanog perioda u </w:t>
      </w:r>
      <w:r w:rsidRPr="00E87295">
        <w:rPr>
          <w:sz w:val="22"/>
          <w:szCs w:val="22"/>
          <w:lang w:val="sr-Latn-RS"/>
        </w:rPr>
        <w:t>kliničkim ispitivanjima psorijatičnog artritisa</w:t>
      </w:r>
      <w:r w:rsidRPr="00E87295">
        <w:rPr>
          <w:iCs/>
          <w:sz w:val="22"/>
          <w:szCs w:val="22"/>
          <w:lang w:val="sr-Latn-RS" w:eastAsia="zh-TW"/>
        </w:rPr>
        <w:t>.</w:t>
      </w:r>
      <w:r w:rsidRPr="00E87295">
        <w:rPr>
          <w:sz w:val="22"/>
          <w:szCs w:val="22"/>
          <w:lang w:val="sr-Latn-RS"/>
        </w:rPr>
        <w:t xml:space="preserve"> </w:t>
      </w:r>
      <w:r w:rsidR="00364608" w:rsidRPr="00E87295">
        <w:rPr>
          <w:sz w:val="22"/>
          <w:szCs w:val="22"/>
          <w:lang w:val="sr-Latn-RS"/>
        </w:rPr>
        <w:t>Ud</w:t>
      </w:r>
      <w:r w:rsidR="00B94F3E" w:rsidRPr="00E87295">
        <w:rPr>
          <w:sz w:val="22"/>
          <w:szCs w:val="22"/>
          <w:lang w:val="sr-Latn-RS"/>
        </w:rPr>
        <w:t>i</w:t>
      </w:r>
      <w:r w:rsidR="00364608" w:rsidRPr="00E87295">
        <w:rPr>
          <w:sz w:val="22"/>
          <w:szCs w:val="22"/>
          <w:lang w:val="sr-Latn-RS"/>
        </w:rPr>
        <w:t>o ispitanika koji su prijavili 1 ili više reakcija na m</w:t>
      </w:r>
      <w:r w:rsidR="00B94F3E" w:rsidRPr="00E87295">
        <w:rPr>
          <w:sz w:val="22"/>
          <w:szCs w:val="22"/>
          <w:lang w:val="sr-Latn-RS"/>
        </w:rPr>
        <w:t>j</w:t>
      </w:r>
      <w:r w:rsidR="00364608" w:rsidRPr="00E87295">
        <w:rPr>
          <w:sz w:val="22"/>
          <w:szCs w:val="22"/>
          <w:lang w:val="sr-Latn-RS"/>
        </w:rPr>
        <w:t>estu prim</w:t>
      </w:r>
      <w:r w:rsidR="00B94F3E" w:rsidRPr="00E87295">
        <w:rPr>
          <w:sz w:val="22"/>
          <w:szCs w:val="22"/>
          <w:lang w:val="sr-Latn-RS"/>
        </w:rPr>
        <w:t>j</w:t>
      </w:r>
      <w:r w:rsidR="00364608" w:rsidRPr="00E87295">
        <w:rPr>
          <w:sz w:val="22"/>
          <w:szCs w:val="22"/>
          <w:lang w:val="sr-Latn-RS"/>
        </w:rPr>
        <w:t xml:space="preserve">ene injekcije tokom 1 godine iznosio je 1,6% u grupi koja je primala </w:t>
      </w:r>
      <w:r w:rsidR="00FD7763" w:rsidRPr="00E87295">
        <w:rPr>
          <w:sz w:val="22"/>
          <w:szCs w:val="22"/>
          <w:lang w:val="sr-Latn-RS"/>
        </w:rPr>
        <w:t>g</w:t>
      </w:r>
      <w:r w:rsidR="00345CFA" w:rsidRPr="00E87295">
        <w:rPr>
          <w:sz w:val="22"/>
          <w:szCs w:val="22"/>
          <w:lang w:val="sr-Latn-RS"/>
        </w:rPr>
        <w:t>uselkumab</w:t>
      </w:r>
      <w:r w:rsidR="00364608" w:rsidRPr="00E87295">
        <w:rPr>
          <w:sz w:val="22"/>
          <w:szCs w:val="22"/>
          <w:lang w:val="sr-Latn-RS"/>
        </w:rPr>
        <w:t xml:space="preserve"> svakih 8 ned</w:t>
      </w:r>
      <w:r w:rsidR="00B94F3E" w:rsidRPr="00E87295">
        <w:rPr>
          <w:sz w:val="22"/>
          <w:szCs w:val="22"/>
          <w:lang w:val="sr-Latn-RS"/>
        </w:rPr>
        <w:t>j</w:t>
      </w:r>
      <w:r w:rsidR="00364608" w:rsidRPr="00E87295">
        <w:rPr>
          <w:sz w:val="22"/>
          <w:szCs w:val="22"/>
          <w:lang w:val="sr-Latn-RS"/>
        </w:rPr>
        <w:t xml:space="preserve">elja, odnosno 2,4% u </w:t>
      </w:r>
      <w:r w:rsidR="00364608" w:rsidRPr="00E87295">
        <w:rPr>
          <w:iCs/>
          <w:sz w:val="22"/>
          <w:szCs w:val="22"/>
          <w:lang w:val="sr-Latn-RS"/>
        </w:rPr>
        <w:t xml:space="preserve">koja je </w:t>
      </w:r>
      <w:r w:rsidR="00FD7763" w:rsidRPr="00E87295">
        <w:rPr>
          <w:iCs/>
          <w:sz w:val="22"/>
          <w:szCs w:val="22"/>
          <w:lang w:val="sr-Latn-RS"/>
        </w:rPr>
        <w:t>g</w:t>
      </w:r>
      <w:r w:rsidR="00345CFA" w:rsidRPr="00E87295">
        <w:rPr>
          <w:iCs/>
          <w:sz w:val="22"/>
          <w:szCs w:val="22"/>
          <w:lang w:val="sr-Latn-RS"/>
        </w:rPr>
        <w:t>uselkumab</w:t>
      </w:r>
      <w:r w:rsidR="00364608" w:rsidRPr="00E87295">
        <w:rPr>
          <w:iCs/>
          <w:sz w:val="22"/>
          <w:szCs w:val="22"/>
          <w:lang w:val="sr-Latn-RS"/>
        </w:rPr>
        <w:t xml:space="preserve"> primala na 4 ned</w:t>
      </w:r>
      <w:r w:rsidR="00B94F3E" w:rsidRPr="00E87295">
        <w:rPr>
          <w:iCs/>
          <w:sz w:val="22"/>
          <w:szCs w:val="22"/>
          <w:lang w:val="sr-Latn-RS"/>
        </w:rPr>
        <w:t>j</w:t>
      </w:r>
      <w:r w:rsidR="00364608" w:rsidRPr="00E87295">
        <w:rPr>
          <w:iCs/>
          <w:sz w:val="22"/>
          <w:szCs w:val="22"/>
          <w:lang w:val="sr-Latn-RS"/>
        </w:rPr>
        <w:t>elje</w:t>
      </w:r>
      <w:r w:rsidR="00364608" w:rsidRPr="00E87295">
        <w:rPr>
          <w:sz w:val="22"/>
          <w:szCs w:val="22"/>
          <w:lang w:val="sr-Latn-RS"/>
        </w:rPr>
        <w:t xml:space="preserve">. </w:t>
      </w:r>
      <w:r w:rsidRPr="00E87295">
        <w:rPr>
          <w:sz w:val="22"/>
          <w:szCs w:val="22"/>
          <w:lang w:val="sr-Latn-RS"/>
        </w:rPr>
        <w:t xml:space="preserve">Sveukupno, stopa injekcija povezanih sa </w:t>
      </w:r>
      <w:r w:rsidRPr="00E87295">
        <w:rPr>
          <w:iCs/>
          <w:sz w:val="22"/>
          <w:szCs w:val="22"/>
          <w:lang w:val="sr-Latn-RS"/>
        </w:rPr>
        <w:t>reakcijama na m</w:t>
      </w:r>
      <w:r w:rsidR="009F5282" w:rsidRPr="00E87295">
        <w:rPr>
          <w:iCs/>
          <w:sz w:val="22"/>
          <w:szCs w:val="22"/>
          <w:lang w:val="sr-Latn-RS"/>
        </w:rPr>
        <w:t>j</w:t>
      </w:r>
      <w:r w:rsidRPr="00E87295">
        <w:rPr>
          <w:iCs/>
          <w:sz w:val="22"/>
          <w:szCs w:val="22"/>
          <w:lang w:val="sr-Latn-RS"/>
        </w:rPr>
        <w:t>estu prim</w:t>
      </w:r>
      <w:r w:rsidR="009F5282" w:rsidRPr="00E87295">
        <w:rPr>
          <w:iCs/>
          <w:sz w:val="22"/>
          <w:szCs w:val="22"/>
          <w:lang w:val="sr-Latn-RS"/>
        </w:rPr>
        <w:t>j</w:t>
      </w:r>
      <w:r w:rsidRPr="00E87295">
        <w:rPr>
          <w:iCs/>
          <w:sz w:val="22"/>
          <w:szCs w:val="22"/>
          <w:lang w:val="sr-Latn-RS"/>
        </w:rPr>
        <w:t xml:space="preserve">ene </w:t>
      </w:r>
      <w:r w:rsidRPr="00E87295">
        <w:rPr>
          <w:iCs/>
          <w:sz w:val="22"/>
          <w:szCs w:val="22"/>
          <w:lang w:val="sr-Latn-RS" w:eastAsia="zh-TW"/>
        </w:rPr>
        <w:t xml:space="preserve">u </w:t>
      </w:r>
      <w:r w:rsidRPr="00E87295">
        <w:rPr>
          <w:sz w:val="22"/>
          <w:szCs w:val="22"/>
          <w:lang w:val="sr-Latn-RS"/>
        </w:rPr>
        <w:t xml:space="preserve">kliničkim ispitivanjima psorijatičnog artritisa tokom </w:t>
      </w:r>
      <w:r w:rsidRPr="00E87295">
        <w:rPr>
          <w:iCs/>
          <w:sz w:val="22"/>
          <w:szCs w:val="22"/>
          <w:lang w:val="sr-Latn-RS" w:eastAsia="zh-TW"/>
        </w:rPr>
        <w:t>placebom kontrolisanog perioda bila je slična kao u studijama sa psorijazom.</w:t>
      </w:r>
    </w:p>
    <w:bookmarkEnd w:id="1"/>
    <w:p w14:paraId="0916AA65" w14:textId="77777777" w:rsidR="00FE4979" w:rsidRPr="00E87295" w:rsidRDefault="00FE4979" w:rsidP="00E87295">
      <w:pPr>
        <w:jc w:val="both"/>
        <w:rPr>
          <w:sz w:val="22"/>
          <w:szCs w:val="22"/>
          <w:lang w:val="sr-Latn-RS"/>
        </w:rPr>
      </w:pPr>
    </w:p>
    <w:p w14:paraId="156B2D4D" w14:textId="42AE7CCB" w:rsidR="007677A5" w:rsidRPr="00E87295" w:rsidRDefault="007677A5" w:rsidP="00E87295">
      <w:pPr>
        <w:pStyle w:val="Bodytext30"/>
        <w:shd w:val="clear" w:color="auto" w:fill="auto"/>
        <w:spacing w:before="0" w:line="240" w:lineRule="auto"/>
        <w:ind w:firstLine="0"/>
        <w:jc w:val="both"/>
        <w:rPr>
          <w:i/>
          <w:sz w:val="22"/>
          <w:szCs w:val="22"/>
          <w:lang w:val="sr-Latn-RS"/>
        </w:rPr>
      </w:pPr>
      <w:r w:rsidRPr="00E87295">
        <w:rPr>
          <w:i/>
          <w:sz w:val="22"/>
          <w:szCs w:val="22"/>
          <w:lang w:val="sr-Latn-RS"/>
        </w:rPr>
        <w:t>Imunogenost</w:t>
      </w:r>
    </w:p>
    <w:p w14:paraId="6CD8FF74" w14:textId="35E813B2" w:rsidR="006652E4" w:rsidRPr="00E87295" w:rsidRDefault="006652E4" w:rsidP="00E87295">
      <w:pPr>
        <w:jc w:val="both"/>
        <w:rPr>
          <w:sz w:val="22"/>
          <w:szCs w:val="22"/>
          <w:lang w:val="sr-Latn-RS"/>
        </w:rPr>
      </w:pPr>
      <w:r w:rsidRPr="00E87295">
        <w:rPr>
          <w:sz w:val="22"/>
          <w:szCs w:val="22"/>
          <w:lang w:val="sr-Latn-RS"/>
        </w:rPr>
        <w:t xml:space="preserve">Imunogenost </w:t>
      </w:r>
      <w:r w:rsidR="00345CFA" w:rsidRPr="00E87295">
        <w:rPr>
          <w:sz w:val="22"/>
          <w:szCs w:val="22"/>
          <w:lang w:val="sr-Latn-RS"/>
        </w:rPr>
        <w:t>guselkumaba</w:t>
      </w:r>
      <w:r w:rsidRPr="00E87295">
        <w:rPr>
          <w:sz w:val="22"/>
          <w:szCs w:val="22"/>
          <w:lang w:val="sr-Latn-RS"/>
        </w:rPr>
        <w:t xml:space="preserve"> je evaluirana upotrebom os</w:t>
      </w:r>
      <w:r w:rsidR="00FE4979" w:rsidRPr="00E87295">
        <w:rPr>
          <w:sz w:val="22"/>
          <w:szCs w:val="22"/>
          <w:lang w:val="sr-Latn-RS"/>
        </w:rPr>
        <w:t>j</w:t>
      </w:r>
      <w:r w:rsidRPr="00E87295">
        <w:rPr>
          <w:sz w:val="22"/>
          <w:szCs w:val="22"/>
          <w:lang w:val="sr-Latn-RS"/>
        </w:rPr>
        <w:t xml:space="preserve">etljivog i dobro podnošljivog imunoeseja. </w:t>
      </w:r>
    </w:p>
    <w:p w14:paraId="3AF64A2B" w14:textId="7CA90D90" w:rsidR="006652E4" w:rsidRPr="00E87295" w:rsidRDefault="006652E4">
      <w:pPr>
        <w:pStyle w:val="Bodytext30"/>
        <w:shd w:val="clear" w:color="auto" w:fill="auto"/>
        <w:spacing w:before="0" w:line="240" w:lineRule="auto"/>
        <w:ind w:left="580"/>
        <w:jc w:val="both"/>
        <w:rPr>
          <w:i/>
          <w:sz w:val="22"/>
          <w:szCs w:val="22"/>
          <w:lang w:val="sr-Latn-RS"/>
        </w:rPr>
      </w:pPr>
    </w:p>
    <w:p w14:paraId="4BB5A0F0" w14:textId="0CD42BCB" w:rsidR="007677A5" w:rsidRPr="00E87295" w:rsidRDefault="007677A5">
      <w:pPr>
        <w:jc w:val="both"/>
        <w:rPr>
          <w:sz w:val="22"/>
          <w:szCs w:val="22"/>
          <w:lang w:val="sr-Latn-RS"/>
        </w:rPr>
      </w:pPr>
      <w:r w:rsidRPr="00E87295">
        <w:rPr>
          <w:sz w:val="22"/>
          <w:szCs w:val="22"/>
          <w:lang w:val="sr-Latn-RS"/>
        </w:rPr>
        <w:t>Prema analizama objedinjenih podataka iz kliničkih ispitivanja faze II i III</w:t>
      </w:r>
      <w:r w:rsidR="006652E4" w:rsidRPr="00E87295">
        <w:rPr>
          <w:sz w:val="22"/>
          <w:szCs w:val="22"/>
          <w:lang w:val="sr-Latn-RS"/>
        </w:rPr>
        <w:t xml:space="preserve"> kod pacijenata sa psorijazom</w:t>
      </w:r>
      <w:r w:rsidRPr="00E87295">
        <w:rPr>
          <w:sz w:val="22"/>
          <w:szCs w:val="22"/>
          <w:lang w:val="sr-Latn-RS"/>
        </w:rPr>
        <w:t xml:space="preserve"> </w:t>
      </w:r>
      <w:r w:rsidR="00364608" w:rsidRPr="00E87295">
        <w:rPr>
          <w:sz w:val="22"/>
          <w:szCs w:val="22"/>
          <w:lang w:val="sr-Latn-RS"/>
        </w:rPr>
        <w:t xml:space="preserve">i psorijatičnim artritisom, 5% (n=145) </w:t>
      </w:r>
      <w:r w:rsidR="0006393B" w:rsidRPr="00C929E2">
        <w:rPr>
          <w:sz w:val="22"/>
          <w:szCs w:val="22"/>
          <w:lang w:val="sr-Latn-RS"/>
        </w:rPr>
        <w:t xml:space="preserve">pacijenata </w:t>
      </w:r>
      <w:r w:rsidRPr="00E87295">
        <w:rPr>
          <w:sz w:val="22"/>
          <w:szCs w:val="22"/>
          <w:lang w:val="sr-Latn-RS"/>
        </w:rPr>
        <w:t xml:space="preserve">liječenih </w:t>
      </w:r>
      <w:r w:rsidR="00FD7763" w:rsidRPr="00E87295">
        <w:rPr>
          <w:sz w:val="22"/>
          <w:szCs w:val="22"/>
          <w:lang w:val="sr-Latn-RS"/>
        </w:rPr>
        <w:t xml:space="preserve">guselkumabom </w:t>
      </w:r>
      <w:r w:rsidRPr="00E87295">
        <w:rPr>
          <w:sz w:val="22"/>
          <w:szCs w:val="22"/>
          <w:lang w:val="sr-Latn-RS"/>
        </w:rPr>
        <w:t>su razvili antitijela na lijek do 52. ned</w:t>
      </w:r>
      <w:r w:rsidR="00935501" w:rsidRPr="00E87295">
        <w:rPr>
          <w:sz w:val="22"/>
          <w:szCs w:val="22"/>
          <w:lang w:val="sr-Latn-RS"/>
        </w:rPr>
        <w:t>j</w:t>
      </w:r>
      <w:r w:rsidRPr="00E87295">
        <w:rPr>
          <w:sz w:val="22"/>
          <w:szCs w:val="22"/>
          <w:lang w:val="sr-Latn-RS"/>
        </w:rPr>
        <w:t xml:space="preserve">elje liječenja. Među </w:t>
      </w:r>
      <w:r w:rsidR="0006393B" w:rsidRPr="00C929E2">
        <w:rPr>
          <w:sz w:val="22"/>
          <w:szCs w:val="22"/>
          <w:lang w:val="sr-Latn-RS"/>
        </w:rPr>
        <w:t xml:space="preserve">pacijentima </w:t>
      </w:r>
      <w:r w:rsidRPr="00E87295">
        <w:rPr>
          <w:sz w:val="22"/>
          <w:szCs w:val="22"/>
          <w:lang w:val="sr-Latn-RS"/>
        </w:rPr>
        <w:t xml:space="preserve">kod kojih su se razvila antitijela na lijek približno </w:t>
      </w:r>
      <w:r w:rsidR="00364608" w:rsidRPr="00E87295">
        <w:rPr>
          <w:sz w:val="22"/>
          <w:szCs w:val="22"/>
          <w:lang w:val="sr-Latn-RS"/>
        </w:rPr>
        <w:t xml:space="preserve">8% (n=12) </w:t>
      </w:r>
      <w:r w:rsidRPr="00E87295">
        <w:rPr>
          <w:sz w:val="22"/>
          <w:szCs w:val="22"/>
          <w:lang w:val="sr-Latn-RS"/>
        </w:rPr>
        <w:t xml:space="preserve">svih </w:t>
      </w:r>
      <w:r w:rsidR="0006393B" w:rsidRPr="00C929E2">
        <w:rPr>
          <w:sz w:val="22"/>
          <w:szCs w:val="22"/>
          <w:lang w:val="sr-Latn-RS"/>
        </w:rPr>
        <w:t xml:space="preserve">pacijenata </w:t>
      </w:r>
      <w:r w:rsidRPr="00E87295">
        <w:rPr>
          <w:sz w:val="22"/>
          <w:szCs w:val="22"/>
          <w:lang w:val="sr-Latn-RS"/>
        </w:rPr>
        <w:t xml:space="preserve">koji su primali </w:t>
      </w:r>
      <w:r w:rsidR="00FD7763" w:rsidRPr="00E87295">
        <w:rPr>
          <w:sz w:val="22"/>
          <w:szCs w:val="22"/>
          <w:lang w:val="sr-Latn-RS"/>
        </w:rPr>
        <w:t>g</w:t>
      </w:r>
      <w:r w:rsidR="00345CFA" w:rsidRPr="00E87295">
        <w:rPr>
          <w:sz w:val="22"/>
          <w:szCs w:val="22"/>
          <w:lang w:val="sr-Latn-RS"/>
        </w:rPr>
        <w:t>uselkumab</w:t>
      </w:r>
      <w:r w:rsidRPr="00E87295">
        <w:rPr>
          <w:sz w:val="22"/>
          <w:szCs w:val="22"/>
          <w:lang w:val="sr-Latn-RS"/>
        </w:rPr>
        <w:t xml:space="preserve"> je imalo antitijela koja su klasifikovana kao neutrališuća, što čini 0,4% svih ispitanika koji su liječeni </w:t>
      </w:r>
      <w:r w:rsidR="00FD7763" w:rsidRPr="00E87295">
        <w:rPr>
          <w:sz w:val="22"/>
          <w:szCs w:val="22"/>
          <w:lang w:val="sr-Latn-RS"/>
        </w:rPr>
        <w:t>guselkumabom</w:t>
      </w:r>
      <w:r w:rsidRPr="00E87295">
        <w:rPr>
          <w:sz w:val="22"/>
          <w:szCs w:val="22"/>
          <w:lang w:val="sr-Latn-RS"/>
        </w:rPr>
        <w:t xml:space="preserve">. </w:t>
      </w:r>
      <w:r w:rsidR="0006393B" w:rsidRPr="00C929E2">
        <w:rPr>
          <w:sz w:val="22"/>
          <w:szCs w:val="22"/>
          <w:lang w:val="sr-Latn-RS"/>
        </w:rPr>
        <w:t>Prema analizama objedinjenih podataka iz kliničkih ispitivanja faze III</w:t>
      </w:r>
      <w:r w:rsidR="00364608" w:rsidRPr="00E87295">
        <w:rPr>
          <w:sz w:val="22"/>
          <w:szCs w:val="22"/>
          <w:lang w:val="sr-Latn-RS"/>
        </w:rPr>
        <w:t xml:space="preserve"> kod pacijenata sa psorijazom</w:t>
      </w:r>
      <w:r w:rsidR="0006393B" w:rsidRPr="00C929E2">
        <w:rPr>
          <w:sz w:val="22"/>
          <w:szCs w:val="22"/>
          <w:lang w:val="sr-Latn-RS"/>
        </w:rPr>
        <w:t xml:space="preserve">, približno </w:t>
      </w:r>
      <w:r w:rsidR="00681A8E" w:rsidRPr="00C929E2">
        <w:rPr>
          <w:sz w:val="22"/>
          <w:szCs w:val="22"/>
          <w:lang w:val="sr-Latn-RS"/>
        </w:rPr>
        <w:t>15</w:t>
      </w:r>
      <w:r w:rsidR="0006393B" w:rsidRPr="00C929E2">
        <w:rPr>
          <w:sz w:val="22"/>
          <w:szCs w:val="22"/>
          <w:lang w:val="sr-Latn-RS"/>
        </w:rPr>
        <w:t>% pacijenata l</w:t>
      </w:r>
      <w:r w:rsidR="008A303B" w:rsidRPr="00C929E2">
        <w:rPr>
          <w:sz w:val="22"/>
          <w:szCs w:val="22"/>
          <w:lang w:val="sr-Latn-RS"/>
        </w:rPr>
        <w:t>ij</w:t>
      </w:r>
      <w:r w:rsidR="0006393B" w:rsidRPr="00C929E2">
        <w:rPr>
          <w:sz w:val="22"/>
          <w:szCs w:val="22"/>
          <w:lang w:val="sr-Latn-RS"/>
        </w:rPr>
        <w:t xml:space="preserve">ečenih </w:t>
      </w:r>
      <w:r w:rsidR="00FD7763" w:rsidRPr="00C929E2">
        <w:rPr>
          <w:sz w:val="22"/>
          <w:szCs w:val="22"/>
          <w:lang w:val="sr-Latn-RS"/>
        </w:rPr>
        <w:t>guselkumabom</w:t>
      </w:r>
      <w:r w:rsidR="0006393B" w:rsidRPr="00C929E2">
        <w:rPr>
          <w:sz w:val="22"/>
          <w:szCs w:val="22"/>
          <w:lang w:val="sr-Latn-RS"/>
        </w:rPr>
        <w:t xml:space="preserve"> je razvilo antit</w:t>
      </w:r>
      <w:r w:rsidR="008A303B" w:rsidRPr="00C929E2">
        <w:rPr>
          <w:sz w:val="22"/>
          <w:szCs w:val="22"/>
          <w:lang w:val="sr-Latn-RS"/>
        </w:rPr>
        <w:t>ij</w:t>
      </w:r>
      <w:r w:rsidR="0006393B" w:rsidRPr="00C929E2">
        <w:rPr>
          <w:sz w:val="22"/>
          <w:szCs w:val="22"/>
          <w:lang w:val="sr-Latn-RS"/>
        </w:rPr>
        <w:t>ela na l</w:t>
      </w:r>
      <w:r w:rsidR="008A303B" w:rsidRPr="00C929E2">
        <w:rPr>
          <w:sz w:val="22"/>
          <w:szCs w:val="22"/>
          <w:lang w:val="sr-Latn-RS"/>
        </w:rPr>
        <w:t>ij</w:t>
      </w:r>
      <w:r w:rsidR="0006393B" w:rsidRPr="00C929E2">
        <w:rPr>
          <w:sz w:val="22"/>
          <w:szCs w:val="22"/>
          <w:lang w:val="sr-Latn-RS"/>
        </w:rPr>
        <w:t xml:space="preserve">ek do </w:t>
      </w:r>
      <w:r w:rsidR="00681A8E" w:rsidRPr="00C929E2">
        <w:rPr>
          <w:sz w:val="22"/>
          <w:szCs w:val="22"/>
          <w:lang w:val="sr-Latn-RS"/>
        </w:rPr>
        <w:t>264</w:t>
      </w:r>
      <w:r w:rsidR="0006393B" w:rsidRPr="00C929E2">
        <w:rPr>
          <w:sz w:val="22"/>
          <w:szCs w:val="22"/>
          <w:lang w:val="sr-Latn-RS"/>
        </w:rPr>
        <w:t>-te ned</w:t>
      </w:r>
      <w:r w:rsidR="004C56CA" w:rsidRPr="00C929E2">
        <w:rPr>
          <w:sz w:val="22"/>
          <w:szCs w:val="22"/>
          <w:lang w:val="sr-Latn-RS"/>
        </w:rPr>
        <w:t>j</w:t>
      </w:r>
      <w:r w:rsidR="0006393B" w:rsidRPr="00C929E2">
        <w:rPr>
          <w:sz w:val="22"/>
          <w:szCs w:val="22"/>
          <w:lang w:val="sr-Latn-RS"/>
        </w:rPr>
        <w:t>elje l</w:t>
      </w:r>
      <w:r w:rsidR="008A303B" w:rsidRPr="00C929E2">
        <w:rPr>
          <w:sz w:val="22"/>
          <w:szCs w:val="22"/>
          <w:lang w:val="sr-Latn-RS"/>
        </w:rPr>
        <w:t>ij</w:t>
      </w:r>
      <w:r w:rsidR="0006393B" w:rsidRPr="00C929E2">
        <w:rPr>
          <w:sz w:val="22"/>
          <w:szCs w:val="22"/>
          <w:lang w:val="sr-Latn-RS"/>
        </w:rPr>
        <w:t xml:space="preserve">ečenja. </w:t>
      </w:r>
      <w:r w:rsidR="00681A8E" w:rsidRPr="00E87295">
        <w:rPr>
          <w:sz w:val="22"/>
          <w:szCs w:val="22"/>
          <w:lang w:val="sr-Latn-RS"/>
        </w:rPr>
        <w:t>Među pacijentima kod kojih su se razvila antit</w:t>
      </w:r>
      <w:r w:rsidR="004B149E" w:rsidRPr="00E87295">
        <w:rPr>
          <w:sz w:val="22"/>
          <w:szCs w:val="22"/>
          <w:lang w:val="sr-Latn-RS"/>
        </w:rPr>
        <w:t>ij</w:t>
      </w:r>
      <w:r w:rsidR="00681A8E" w:rsidRPr="00E87295">
        <w:rPr>
          <w:sz w:val="22"/>
          <w:szCs w:val="22"/>
          <w:lang w:val="sr-Latn-RS"/>
        </w:rPr>
        <w:t>ela na l</w:t>
      </w:r>
      <w:r w:rsidR="004B149E" w:rsidRPr="00E87295">
        <w:rPr>
          <w:sz w:val="22"/>
          <w:szCs w:val="22"/>
          <w:lang w:val="sr-Latn-RS"/>
        </w:rPr>
        <w:t>ij</w:t>
      </w:r>
      <w:r w:rsidR="00681A8E" w:rsidRPr="00E87295">
        <w:rPr>
          <w:sz w:val="22"/>
          <w:szCs w:val="22"/>
          <w:lang w:val="sr-Latn-RS"/>
        </w:rPr>
        <w:t>ek, približno 5% pacijenata je imalo antit</w:t>
      </w:r>
      <w:r w:rsidR="004B149E" w:rsidRPr="00E87295">
        <w:rPr>
          <w:sz w:val="22"/>
          <w:szCs w:val="22"/>
          <w:lang w:val="sr-Latn-RS"/>
        </w:rPr>
        <w:t>ij</w:t>
      </w:r>
      <w:r w:rsidR="00681A8E" w:rsidRPr="00E87295">
        <w:rPr>
          <w:sz w:val="22"/>
          <w:szCs w:val="22"/>
          <w:lang w:val="sr-Latn-RS"/>
        </w:rPr>
        <w:t xml:space="preserve">ela koja su klasifikovana kao </w:t>
      </w:r>
      <w:r w:rsidR="00681A8E" w:rsidRPr="00E87295">
        <w:rPr>
          <w:sz w:val="22"/>
          <w:szCs w:val="22"/>
          <w:lang w:val="sr-Latn-RS"/>
        </w:rPr>
        <w:lastRenderedPageBreak/>
        <w:t>neutrališuća, što čini 0,76% svih pacijenata koji su l</w:t>
      </w:r>
      <w:r w:rsidR="004B149E" w:rsidRPr="00E87295">
        <w:rPr>
          <w:sz w:val="22"/>
          <w:szCs w:val="22"/>
          <w:lang w:val="sr-Latn-RS"/>
        </w:rPr>
        <w:t>ij</w:t>
      </w:r>
      <w:r w:rsidR="00681A8E" w:rsidRPr="00E87295">
        <w:rPr>
          <w:sz w:val="22"/>
          <w:szCs w:val="22"/>
          <w:lang w:val="sr-Latn-RS"/>
        </w:rPr>
        <w:t xml:space="preserve">ečeni </w:t>
      </w:r>
      <w:r w:rsidR="00FD7763" w:rsidRPr="00E87295">
        <w:rPr>
          <w:sz w:val="22"/>
          <w:szCs w:val="22"/>
          <w:lang w:val="sr-Latn-RS"/>
        </w:rPr>
        <w:t>guselkumabom</w:t>
      </w:r>
      <w:r w:rsidR="00681A8E" w:rsidRPr="00E87295">
        <w:rPr>
          <w:sz w:val="22"/>
          <w:szCs w:val="22"/>
          <w:lang w:val="sr-Latn-RS"/>
        </w:rPr>
        <w:t xml:space="preserve">. </w:t>
      </w:r>
      <w:r w:rsidRPr="00E87295">
        <w:rPr>
          <w:sz w:val="22"/>
          <w:szCs w:val="22"/>
          <w:lang w:val="sr-Latn-RS"/>
        </w:rPr>
        <w:t>Antitijela na lijek ni</w:t>
      </w:r>
      <w:r w:rsidR="00FE4979" w:rsidRPr="00E87295">
        <w:rPr>
          <w:sz w:val="22"/>
          <w:szCs w:val="22"/>
          <w:lang w:val="sr-Latn-RS"/>
        </w:rPr>
        <w:t>je</w:t>
      </w:r>
      <w:r w:rsidRPr="00E87295">
        <w:rPr>
          <w:sz w:val="22"/>
          <w:szCs w:val="22"/>
          <w:lang w:val="sr-Latn-RS"/>
        </w:rPr>
        <w:t>su bila udružena sa smanjenjem efikasnosti</w:t>
      </w:r>
      <w:r w:rsidR="00E91FBD" w:rsidRPr="00E87295">
        <w:rPr>
          <w:sz w:val="22"/>
          <w:szCs w:val="22"/>
          <w:lang w:val="sr-Latn-RS"/>
        </w:rPr>
        <w:t>,</w:t>
      </w:r>
      <w:r w:rsidRPr="00E87295">
        <w:rPr>
          <w:sz w:val="22"/>
          <w:szCs w:val="22"/>
          <w:lang w:val="sr-Latn-RS"/>
        </w:rPr>
        <w:t xml:space="preserve"> ili sa  razvojem reakcija na mjestu primjene injekcije.</w:t>
      </w:r>
    </w:p>
    <w:p w14:paraId="20B89CE3" w14:textId="77777777" w:rsidR="006652E4" w:rsidRPr="00C929E2" w:rsidRDefault="006652E4">
      <w:pPr>
        <w:tabs>
          <w:tab w:val="left" w:pos="540"/>
          <w:tab w:val="left" w:pos="569"/>
        </w:tabs>
        <w:jc w:val="both"/>
        <w:rPr>
          <w:b/>
          <w:bCs/>
          <w:sz w:val="22"/>
          <w:szCs w:val="22"/>
          <w:lang w:val="sr-Latn-RS"/>
        </w:rPr>
      </w:pPr>
    </w:p>
    <w:p w14:paraId="24C97CDD" w14:textId="77777777" w:rsidR="005A23D2" w:rsidRPr="00E87295" w:rsidRDefault="005A23D2">
      <w:pPr>
        <w:spacing w:after="200"/>
        <w:jc w:val="both"/>
        <w:rPr>
          <w:rFonts w:eastAsia="Calibri"/>
          <w:sz w:val="22"/>
          <w:szCs w:val="22"/>
          <w:u w:val="single"/>
          <w:lang w:val="sr-Latn-RS"/>
        </w:rPr>
      </w:pPr>
      <w:r w:rsidRPr="00E87295">
        <w:rPr>
          <w:rFonts w:eastAsia="Calibri"/>
          <w:sz w:val="22"/>
          <w:szCs w:val="22"/>
          <w:u w:val="single"/>
          <w:lang w:val="sr-Latn-RS"/>
        </w:rPr>
        <w:t>Prijavljivanje sumnji na neželjena dejstva</w:t>
      </w:r>
    </w:p>
    <w:p w14:paraId="60C7E03B" w14:textId="77777777" w:rsidR="005A23D2" w:rsidRPr="00E87295" w:rsidRDefault="005A23D2">
      <w:pPr>
        <w:spacing w:after="200"/>
        <w:jc w:val="both"/>
        <w:rPr>
          <w:rFonts w:eastAsia="Calibri"/>
          <w:sz w:val="22"/>
          <w:szCs w:val="22"/>
          <w:lang w:val="sr-Latn-RS"/>
        </w:rPr>
      </w:pPr>
      <w:r w:rsidRPr="00E87295">
        <w:rPr>
          <w:rFonts w:eastAsia="Calibri"/>
          <w:sz w:val="22"/>
          <w:szCs w:val="22"/>
          <w:lang w:val="sr-Latn-RS"/>
        </w:rPr>
        <w:t>Prijavljivanje neželjenih dejstava nakon dobijanja dozvole je od velikog značaja jer obezbjeđuje kont</w:t>
      </w:r>
      <w:r w:rsidR="00EA5765" w:rsidRPr="00E87295">
        <w:rPr>
          <w:rFonts w:eastAsia="Calibri"/>
          <w:sz w:val="22"/>
          <w:szCs w:val="22"/>
          <w:lang w:val="sr-Latn-RS"/>
        </w:rPr>
        <w:t>inuirano praćenje odnosa korist</w:t>
      </w:r>
      <w:r w:rsidRPr="00E87295">
        <w:rPr>
          <w:rFonts w:eastAsia="Calibri"/>
          <w:sz w:val="22"/>
          <w:szCs w:val="22"/>
          <w:lang w:val="sr-Latn-RS"/>
        </w:rPr>
        <w:t>/rizik primjene lijeka. Zdravstveni radnici treba da prijave svaku sumnju na neželjeno</w:t>
      </w:r>
      <w:r w:rsidR="009B062A" w:rsidRPr="00E87295">
        <w:rPr>
          <w:rFonts w:eastAsia="Calibri"/>
          <w:sz w:val="22"/>
          <w:szCs w:val="22"/>
          <w:lang w:val="sr-Latn-RS"/>
        </w:rPr>
        <w:t xml:space="preserve"> </w:t>
      </w:r>
      <w:r w:rsidRPr="00E87295">
        <w:rPr>
          <w:rFonts w:eastAsia="Calibri"/>
          <w:sz w:val="22"/>
          <w:szCs w:val="22"/>
          <w:lang w:val="sr-Latn-RS"/>
        </w:rPr>
        <w:t>dejstvo ovog lijeka Agenciji za ljekove i medicinska sredstva Crne Gore (CALIMS):</w:t>
      </w:r>
    </w:p>
    <w:p w14:paraId="6EF22F3E" w14:textId="77777777" w:rsidR="005A23D2" w:rsidRPr="00E87295" w:rsidRDefault="005A23D2">
      <w:pPr>
        <w:pStyle w:val="NoSpacing"/>
        <w:jc w:val="both"/>
        <w:rPr>
          <w:rFonts w:eastAsia="Calibri"/>
          <w:sz w:val="22"/>
          <w:szCs w:val="22"/>
          <w:lang w:val="sr-Latn-RS"/>
        </w:rPr>
      </w:pPr>
      <w:r w:rsidRPr="00E87295">
        <w:rPr>
          <w:rFonts w:eastAsia="Calibri"/>
          <w:sz w:val="22"/>
          <w:szCs w:val="22"/>
          <w:lang w:val="sr-Latn-RS"/>
        </w:rPr>
        <w:t>Agencija za ljekove i medicinska sredstva Crne Gore</w:t>
      </w:r>
    </w:p>
    <w:p w14:paraId="5C0B485F" w14:textId="77777777" w:rsidR="005A23D2" w:rsidRPr="00E87295" w:rsidRDefault="005A23D2">
      <w:pPr>
        <w:pStyle w:val="NoSpacing"/>
        <w:jc w:val="both"/>
        <w:rPr>
          <w:rFonts w:eastAsia="Calibri"/>
          <w:sz w:val="22"/>
          <w:szCs w:val="22"/>
          <w:lang w:val="sr-Latn-RS"/>
        </w:rPr>
      </w:pPr>
      <w:r w:rsidRPr="00E87295">
        <w:rPr>
          <w:rFonts w:eastAsia="Calibri"/>
          <w:sz w:val="22"/>
          <w:szCs w:val="22"/>
          <w:lang w:val="sr-Latn-RS"/>
        </w:rPr>
        <w:t>Odjeljenje za farmakovigilancu</w:t>
      </w:r>
    </w:p>
    <w:p w14:paraId="37E43F40" w14:textId="77777777" w:rsidR="00EA5765" w:rsidRPr="00E87295" w:rsidRDefault="005A23D2">
      <w:pPr>
        <w:pStyle w:val="NoSpacing"/>
        <w:jc w:val="both"/>
        <w:rPr>
          <w:rFonts w:eastAsia="Calibri"/>
          <w:sz w:val="22"/>
          <w:szCs w:val="22"/>
          <w:lang w:val="sr-Latn-RS"/>
        </w:rPr>
      </w:pPr>
      <w:r w:rsidRPr="00E87295">
        <w:rPr>
          <w:rFonts w:eastAsia="Calibri"/>
          <w:sz w:val="22"/>
          <w:szCs w:val="22"/>
          <w:lang w:val="sr-Latn-RS"/>
        </w:rPr>
        <w:t>Bulevar Ivana Crnojevića 64a, 81000 Podgorica</w:t>
      </w:r>
    </w:p>
    <w:p w14:paraId="4A5B52D1" w14:textId="77777777" w:rsidR="00EA5765" w:rsidRPr="00E87295" w:rsidRDefault="00EA5765">
      <w:pPr>
        <w:pStyle w:val="NoSpacing"/>
        <w:jc w:val="both"/>
        <w:rPr>
          <w:rFonts w:eastAsia="Calibri"/>
          <w:sz w:val="22"/>
          <w:szCs w:val="22"/>
          <w:lang w:val="sr-Latn-RS"/>
        </w:rPr>
      </w:pPr>
    </w:p>
    <w:p w14:paraId="2C84EA3A" w14:textId="77777777" w:rsidR="005A23D2" w:rsidRPr="00E87295" w:rsidRDefault="005A23D2">
      <w:pPr>
        <w:pStyle w:val="NoSpacing"/>
        <w:jc w:val="both"/>
        <w:rPr>
          <w:rFonts w:eastAsia="Calibri"/>
          <w:sz w:val="22"/>
          <w:szCs w:val="22"/>
          <w:lang w:val="sr-Latn-RS"/>
        </w:rPr>
      </w:pPr>
      <w:r w:rsidRPr="00E87295">
        <w:rPr>
          <w:rFonts w:eastAsia="Calibri"/>
          <w:sz w:val="22"/>
          <w:szCs w:val="22"/>
          <w:lang w:val="sr-Latn-RS"/>
        </w:rPr>
        <w:t>tel: +382 (0) 20 310 280</w:t>
      </w:r>
    </w:p>
    <w:p w14:paraId="021A85CC" w14:textId="77777777" w:rsidR="00EA5765" w:rsidRPr="00E87295" w:rsidRDefault="005A23D2">
      <w:pPr>
        <w:pStyle w:val="NoSpacing"/>
        <w:jc w:val="both"/>
        <w:rPr>
          <w:rFonts w:eastAsia="Calibri"/>
          <w:sz w:val="22"/>
          <w:szCs w:val="22"/>
          <w:lang w:val="sr-Latn-RS"/>
        </w:rPr>
      </w:pPr>
      <w:r w:rsidRPr="00E87295">
        <w:rPr>
          <w:rFonts w:eastAsia="Calibri"/>
          <w:sz w:val="22"/>
          <w:szCs w:val="22"/>
          <w:lang w:val="sr-Latn-RS"/>
        </w:rPr>
        <w:t>fax:</w:t>
      </w:r>
      <w:r w:rsidR="00EA5765" w:rsidRPr="00E87295">
        <w:rPr>
          <w:rFonts w:eastAsia="Calibri"/>
          <w:sz w:val="22"/>
          <w:szCs w:val="22"/>
          <w:lang w:val="sr-Latn-RS"/>
        </w:rPr>
        <w:t xml:space="preserve"> </w:t>
      </w:r>
      <w:r w:rsidRPr="00E87295">
        <w:rPr>
          <w:rFonts w:eastAsia="Calibri"/>
          <w:sz w:val="22"/>
          <w:szCs w:val="22"/>
          <w:lang w:val="sr-Latn-RS"/>
        </w:rPr>
        <w:t>+382 (0) 20 310 581</w:t>
      </w:r>
    </w:p>
    <w:p w14:paraId="4E8B849A" w14:textId="77777777" w:rsidR="005A23D2" w:rsidRPr="00E87295" w:rsidRDefault="00BE7A76">
      <w:pPr>
        <w:pStyle w:val="NoSpacing"/>
        <w:jc w:val="both"/>
        <w:rPr>
          <w:rFonts w:eastAsia="Calibri"/>
          <w:sz w:val="22"/>
          <w:szCs w:val="22"/>
          <w:lang w:val="sr-Latn-RS"/>
        </w:rPr>
      </w:pPr>
      <w:hyperlink r:id="rId11" w:history="1">
        <w:r w:rsidR="005A23D2" w:rsidRPr="00E87295">
          <w:rPr>
            <w:rFonts w:eastAsia="Calibri"/>
            <w:color w:val="0000FF"/>
            <w:sz w:val="22"/>
            <w:szCs w:val="22"/>
            <w:u w:val="single"/>
            <w:lang w:val="sr-Latn-RS"/>
          </w:rPr>
          <w:t>www.calims.me</w:t>
        </w:r>
      </w:hyperlink>
    </w:p>
    <w:p w14:paraId="596AE934" w14:textId="77777777" w:rsidR="00EA5765" w:rsidRPr="00E87295" w:rsidRDefault="00BE7A76">
      <w:pPr>
        <w:pStyle w:val="NoSpacing"/>
        <w:jc w:val="both"/>
        <w:rPr>
          <w:rFonts w:eastAsia="Calibri"/>
          <w:color w:val="0000FF"/>
          <w:sz w:val="22"/>
          <w:szCs w:val="22"/>
          <w:u w:val="single"/>
          <w:lang w:val="sr-Latn-RS"/>
        </w:rPr>
      </w:pPr>
      <w:hyperlink r:id="rId12" w:history="1">
        <w:r w:rsidR="005A23D2" w:rsidRPr="00E87295">
          <w:rPr>
            <w:rFonts w:eastAsia="Calibri"/>
            <w:color w:val="0000FF"/>
            <w:sz w:val="22"/>
            <w:szCs w:val="22"/>
            <w:u w:val="single"/>
            <w:lang w:val="sr-Latn-RS"/>
          </w:rPr>
          <w:t>nezeljenadejstva@calims.me</w:t>
        </w:r>
      </w:hyperlink>
    </w:p>
    <w:p w14:paraId="758157E3" w14:textId="0AB50516" w:rsidR="005A23D2" w:rsidRPr="00E87295" w:rsidRDefault="005A23D2">
      <w:pPr>
        <w:pStyle w:val="NoSpacing"/>
        <w:jc w:val="both"/>
        <w:rPr>
          <w:rFonts w:eastAsia="Calibri"/>
          <w:sz w:val="22"/>
          <w:szCs w:val="22"/>
          <w:lang w:val="sr-Latn-RS"/>
        </w:rPr>
      </w:pPr>
      <w:r w:rsidRPr="00E87295">
        <w:rPr>
          <w:rFonts w:eastAsia="Calibri"/>
          <w:sz w:val="22"/>
          <w:szCs w:val="22"/>
          <w:lang w:val="sr-Latn-RS"/>
        </w:rPr>
        <w:t>putem IS zdravstvene zaštite</w:t>
      </w:r>
    </w:p>
    <w:p w14:paraId="0521002D" w14:textId="77777777" w:rsidR="00FE4979" w:rsidRPr="00E87295" w:rsidRDefault="00FE4979" w:rsidP="00FE4979">
      <w:pPr>
        <w:rPr>
          <w:sz w:val="22"/>
          <w:szCs w:val="22"/>
          <w:lang w:val="pt-PT"/>
        </w:rPr>
      </w:pPr>
      <w:r w:rsidRPr="00E87295">
        <w:rPr>
          <w:sz w:val="22"/>
          <w:szCs w:val="22"/>
          <w:lang w:val="pt-PT"/>
        </w:rPr>
        <w:t>QR kod za online prijavu sumnje na neželjeno dejstvo lijeka:</w:t>
      </w:r>
    </w:p>
    <w:p w14:paraId="5E106ED3" w14:textId="77777777" w:rsidR="00FE4979" w:rsidRPr="00E87295" w:rsidRDefault="00FE4979" w:rsidP="00FE4979">
      <w:pPr>
        <w:rPr>
          <w:sz w:val="22"/>
          <w:szCs w:val="22"/>
          <w:lang w:val="pt-PT"/>
        </w:rPr>
      </w:pPr>
    </w:p>
    <w:p w14:paraId="37788280" w14:textId="77777777" w:rsidR="00FE4979" w:rsidRPr="00E87295" w:rsidRDefault="00FE4979" w:rsidP="00FE4979">
      <w:pPr>
        <w:rPr>
          <w:sz w:val="22"/>
          <w:szCs w:val="22"/>
          <w:lang w:val="pt-PT"/>
        </w:rPr>
      </w:pPr>
      <w:r w:rsidRPr="00E87295">
        <w:rPr>
          <w:noProof/>
          <w:sz w:val="20"/>
          <w:szCs w:val="20"/>
        </w:rPr>
        <w:drawing>
          <wp:inline distT="0" distB="0" distL="0" distR="0" wp14:anchorId="253326EB" wp14:editId="3668C49D">
            <wp:extent cx="971550" cy="971550"/>
            <wp:effectExtent l="0" t="0" r="0" b="0"/>
            <wp:docPr id="1" name="Picture 1"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D90D9AF" w14:textId="77777777" w:rsidR="00FE4979" w:rsidRPr="00E87295" w:rsidRDefault="00FE4979">
      <w:pPr>
        <w:pStyle w:val="NoSpacing"/>
        <w:jc w:val="both"/>
        <w:rPr>
          <w:rFonts w:eastAsia="Calibri"/>
          <w:sz w:val="22"/>
          <w:szCs w:val="22"/>
          <w:lang w:val="sr-Latn-RS"/>
        </w:rPr>
      </w:pPr>
    </w:p>
    <w:p w14:paraId="7E15A429" w14:textId="77777777" w:rsidR="00836B35" w:rsidRPr="00E87295" w:rsidRDefault="00836B35">
      <w:pPr>
        <w:tabs>
          <w:tab w:val="left" w:pos="540"/>
          <w:tab w:val="left" w:pos="569"/>
        </w:tabs>
        <w:jc w:val="both"/>
        <w:rPr>
          <w:b/>
          <w:bCs/>
          <w:sz w:val="22"/>
          <w:szCs w:val="22"/>
        </w:rPr>
      </w:pPr>
    </w:p>
    <w:p w14:paraId="1F47AD1C" w14:textId="77777777" w:rsidR="00CD6F02" w:rsidRPr="00E87295" w:rsidRDefault="0072020E">
      <w:pPr>
        <w:tabs>
          <w:tab w:val="left" w:pos="540"/>
          <w:tab w:val="left" w:pos="569"/>
        </w:tabs>
        <w:jc w:val="both"/>
        <w:rPr>
          <w:b/>
          <w:bCs/>
          <w:sz w:val="22"/>
          <w:szCs w:val="22"/>
        </w:rPr>
      </w:pPr>
      <w:r w:rsidRPr="00E87295">
        <w:rPr>
          <w:b/>
          <w:bCs/>
          <w:sz w:val="22"/>
          <w:szCs w:val="22"/>
        </w:rPr>
        <w:t xml:space="preserve">4.9. </w:t>
      </w:r>
      <w:r w:rsidR="00480FB1" w:rsidRPr="00E87295">
        <w:rPr>
          <w:b/>
          <w:bCs/>
          <w:sz w:val="22"/>
          <w:szCs w:val="22"/>
        </w:rPr>
        <w:tab/>
      </w:r>
      <w:proofErr w:type="spellStart"/>
      <w:r w:rsidRPr="00E87295">
        <w:rPr>
          <w:b/>
          <w:bCs/>
          <w:sz w:val="22"/>
          <w:szCs w:val="22"/>
        </w:rPr>
        <w:t>Predoziranje</w:t>
      </w:r>
      <w:proofErr w:type="spellEnd"/>
      <w:r w:rsidR="002846DB" w:rsidRPr="00E87295">
        <w:rPr>
          <w:b/>
          <w:bCs/>
          <w:sz w:val="22"/>
          <w:szCs w:val="22"/>
        </w:rPr>
        <w:t xml:space="preserve"> </w:t>
      </w:r>
    </w:p>
    <w:p w14:paraId="1BC8DA86" w14:textId="77777777" w:rsidR="00CD6F02" w:rsidRPr="00E87295" w:rsidRDefault="00CD6F02">
      <w:pPr>
        <w:tabs>
          <w:tab w:val="left" w:pos="540"/>
          <w:tab w:val="left" w:pos="569"/>
        </w:tabs>
        <w:jc w:val="both"/>
        <w:rPr>
          <w:b/>
          <w:bCs/>
          <w:sz w:val="22"/>
          <w:szCs w:val="22"/>
        </w:rPr>
      </w:pPr>
    </w:p>
    <w:p w14:paraId="0254094B" w14:textId="382522C8" w:rsidR="00FE4979" w:rsidRPr="00E87295" w:rsidRDefault="007677A5">
      <w:pPr>
        <w:pStyle w:val="BodyText23"/>
        <w:shd w:val="clear" w:color="auto" w:fill="auto"/>
        <w:spacing w:afterLines="80" w:after="192" w:line="240" w:lineRule="auto"/>
        <w:ind w:firstLine="0"/>
        <w:rPr>
          <w:color w:val="auto"/>
          <w:sz w:val="22"/>
          <w:szCs w:val="22"/>
          <w:lang w:val="sr-Latn-RS"/>
        </w:rPr>
      </w:pPr>
      <w:r w:rsidRPr="00E87295">
        <w:rPr>
          <w:color w:val="auto"/>
          <w:sz w:val="22"/>
          <w:szCs w:val="22"/>
          <w:lang w:val="sr-Latn-RS"/>
        </w:rPr>
        <w:t xml:space="preserve">U kliničkim ispitivanjima, </w:t>
      </w:r>
      <w:r w:rsidR="00A21431" w:rsidRPr="00E87295">
        <w:rPr>
          <w:color w:val="auto"/>
          <w:sz w:val="22"/>
          <w:szCs w:val="22"/>
          <w:lang w:val="sr-Latn-RS"/>
        </w:rPr>
        <w:t xml:space="preserve">pojedinačne </w:t>
      </w:r>
      <w:r w:rsidRPr="00E87295">
        <w:rPr>
          <w:color w:val="auto"/>
          <w:sz w:val="22"/>
          <w:szCs w:val="22"/>
          <w:lang w:val="sr-Latn-RS"/>
        </w:rPr>
        <w:t>intravenske doze guselkumaba do 987 mg (10 mg/kg)</w:t>
      </w:r>
      <w:r w:rsidR="00A21431" w:rsidRPr="00E87295">
        <w:rPr>
          <w:color w:val="auto"/>
          <w:sz w:val="22"/>
          <w:szCs w:val="22"/>
          <w:lang w:val="sr-Latn-RS"/>
        </w:rPr>
        <w:t xml:space="preserve"> primjenjivale su se</w:t>
      </w:r>
      <w:r w:rsidRPr="00E87295">
        <w:rPr>
          <w:color w:val="auto"/>
          <w:sz w:val="22"/>
          <w:szCs w:val="22"/>
          <w:lang w:val="sr-Latn-RS"/>
        </w:rPr>
        <w:t xml:space="preserve"> kod zdravih dobrovoljaca i </w:t>
      </w:r>
      <w:r w:rsidR="00A21431" w:rsidRPr="00E87295">
        <w:rPr>
          <w:color w:val="auto"/>
          <w:sz w:val="22"/>
          <w:szCs w:val="22"/>
          <w:lang w:val="sr-Latn-RS"/>
        </w:rPr>
        <w:t xml:space="preserve">pojedinačne </w:t>
      </w:r>
      <w:r w:rsidRPr="00E87295">
        <w:rPr>
          <w:color w:val="auto"/>
          <w:sz w:val="22"/>
          <w:szCs w:val="22"/>
          <w:lang w:val="sr-Latn-RS"/>
        </w:rPr>
        <w:t>su</w:t>
      </w:r>
      <w:r w:rsidR="00A21431" w:rsidRPr="00E87295">
        <w:rPr>
          <w:color w:val="auto"/>
          <w:sz w:val="22"/>
          <w:szCs w:val="22"/>
          <w:lang w:val="sr-Latn-RS"/>
        </w:rPr>
        <w:t>b</w:t>
      </w:r>
      <w:r w:rsidRPr="00E87295">
        <w:rPr>
          <w:color w:val="auto"/>
          <w:sz w:val="22"/>
          <w:szCs w:val="22"/>
          <w:lang w:val="sr-Latn-RS"/>
        </w:rPr>
        <w:t xml:space="preserve">kutane doze guselkumaba do 300 mg   kod pacijenata sa </w:t>
      </w:r>
      <w:r w:rsidR="00A21431" w:rsidRPr="00E87295">
        <w:rPr>
          <w:color w:val="auto"/>
          <w:sz w:val="22"/>
          <w:szCs w:val="22"/>
          <w:lang w:val="sr-Latn-RS"/>
        </w:rPr>
        <w:t xml:space="preserve">plak </w:t>
      </w:r>
      <w:r w:rsidRPr="00E87295">
        <w:rPr>
          <w:color w:val="auto"/>
          <w:sz w:val="22"/>
          <w:szCs w:val="22"/>
          <w:lang w:val="sr-Latn-RS"/>
        </w:rPr>
        <w:t>psorijazom bez dozno-zavisne toksičnosti. U slučaju predoziranja, pacijent</w:t>
      </w:r>
      <w:r w:rsidR="00FD7763" w:rsidRPr="00E87295">
        <w:rPr>
          <w:color w:val="auto"/>
          <w:sz w:val="22"/>
          <w:szCs w:val="22"/>
          <w:lang w:val="sr-Latn-RS"/>
        </w:rPr>
        <w:t xml:space="preserve"> se mora pratiti </w:t>
      </w:r>
      <w:r w:rsidRPr="00E87295">
        <w:rPr>
          <w:color w:val="auto"/>
          <w:sz w:val="22"/>
          <w:szCs w:val="22"/>
          <w:lang w:val="sr-Latn-RS"/>
        </w:rPr>
        <w:t>na pojavu znakova ili simptoma neželjenih reakcija odgovarajuća simptomatska terapija</w:t>
      </w:r>
      <w:r w:rsidR="00FA254B" w:rsidRPr="00C929E2">
        <w:rPr>
          <w:sz w:val="22"/>
          <w:szCs w:val="22"/>
          <w:lang w:val="sr-Latn-RS"/>
        </w:rPr>
        <w:t xml:space="preserve"> </w:t>
      </w:r>
      <w:r w:rsidR="00FA254B" w:rsidRPr="00E87295">
        <w:rPr>
          <w:color w:val="auto"/>
          <w:sz w:val="22"/>
          <w:szCs w:val="22"/>
          <w:lang w:val="sr-Latn-RS"/>
        </w:rPr>
        <w:t>se mora odmah prim</w:t>
      </w:r>
      <w:r w:rsidR="00EF2F11" w:rsidRPr="00E87295">
        <w:rPr>
          <w:color w:val="auto"/>
          <w:sz w:val="22"/>
          <w:szCs w:val="22"/>
          <w:lang w:val="sr-Latn-RS"/>
        </w:rPr>
        <w:t>j</w:t>
      </w:r>
      <w:r w:rsidR="00FA254B" w:rsidRPr="00E87295">
        <w:rPr>
          <w:color w:val="auto"/>
          <w:sz w:val="22"/>
          <w:szCs w:val="22"/>
          <w:lang w:val="sr-Latn-RS"/>
        </w:rPr>
        <w:t>eniti</w:t>
      </w:r>
      <w:r w:rsidRPr="00E87295">
        <w:rPr>
          <w:color w:val="auto"/>
          <w:sz w:val="22"/>
          <w:szCs w:val="22"/>
          <w:lang w:val="sr-Latn-RS"/>
        </w:rPr>
        <w:t>.</w:t>
      </w:r>
    </w:p>
    <w:p w14:paraId="19ADA882" w14:textId="77777777" w:rsidR="00515CB7" w:rsidRPr="00C929E2" w:rsidRDefault="00515CB7" w:rsidP="00E87295">
      <w:pPr>
        <w:pStyle w:val="BodyText23"/>
        <w:shd w:val="clear" w:color="auto" w:fill="auto"/>
        <w:spacing w:afterLines="80" w:after="192" w:line="240" w:lineRule="auto"/>
        <w:ind w:firstLine="0"/>
        <w:rPr>
          <w:lang w:val="sr-Latn-RS"/>
        </w:rPr>
      </w:pPr>
    </w:p>
    <w:p w14:paraId="155EAA8A" w14:textId="4BF1E366" w:rsidR="0072020E" w:rsidRPr="00C929E2" w:rsidRDefault="0072020E">
      <w:pPr>
        <w:tabs>
          <w:tab w:val="left" w:pos="540"/>
          <w:tab w:val="left" w:pos="569"/>
        </w:tabs>
        <w:jc w:val="both"/>
        <w:rPr>
          <w:b/>
          <w:bCs/>
          <w:sz w:val="22"/>
          <w:szCs w:val="22"/>
          <w:lang w:val="sr-Latn-RS"/>
        </w:rPr>
      </w:pPr>
      <w:r w:rsidRPr="00C929E2">
        <w:rPr>
          <w:b/>
          <w:bCs/>
          <w:sz w:val="22"/>
          <w:szCs w:val="22"/>
          <w:lang w:val="sr-Latn-RS"/>
        </w:rPr>
        <w:t xml:space="preserve">5. </w:t>
      </w:r>
      <w:r w:rsidR="00480FB1" w:rsidRPr="00C929E2">
        <w:rPr>
          <w:b/>
          <w:bCs/>
          <w:sz w:val="22"/>
          <w:szCs w:val="22"/>
          <w:lang w:val="sr-Latn-RS"/>
        </w:rPr>
        <w:tab/>
      </w:r>
      <w:r w:rsidRPr="00C929E2">
        <w:rPr>
          <w:b/>
          <w:bCs/>
          <w:sz w:val="22"/>
          <w:szCs w:val="22"/>
          <w:lang w:val="sr-Latn-RS"/>
        </w:rPr>
        <w:t>FARMAKOLOŠK</w:t>
      </w:r>
      <w:r w:rsidR="000D425A" w:rsidRPr="00C929E2">
        <w:rPr>
          <w:b/>
          <w:bCs/>
          <w:sz w:val="22"/>
          <w:szCs w:val="22"/>
          <w:lang w:val="sr-Latn-RS"/>
        </w:rPr>
        <w:t>I</w:t>
      </w:r>
      <w:r w:rsidRPr="00C929E2">
        <w:rPr>
          <w:b/>
          <w:bCs/>
          <w:sz w:val="22"/>
          <w:szCs w:val="22"/>
          <w:lang w:val="sr-Latn-RS"/>
        </w:rPr>
        <w:t xml:space="preserve"> PODACI</w:t>
      </w:r>
    </w:p>
    <w:p w14:paraId="6BC13045" w14:textId="77777777" w:rsidR="0072020E" w:rsidRPr="00C929E2" w:rsidRDefault="0072020E">
      <w:pPr>
        <w:tabs>
          <w:tab w:val="left" w:pos="540"/>
          <w:tab w:val="left" w:pos="569"/>
        </w:tabs>
        <w:jc w:val="both"/>
        <w:rPr>
          <w:b/>
          <w:bCs/>
          <w:sz w:val="22"/>
          <w:szCs w:val="22"/>
          <w:lang w:val="sr-Latn-RS"/>
        </w:rPr>
      </w:pPr>
    </w:p>
    <w:p w14:paraId="6D65B37C" w14:textId="77777777" w:rsidR="0072020E" w:rsidRPr="00C929E2" w:rsidRDefault="0072020E">
      <w:pPr>
        <w:tabs>
          <w:tab w:val="left" w:pos="540"/>
          <w:tab w:val="left" w:pos="569"/>
        </w:tabs>
        <w:jc w:val="both"/>
        <w:rPr>
          <w:b/>
          <w:bCs/>
          <w:sz w:val="22"/>
          <w:szCs w:val="22"/>
          <w:lang w:val="sr-Latn-RS"/>
        </w:rPr>
      </w:pPr>
      <w:r w:rsidRPr="00C929E2">
        <w:rPr>
          <w:b/>
          <w:bCs/>
          <w:sz w:val="22"/>
          <w:szCs w:val="22"/>
          <w:lang w:val="sr-Latn-RS"/>
        </w:rPr>
        <w:t xml:space="preserve">5.1. </w:t>
      </w:r>
      <w:r w:rsidR="00480FB1" w:rsidRPr="00C929E2">
        <w:rPr>
          <w:b/>
          <w:bCs/>
          <w:sz w:val="22"/>
          <w:szCs w:val="22"/>
          <w:lang w:val="sr-Latn-RS"/>
        </w:rPr>
        <w:tab/>
      </w:r>
      <w:r w:rsidRPr="00C929E2">
        <w:rPr>
          <w:b/>
          <w:bCs/>
          <w:sz w:val="22"/>
          <w:szCs w:val="22"/>
          <w:lang w:val="sr-Latn-RS"/>
        </w:rPr>
        <w:t>Farmakodinamski podaci</w:t>
      </w:r>
      <w:r w:rsidR="003A7059" w:rsidRPr="00C929E2">
        <w:rPr>
          <w:b/>
          <w:bCs/>
          <w:sz w:val="22"/>
          <w:szCs w:val="22"/>
          <w:lang w:val="sr-Latn-RS"/>
        </w:rPr>
        <w:t xml:space="preserve"> </w:t>
      </w:r>
    </w:p>
    <w:p w14:paraId="60D39064" w14:textId="77777777" w:rsidR="00515CB7" w:rsidRPr="00C929E2" w:rsidRDefault="00515CB7">
      <w:pPr>
        <w:jc w:val="both"/>
        <w:rPr>
          <w:bCs/>
          <w:sz w:val="22"/>
          <w:szCs w:val="22"/>
          <w:lang w:val="sr-Latn-RS"/>
        </w:rPr>
      </w:pPr>
    </w:p>
    <w:p w14:paraId="71A395F4" w14:textId="2418A736" w:rsidR="0072020E" w:rsidRPr="00E87295" w:rsidRDefault="0072020E">
      <w:pPr>
        <w:jc w:val="both"/>
        <w:rPr>
          <w:sz w:val="22"/>
          <w:szCs w:val="22"/>
          <w:lang w:val="sr-Latn-RS"/>
        </w:rPr>
      </w:pPr>
      <w:r w:rsidRPr="00C929E2">
        <w:rPr>
          <w:bCs/>
          <w:sz w:val="22"/>
          <w:szCs w:val="22"/>
          <w:lang w:val="sr-Latn-RS"/>
        </w:rPr>
        <w:t>Farmakoterapijska grupa:</w:t>
      </w:r>
      <w:r w:rsidR="007677A5" w:rsidRPr="00E87295">
        <w:rPr>
          <w:sz w:val="22"/>
          <w:szCs w:val="22"/>
          <w:lang w:val="sr-Latn-RS"/>
        </w:rPr>
        <w:t xml:space="preserve"> Imunosupresivi, inhibitori interleukina </w:t>
      </w:r>
    </w:p>
    <w:p w14:paraId="2BBC9FDD" w14:textId="77777777" w:rsidR="0072020E" w:rsidRPr="00E87295" w:rsidRDefault="0072020E">
      <w:pPr>
        <w:jc w:val="both"/>
        <w:rPr>
          <w:sz w:val="22"/>
          <w:szCs w:val="22"/>
          <w:lang w:val="sr-Latn-RS"/>
        </w:rPr>
      </w:pPr>
      <w:r w:rsidRPr="00C929E2">
        <w:rPr>
          <w:bCs/>
          <w:sz w:val="22"/>
          <w:szCs w:val="22"/>
          <w:lang w:val="sr-Latn-RS"/>
        </w:rPr>
        <w:t>ATC kod:</w:t>
      </w:r>
      <w:r w:rsidR="007677A5" w:rsidRPr="00C929E2">
        <w:rPr>
          <w:bCs/>
          <w:sz w:val="22"/>
          <w:szCs w:val="22"/>
          <w:lang w:val="sr-Latn-RS"/>
        </w:rPr>
        <w:t xml:space="preserve"> </w:t>
      </w:r>
      <w:r w:rsidR="007677A5" w:rsidRPr="00E87295">
        <w:rPr>
          <w:sz w:val="22"/>
          <w:szCs w:val="22"/>
          <w:lang w:val="sr-Latn-RS"/>
        </w:rPr>
        <w:t>L04AC16</w:t>
      </w:r>
    </w:p>
    <w:p w14:paraId="7E4D9C40" w14:textId="77777777" w:rsidR="002E37A5" w:rsidRPr="00C929E2" w:rsidRDefault="002E37A5">
      <w:pPr>
        <w:tabs>
          <w:tab w:val="left" w:pos="540"/>
          <w:tab w:val="left" w:pos="569"/>
        </w:tabs>
        <w:jc w:val="both"/>
        <w:rPr>
          <w:b/>
          <w:bCs/>
          <w:sz w:val="22"/>
          <w:szCs w:val="22"/>
          <w:lang w:val="sr-Latn-RS"/>
        </w:rPr>
      </w:pPr>
    </w:p>
    <w:p w14:paraId="02704195" w14:textId="77777777" w:rsidR="007677A5" w:rsidRPr="00E87295" w:rsidRDefault="007677A5">
      <w:pPr>
        <w:tabs>
          <w:tab w:val="left" w:pos="1134"/>
          <w:tab w:val="left" w:pos="1701"/>
        </w:tabs>
        <w:autoSpaceDE w:val="0"/>
        <w:autoSpaceDN w:val="0"/>
        <w:adjustRightInd w:val="0"/>
        <w:spacing w:afterLines="80" w:after="192"/>
        <w:jc w:val="both"/>
        <w:rPr>
          <w:sz w:val="22"/>
          <w:szCs w:val="22"/>
          <w:u w:val="single"/>
          <w:lang w:val="sr-Latn-RS"/>
        </w:rPr>
      </w:pPr>
      <w:r w:rsidRPr="00E87295">
        <w:rPr>
          <w:sz w:val="22"/>
          <w:szCs w:val="22"/>
          <w:u w:val="single"/>
          <w:lang w:val="sr-Latn-RS"/>
        </w:rPr>
        <w:t>Mehanizam dejstva</w:t>
      </w:r>
    </w:p>
    <w:p w14:paraId="2790AE33" w14:textId="5F81989D" w:rsidR="007677A5" w:rsidRPr="00E87295" w:rsidRDefault="007677A5">
      <w:pPr>
        <w:spacing w:after="180"/>
        <w:ind w:left="20"/>
        <w:jc w:val="both"/>
        <w:rPr>
          <w:sz w:val="22"/>
          <w:szCs w:val="22"/>
          <w:lang w:val="sr-Latn-RS"/>
        </w:rPr>
      </w:pPr>
      <w:r w:rsidRPr="00E87295">
        <w:rPr>
          <w:sz w:val="22"/>
          <w:szCs w:val="22"/>
          <w:lang w:val="sr-Latn-RS"/>
        </w:rPr>
        <w:t xml:space="preserve">Guselkumab je humano IgG1λ monoklonsko antitijelo  koje se selektivno vezuje za protein interleukin 23 (IL-23) sa velikom specifičnošću i afinitetom. </w:t>
      </w:r>
      <w:r w:rsidR="00FA254B" w:rsidRPr="00E87295">
        <w:rPr>
          <w:sz w:val="22"/>
          <w:szCs w:val="22"/>
          <w:lang w:val="sr-Latn-RS"/>
        </w:rPr>
        <w:t>IL-23 je citokin koji je uključen u inflamatorne i imune odgovore. Blokirajući IL-23 od vezivanja za njegov receptor, guselkumab inhibira IL-23 zavisnu ćelijsku signalizaciju i oslobađanje proinflamatornih citokina</w:t>
      </w:r>
    </w:p>
    <w:p w14:paraId="74778F6D" w14:textId="03B42070" w:rsidR="007677A5" w:rsidRPr="00E87295" w:rsidRDefault="007677A5">
      <w:pPr>
        <w:spacing w:after="180"/>
        <w:ind w:left="20"/>
        <w:jc w:val="both"/>
        <w:rPr>
          <w:sz w:val="22"/>
          <w:szCs w:val="22"/>
          <w:lang w:val="sr-Latn-RS"/>
        </w:rPr>
      </w:pPr>
      <w:r w:rsidRPr="00E87295">
        <w:rPr>
          <w:sz w:val="22"/>
          <w:szCs w:val="22"/>
          <w:lang w:val="sr-Latn-RS"/>
        </w:rPr>
        <w:t>Koncentracije IL-23 su povišene u koži pacijenata sa</w:t>
      </w:r>
      <w:r w:rsidR="00A21431" w:rsidRPr="00E87295">
        <w:rPr>
          <w:sz w:val="22"/>
          <w:szCs w:val="22"/>
          <w:lang w:val="sr-Latn-RS"/>
        </w:rPr>
        <w:t xml:space="preserve"> plak</w:t>
      </w:r>
      <w:r w:rsidRPr="00E87295">
        <w:rPr>
          <w:sz w:val="22"/>
          <w:szCs w:val="22"/>
          <w:lang w:val="sr-Latn-RS"/>
        </w:rPr>
        <w:t xml:space="preserve"> psorijazom. </w:t>
      </w:r>
      <w:r w:rsidRPr="00E87295">
        <w:rPr>
          <w:rStyle w:val="BodytextItalic"/>
          <w:sz w:val="22"/>
          <w:szCs w:val="22"/>
          <w:lang w:val="sr-Latn-RS"/>
        </w:rPr>
        <w:t>U in vitro</w:t>
      </w:r>
      <w:r w:rsidRPr="00E87295">
        <w:rPr>
          <w:sz w:val="22"/>
          <w:szCs w:val="22"/>
          <w:lang w:val="sr-Latn-RS"/>
        </w:rPr>
        <w:t xml:space="preserve"> modelima, prikazano je da guselkumab inhibi</w:t>
      </w:r>
      <w:r w:rsidR="00FE4979" w:rsidRPr="00E87295">
        <w:rPr>
          <w:sz w:val="22"/>
          <w:szCs w:val="22"/>
          <w:lang w:val="sr-Latn-RS"/>
        </w:rPr>
        <w:t>ra</w:t>
      </w:r>
      <w:r w:rsidRPr="00E87295">
        <w:rPr>
          <w:sz w:val="22"/>
          <w:szCs w:val="22"/>
          <w:lang w:val="sr-Latn-RS"/>
        </w:rPr>
        <w:t xml:space="preserve"> biološku aktivnost IL-23 blokiranjem njegove interakcije sa receptorom za IL-23 na površini ćelije, čime ometa signalizaciju, aktivaciju i citokinske kaskade posredovane IL-23. Guselkumab svoje kliničko dejstvo kod </w:t>
      </w:r>
      <w:r w:rsidR="00A21431" w:rsidRPr="00E87295">
        <w:rPr>
          <w:sz w:val="22"/>
          <w:szCs w:val="22"/>
          <w:lang w:val="sr-Latn-RS"/>
        </w:rPr>
        <w:t xml:space="preserve">plak </w:t>
      </w:r>
      <w:r w:rsidRPr="00E87295">
        <w:rPr>
          <w:sz w:val="22"/>
          <w:szCs w:val="22"/>
          <w:lang w:val="sr-Latn-RS"/>
        </w:rPr>
        <w:t>psorijaze</w:t>
      </w:r>
      <w:r w:rsidR="006652E4" w:rsidRPr="00E87295">
        <w:rPr>
          <w:sz w:val="22"/>
          <w:szCs w:val="22"/>
          <w:lang w:val="sr-Latn-RS"/>
        </w:rPr>
        <w:t xml:space="preserve"> i psorijatičnog artritisa</w:t>
      </w:r>
      <w:r w:rsidRPr="00E87295">
        <w:rPr>
          <w:sz w:val="22"/>
          <w:szCs w:val="22"/>
          <w:lang w:val="sr-Latn-RS"/>
        </w:rPr>
        <w:t xml:space="preserve"> ostvaruje blokadom signalnog puta citokina IL-23.</w:t>
      </w:r>
    </w:p>
    <w:p w14:paraId="29C64295" w14:textId="77777777" w:rsidR="007677A5" w:rsidRPr="00E87295" w:rsidRDefault="007677A5">
      <w:pPr>
        <w:spacing w:after="180"/>
        <w:ind w:left="20"/>
        <w:jc w:val="both"/>
        <w:rPr>
          <w:sz w:val="22"/>
          <w:szCs w:val="22"/>
          <w:lang w:val="sr-Latn-RS"/>
        </w:rPr>
      </w:pPr>
      <w:r w:rsidRPr="00E87295">
        <w:rPr>
          <w:sz w:val="22"/>
          <w:szCs w:val="22"/>
          <w:u w:val="single"/>
          <w:lang w:val="sr-Latn-RS"/>
        </w:rPr>
        <w:lastRenderedPageBreak/>
        <w:t>Farmakodinamska dejstva</w:t>
      </w:r>
    </w:p>
    <w:p w14:paraId="35F51CE1" w14:textId="304D0AA2" w:rsidR="002E487B" w:rsidRPr="00E87295" w:rsidRDefault="007677A5">
      <w:pPr>
        <w:spacing w:after="180"/>
        <w:ind w:left="20"/>
        <w:jc w:val="both"/>
        <w:rPr>
          <w:sz w:val="22"/>
          <w:szCs w:val="22"/>
          <w:lang w:val="sr-Latn-RS"/>
        </w:rPr>
      </w:pPr>
      <w:r w:rsidRPr="00E87295">
        <w:rPr>
          <w:sz w:val="22"/>
          <w:szCs w:val="22"/>
          <w:lang w:val="sr-Latn-RS"/>
        </w:rPr>
        <w:t xml:space="preserve">U kliničkom ispitivanju faze I, liječenje guselkumabom je smanjilo ekspresiju gena za signalni put IL-23/Th17 i profile genske ekspresije povezane sa psorijazom, što su pokazale analize mRNK iz biopsijskih uzoraka kožnih lezija pacijenata sa </w:t>
      </w:r>
      <w:r w:rsidR="00A21431" w:rsidRPr="00E87295">
        <w:rPr>
          <w:sz w:val="22"/>
          <w:szCs w:val="22"/>
          <w:lang w:val="sr-Latn-RS"/>
        </w:rPr>
        <w:t xml:space="preserve">plak </w:t>
      </w:r>
      <w:r w:rsidRPr="00E87295">
        <w:rPr>
          <w:sz w:val="22"/>
          <w:szCs w:val="22"/>
          <w:lang w:val="sr-Latn-RS"/>
        </w:rPr>
        <w:t>psorijazom uzetih 12. ned</w:t>
      </w:r>
      <w:r w:rsidR="00A21431" w:rsidRPr="00E87295">
        <w:rPr>
          <w:sz w:val="22"/>
          <w:szCs w:val="22"/>
          <w:lang w:val="sr-Latn-RS"/>
        </w:rPr>
        <w:t>j</w:t>
      </w:r>
      <w:r w:rsidRPr="00E87295">
        <w:rPr>
          <w:sz w:val="22"/>
          <w:szCs w:val="22"/>
          <w:lang w:val="sr-Latn-RS"/>
        </w:rPr>
        <w:t>elje u odnosu na one uzete na početku ispitivanja. U istom kliničkom ispitivanju faze I, liječenje guselkumabom je dovelo do poboljšanja histoloških mjer</w:t>
      </w:r>
      <w:r w:rsidR="00574D3E" w:rsidRPr="00E87295">
        <w:rPr>
          <w:sz w:val="22"/>
          <w:szCs w:val="22"/>
          <w:lang w:val="sr-Latn-RS"/>
        </w:rPr>
        <w:t>ila</w:t>
      </w:r>
      <w:r w:rsidRPr="00E87295">
        <w:rPr>
          <w:sz w:val="22"/>
          <w:szCs w:val="22"/>
          <w:lang w:val="sr-Latn-RS"/>
        </w:rPr>
        <w:t xml:space="preserve"> psorijaze 12. ned</w:t>
      </w:r>
      <w:r w:rsidR="00A21431" w:rsidRPr="00E87295">
        <w:rPr>
          <w:sz w:val="22"/>
          <w:szCs w:val="22"/>
          <w:lang w:val="sr-Latn-RS"/>
        </w:rPr>
        <w:t>j</w:t>
      </w:r>
      <w:r w:rsidRPr="00E87295">
        <w:rPr>
          <w:sz w:val="22"/>
          <w:szCs w:val="22"/>
          <w:lang w:val="sr-Latn-RS"/>
        </w:rPr>
        <w:t xml:space="preserve">elje, uključujući smanjenje debljine epiderma i gustine T-ćelija. </w:t>
      </w:r>
    </w:p>
    <w:p w14:paraId="1761B9E9" w14:textId="5A3D4BC5" w:rsidR="007677A5" w:rsidRPr="00E87295" w:rsidRDefault="007677A5">
      <w:pPr>
        <w:spacing w:after="180"/>
        <w:ind w:left="20"/>
        <w:jc w:val="both"/>
        <w:rPr>
          <w:sz w:val="22"/>
          <w:szCs w:val="22"/>
          <w:lang w:val="sr-Latn-RS"/>
        </w:rPr>
      </w:pPr>
      <w:r w:rsidRPr="00E87295">
        <w:rPr>
          <w:sz w:val="22"/>
          <w:szCs w:val="22"/>
          <w:lang w:val="sr-Latn-RS"/>
        </w:rPr>
        <w:t xml:space="preserve">Osim toga, u kliničkim ispitivanjima </w:t>
      </w:r>
      <w:r w:rsidR="006652E4" w:rsidRPr="00E87295">
        <w:rPr>
          <w:sz w:val="22"/>
          <w:szCs w:val="22"/>
          <w:lang w:val="sr-Latn-RS"/>
        </w:rPr>
        <w:t xml:space="preserve">psorijaze tipa plaka </w:t>
      </w:r>
      <w:r w:rsidRPr="00E87295">
        <w:rPr>
          <w:sz w:val="22"/>
          <w:szCs w:val="22"/>
          <w:lang w:val="sr-Latn-RS"/>
        </w:rPr>
        <w:t>faze II i III prim</w:t>
      </w:r>
      <w:r w:rsidR="00A21431" w:rsidRPr="00E87295">
        <w:rPr>
          <w:sz w:val="22"/>
          <w:szCs w:val="22"/>
          <w:lang w:val="sr-Latn-RS"/>
        </w:rPr>
        <w:t>i</w:t>
      </w:r>
      <w:r w:rsidRPr="00E87295">
        <w:rPr>
          <w:sz w:val="22"/>
          <w:szCs w:val="22"/>
          <w:lang w:val="sr-Latn-RS"/>
        </w:rPr>
        <w:t xml:space="preserve">jećeno je i smanjenje nivoa IL-17A, IL-17F i IL-22 u serumu pacijenata liječenih guselkumabom u odnosu na one koji su primali placebo. Ovi rezultati su u skladu sa kliničkom koristi zabilježenom kod liječenja </w:t>
      </w:r>
      <w:r w:rsidR="00441240" w:rsidRPr="00E87295">
        <w:rPr>
          <w:sz w:val="22"/>
          <w:szCs w:val="22"/>
          <w:lang w:val="sr-Latn-RS"/>
        </w:rPr>
        <w:t xml:space="preserve">plak </w:t>
      </w:r>
      <w:r w:rsidRPr="00E87295">
        <w:rPr>
          <w:sz w:val="22"/>
          <w:szCs w:val="22"/>
          <w:lang w:val="sr-Latn-RS"/>
        </w:rPr>
        <w:t xml:space="preserve">psorijaze guselkumabom. </w:t>
      </w:r>
    </w:p>
    <w:p w14:paraId="0D0FC6DE" w14:textId="169DA732" w:rsidR="00574D3E" w:rsidRPr="00E87295" w:rsidRDefault="006652E4" w:rsidP="00E87295">
      <w:pPr>
        <w:jc w:val="both"/>
        <w:rPr>
          <w:sz w:val="22"/>
          <w:szCs w:val="22"/>
          <w:lang w:val="sr-Latn-RS"/>
        </w:rPr>
      </w:pPr>
      <w:r w:rsidRPr="00E87295">
        <w:rPr>
          <w:sz w:val="22"/>
          <w:szCs w:val="22"/>
          <w:lang w:val="sr-Latn-RS"/>
        </w:rPr>
        <w:t>U kliničkim ispitivanjima psorijatičkog artritisa III faze, nivoi C-reaktivnog proteina u akutnoj fazi u serumu, amiloida A, i IL-6, i Th17 efektorskih citokina IL-17A, IL-17F i IL-22 u serumu bili su povišeni na početku studija. Guselkumab je vr</w:t>
      </w:r>
      <w:r w:rsidR="009F5282" w:rsidRPr="00E87295">
        <w:rPr>
          <w:sz w:val="22"/>
          <w:szCs w:val="22"/>
          <w:lang w:val="sr-Latn-RS"/>
        </w:rPr>
        <w:t>ij</w:t>
      </w:r>
      <w:r w:rsidRPr="00E87295">
        <w:rPr>
          <w:sz w:val="22"/>
          <w:szCs w:val="22"/>
          <w:lang w:val="sr-Latn-RS"/>
        </w:rPr>
        <w:t>ednosti ovih proteina smanjio u roku od 4 ned</w:t>
      </w:r>
      <w:r w:rsidR="009F5282" w:rsidRPr="00E87295">
        <w:rPr>
          <w:sz w:val="22"/>
          <w:szCs w:val="22"/>
          <w:lang w:val="sr-Latn-RS"/>
        </w:rPr>
        <w:t>j</w:t>
      </w:r>
      <w:r w:rsidRPr="00E87295">
        <w:rPr>
          <w:sz w:val="22"/>
          <w:szCs w:val="22"/>
          <w:lang w:val="sr-Latn-RS"/>
        </w:rPr>
        <w:t>elje po započinjanju l</w:t>
      </w:r>
      <w:r w:rsidR="009F5282" w:rsidRPr="00E87295">
        <w:rPr>
          <w:sz w:val="22"/>
          <w:szCs w:val="22"/>
          <w:lang w:val="sr-Latn-RS"/>
        </w:rPr>
        <w:t>ij</w:t>
      </w:r>
      <w:r w:rsidRPr="00E87295">
        <w:rPr>
          <w:sz w:val="22"/>
          <w:szCs w:val="22"/>
          <w:lang w:val="sr-Latn-RS"/>
        </w:rPr>
        <w:t>ečenja. Guselkumab je dodanto snizio nivoe ovih proteina do 24. ned</w:t>
      </w:r>
      <w:r w:rsidR="009F5282" w:rsidRPr="00E87295">
        <w:rPr>
          <w:sz w:val="22"/>
          <w:szCs w:val="22"/>
          <w:lang w:val="sr-Latn-RS"/>
        </w:rPr>
        <w:t>j</w:t>
      </w:r>
      <w:r w:rsidRPr="00E87295">
        <w:rPr>
          <w:sz w:val="22"/>
          <w:szCs w:val="22"/>
          <w:lang w:val="sr-Latn-RS"/>
        </w:rPr>
        <w:t>elje u poređenju sa vr</w:t>
      </w:r>
      <w:r w:rsidR="009F5282" w:rsidRPr="00E87295">
        <w:rPr>
          <w:sz w:val="22"/>
          <w:szCs w:val="22"/>
          <w:lang w:val="sr-Latn-RS"/>
        </w:rPr>
        <w:t>ij</w:t>
      </w:r>
      <w:r w:rsidRPr="00E87295">
        <w:rPr>
          <w:sz w:val="22"/>
          <w:szCs w:val="22"/>
          <w:lang w:val="sr-Latn-RS"/>
        </w:rPr>
        <w:t>ednostima na početku, kao i u poređenju sa placebom.</w:t>
      </w:r>
    </w:p>
    <w:p w14:paraId="7C90A898" w14:textId="77777777" w:rsidR="006652E4" w:rsidRPr="00E87295" w:rsidRDefault="006652E4" w:rsidP="00E87295">
      <w:pPr>
        <w:jc w:val="both"/>
        <w:rPr>
          <w:sz w:val="22"/>
          <w:szCs w:val="22"/>
          <w:lang w:val="sr-Latn-RS"/>
        </w:rPr>
      </w:pPr>
    </w:p>
    <w:p w14:paraId="1B25CEC7" w14:textId="33849E47" w:rsidR="007677A5" w:rsidRPr="00E87295" w:rsidRDefault="007677A5">
      <w:pPr>
        <w:tabs>
          <w:tab w:val="left" w:pos="1134"/>
          <w:tab w:val="left" w:pos="1701"/>
        </w:tabs>
        <w:spacing w:afterLines="80" w:after="192"/>
        <w:jc w:val="both"/>
        <w:rPr>
          <w:sz w:val="22"/>
          <w:szCs w:val="22"/>
          <w:u w:val="single"/>
          <w:lang w:val="sr-Latn-RS"/>
        </w:rPr>
      </w:pPr>
      <w:r w:rsidRPr="00E87295">
        <w:rPr>
          <w:sz w:val="22"/>
          <w:szCs w:val="22"/>
          <w:u w:val="single"/>
          <w:lang w:val="sr-Latn-RS"/>
        </w:rPr>
        <w:t>Klinička efikasnost i bezb</w:t>
      </w:r>
      <w:r w:rsidR="00574D3E" w:rsidRPr="00E87295">
        <w:rPr>
          <w:sz w:val="22"/>
          <w:szCs w:val="22"/>
          <w:u w:val="single"/>
          <w:lang w:val="sr-Latn-RS"/>
        </w:rPr>
        <w:t>j</w:t>
      </w:r>
      <w:r w:rsidRPr="00E87295">
        <w:rPr>
          <w:sz w:val="22"/>
          <w:szCs w:val="22"/>
          <w:u w:val="single"/>
          <w:lang w:val="sr-Latn-RS"/>
        </w:rPr>
        <w:t>ednost</w:t>
      </w:r>
    </w:p>
    <w:p w14:paraId="53BD70A9" w14:textId="77777777" w:rsidR="006652E4" w:rsidRPr="00E87295" w:rsidRDefault="006652E4" w:rsidP="00E87295">
      <w:pPr>
        <w:jc w:val="both"/>
        <w:rPr>
          <w:i/>
          <w:iCs/>
          <w:sz w:val="22"/>
          <w:szCs w:val="22"/>
          <w:u w:val="single"/>
          <w:lang w:val="sr-Latn-RS"/>
        </w:rPr>
      </w:pPr>
      <w:r w:rsidRPr="00E87295">
        <w:rPr>
          <w:i/>
          <w:iCs/>
          <w:sz w:val="22"/>
          <w:szCs w:val="22"/>
          <w:u w:val="single"/>
          <w:lang w:val="sr-Latn-RS"/>
        </w:rPr>
        <w:t>Psorijaza tipa plaka</w:t>
      </w:r>
    </w:p>
    <w:p w14:paraId="147A6570" w14:textId="77777777" w:rsidR="007677A5" w:rsidRPr="00E87295" w:rsidRDefault="007677A5">
      <w:pPr>
        <w:spacing w:after="180"/>
        <w:ind w:left="20"/>
        <w:jc w:val="both"/>
        <w:rPr>
          <w:sz w:val="22"/>
          <w:szCs w:val="22"/>
          <w:lang w:val="sr-Latn-RS"/>
        </w:rPr>
      </w:pPr>
      <w:r w:rsidRPr="00E87295">
        <w:rPr>
          <w:sz w:val="22"/>
          <w:szCs w:val="22"/>
          <w:lang w:val="sr-Latn-RS"/>
        </w:rPr>
        <w:t>Efikasnost i bezbjednost guselkumaba je procjenj</w:t>
      </w:r>
      <w:r w:rsidR="00441240" w:rsidRPr="00E87295">
        <w:rPr>
          <w:sz w:val="22"/>
          <w:szCs w:val="22"/>
          <w:lang w:val="sr-Latn-RS"/>
        </w:rPr>
        <w:t>ivana</w:t>
      </w:r>
      <w:r w:rsidRPr="00E87295">
        <w:rPr>
          <w:sz w:val="22"/>
          <w:szCs w:val="22"/>
          <w:lang w:val="sr-Latn-RS"/>
        </w:rPr>
        <w:t xml:space="preserve"> u tri randomizovana, dvostruko slijepa, aktivno-kontrolisana klinička ispitivanja faze III koja su sprovedena kod odraslih pacijenata sa umjerenom do teškom </w:t>
      </w:r>
      <w:r w:rsidR="00441240" w:rsidRPr="00E87295">
        <w:rPr>
          <w:sz w:val="22"/>
          <w:szCs w:val="22"/>
          <w:lang w:val="sr-Latn-RS"/>
        </w:rPr>
        <w:t xml:space="preserve">plak </w:t>
      </w:r>
      <w:r w:rsidRPr="00E87295">
        <w:rPr>
          <w:sz w:val="22"/>
          <w:szCs w:val="22"/>
          <w:lang w:val="sr-Latn-RS"/>
        </w:rPr>
        <w:t xml:space="preserve">psorijazom koji su bili kandidati za fototerapiju ili sistemsku terapiju. </w:t>
      </w:r>
    </w:p>
    <w:p w14:paraId="3692358E" w14:textId="77777777" w:rsidR="007677A5" w:rsidRPr="00E87295" w:rsidRDefault="007677A5">
      <w:pPr>
        <w:pStyle w:val="Bodytext30"/>
        <w:shd w:val="clear" w:color="auto" w:fill="auto"/>
        <w:spacing w:before="0" w:line="240" w:lineRule="auto"/>
        <w:ind w:left="580"/>
        <w:jc w:val="both"/>
        <w:rPr>
          <w:i/>
          <w:sz w:val="22"/>
          <w:szCs w:val="22"/>
          <w:lang w:val="sr-Latn-RS"/>
        </w:rPr>
      </w:pPr>
      <w:r w:rsidRPr="00E87295">
        <w:rPr>
          <w:i/>
          <w:sz w:val="22"/>
          <w:szCs w:val="22"/>
          <w:lang w:val="sr-Latn-RS"/>
        </w:rPr>
        <w:t>VOYAGE 1 i VOYAGE 2</w:t>
      </w:r>
    </w:p>
    <w:p w14:paraId="5D16589A" w14:textId="33A9C6DC" w:rsidR="007677A5" w:rsidRPr="00E87295" w:rsidRDefault="007677A5">
      <w:pPr>
        <w:spacing w:after="180"/>
        <w:ind w:left="20"/>
        <w:jc w:val="both"/>
        <w:rPr>
          <w:sz w:val="22"/>
          <w:szCs w:val="22"/>
          <w:lang w:val="sr-Latn-RS"/>
        </w:rPr>
      </w:pPr>
      <w:r w:rsidRPr="00E87295">
        <w:rPr>
          <w:sz w:val="22"/>
          <w:szCs w:val="22"/>
          <w:lang w:val="sr-Latn-RS"/>
        </w:rPr>
        <w:t xml:space="preserve">U dva klinička ispitivanja (VOYAGE 1 i VOYAGE 2) efikasnost i bezbjednost guselkumaba </w:t>
      </w:r>
      <w:r w:rsidR="00441240" w:rsidRPr="00E87295">
        <w:rPr>
          <w:sz w:val="22"/>
          <w:szCs w:val="22"/>
          <w:lang w:val="sr-Latn-RS"/>
        </w:rPr>
        <w:t xml:space="preserve">ispitana je </w:t>
      </w:r>
      <w:r w:rsidRPr="00E87295">
        <w:rPr>
          <w:sz w:val="22"/>
          <w:szCs w:val="22"/>
          <w:lang w:val="sr-Latn-RS"/>
        </w:rPr>
        <w:t>u odnosu na placebo i adalimumab kod 1829 odraslih pacijenata. Pacijenti randomizovani u grupe koje su primale  guselkumab (N=825), dobijali su  100 mg guselkumaba u 0. ned</w:t>
      </w:r>
      <w:r w:rsidR="00441240" w:rsidRPr="00E87295">
        <w:rPr>
          <w:sz w:val="22"/>
          <w:szCs w:val="22"/>
          <w:lang w:val="sr-Latn-RS"/>
        </w:rPr>
        <w:t>j</w:t>
      </w:r>
      <w:r w:rsidRPr="00E87295">
        <w:rPr>
          <w:sz w:val="22"/>
          <w:szCs w:val="22"/>
          <w:lang w:val="sr-Latn-RS"/>
        </w:rPr>
        <w:t>elji  i 4. ned</w:t>
      </w:r>
      <w:r w:rsidR="00441240" w:rsidRPr="00E87295">
        <w:rPr>
          <w:sz w:val="22"/>
          <w:szCs w:val="22"/>
          <w:lang w:val="sr-Latn-RS"/>
        </w:rPr>
        <w:t>j</w:t>
      </w:r>
      <w:r w:rsidRPr="00E87295">
        <w:rPr>
          <w:sz w:val="22"/>
          <w:szCs w:val="22"/>
          <w:lang w:val="sr-Latn-RS"/>
        </w:rPr>
        <w:t>elji, a zatim na svakih 8 ned</w:t>
      </w:r>
      <w:r w:rsidR="00441240" w:rsidRPr="00E87295">
        <w:rPr>
          <w:sz w:val="22"/>
          <w:szCs w:val="22"/>
          <w:lang w:val="sr-Latn-RS"/>
        </w:rPr>
        <w:t>j</w:t>
      </w:r>
      <w:r w:rsidRPr="00E87295">
        <w:rPr>
          <w:sz w:val="22"/>
          <w:szCs w:val="22"/>
          <w:lang w:val="sr-Latn-RS"/>
        </w:rPr>
        <w:t>elja tokom 48. ned</w:t>
      </w:r>
      <w:r w:rsidR="00441240" w:rsidRPr="00E87295">
        <w:rPr>
          <w:sz w:val="22"/>
          <w:szCs w:val="22"/>
          <w:lang w:val="sr-Latn-RS"/>
        </w:rPr>
        <w:t>j</w:t>
      </w:r>
      <w:r w:rsidRPr="00E87295">
        <w:rPr>
          <w:sz w:val="22"/>
          <w:szCs w:val="22"/>
          <w:lang w:val="sr-Latn-RS"/>
        </w:rPr>
        <w:t>elja (VOYAGE 1) odnosno 20. ned</w:t>
      </w:r>
      <w:r w:rsidR="00441240" w:rsidRPr="00E87295">
        <w:rPr>
          <w:sz w:val="22"/>
          <w:szCs w:val="22"/>
          <w:lang w:val="sr-Latn-RS"/>
        </w:rPr>
        <w:t>j</w:t>
      </w:r>
      <w:r w:rsidRPr="00E87295">
        <w:rPr>
          <w:sz w:val="22"/>
          <w:szCs w:val="22"/>
          <w:lang w:val="sr-Latn-RS"/>
        </w:rPr>
        <w:t>elja (VOYAGE 2). Pacijenti randomizovani u grupe koje su primale adalimumab (N=582) dobijali su 80 mg adalimumaba u 0. ned</w:t>
      </w:r>
      <w:r w:rsidR="00441240" w:rsidRPr="00E87295">
        <w:rPr>
          <w:sz w:val="22"/>
          <w:szCs w:val="22"/>
          <w:lang w:val="sr-Latn-RS"/>
        </w:rPr>
        <w:t>j</w:t>
      </w:r>
      <w:r w:rsidRPr="00E87295">
        <w:rPr>
          <w:sz w:val="22"/>
          <w:szCs w:val="22"/>
          <w:lang w:val="sr-Latn-RS"/>
        </w:rPr>
        <w:t>elji i 40 mg adalimumaba u 1. ned</w:t>
      </w:r>
      <w:r w:rsidR="00441240" w:rsidRPr="00E87295">
        <w:rPr>
          <w:sz w:val="22"/>
          <w:szCs w:val="22"/>
          <w:lang w:val="sr-Latn-RS"/>
        </w:rPr>
        <w:t>j</w:t>
      </w:r>
      <w:r w:rsidRPr="00E87295">
        <w:rPr>
          <w:sz w:val="22"/>
          <w:szCs w:val="22"/>
          <w:lang w:val="sr-Latn-RS"/>
        </w:rPr>
        <w:t>elji, a zatim 40 mg svake druge ned</w:t>
      </w:r>
      <w:r w:rsidR="00441240" w:rsidRPr="00E87295">
        <w:rPr>
          <w:sz w:val="22"/>
          <w:szCs w:val="22"/>
          <w:lang w:val="sr-Latn-RS"/>
        </w:rPr>
        <w:t>j</w:t>
      </w:r>
      <w:r w:rsidRPr="00E87295">
        <w:rPr>
          <w:sz w:val="22"/>
          <w:szCs w:val="22"/>
          <w:lang w:val="sr-Latn-RS"/>
        </w:rPr>
        <w:t>elje tokom 48. ned</w:t>
      </w:r>
      <w:r w:rsidR="00441240" w:rsidRPr="00E87295">
        <w:rPr>
          <w:sz w:val="22"/>
          <w:szCs w:val="22"/>
          <w:lang w:val="sr-Latn-RS"/>
        </w:rPr>
        <w:t>j</w:t>
      </w:r>
      <w:r w:rsidRPr="00E87295">
        <w:rPr>
          <w:sz w:val="22"/>
          <w:szCs w:val="22"/>
          <w:lang w:val="sr-Latn-RS"/>
        </w:rPr>
        <w:t>elja (VOYAGE 1) odnosno 23. ned</w:t>
      </w:r>
      <w:r w:rsidR="00441240" w:rsidRPr="00E87295">
        <w:rPr>
          <w:sz w:val="22"/>
          <w:szCs w:val="22"/>
          <w:lang w:val="sr-Latn-RS"/>
        </w:rPr>
        <w:t>j</w:t>
      </w:r>
      <w:r w:rsidRPr="00E87295">
        <w:rPr>
          <w:sz w:val="22"/>
          <w:szCs w:val="22"/>
          <w:lang w:val="sr-Latn-RS"/>
        </w:rPr>
        <w:t>elja (VOYAGE 2). U oba ispitivanja pacijenti randomizovani za primanje placeba (N=422) primili su 100 mg guselkumaba 16. i 20. ned</w:t>
      </w:r>
      <w:r w:rsidR="00441240" w:rsidRPr="00E87295">
        <w:rPr>
          <w:sz w:val="22"/>
          <w:szCs w:val="22"/>
          <w:lang w:val="sr-Latn-RS"/>
        </w:rPr>
        <w:t>j</w:t>
      </w:r>
      <w:r w:rsidRPr="00E87295">
        <w:rPr>
          <w:sz w:val="22"/>
          <w:szCs w:val="22"/>
          <w:lang w:val="sr-Latn-RS"/>
        </w:rPr>
        <w:t>elje, a zatim svakih 8 ned</w:t>
      </w:r>
      <w:r w:rsidR="00441240" w:rsidRPr="00E87295">
        <w:rPr>
          <w:sz w:val="22"/>
          <w:szCs w:val="22"/>
          <w:lang w:val="sr-Latn-RS"/>
        </w:rPr>
        <w:t>j</w:t>
      </w:r>
      <w:r w:rsidRPr="00E87295">
        <w:rPr>
          <w:sz w:val="22"/>
          <w:szCs w:val="22"/>
          <w:lang w:val="sr-Latn-RS"/>
        </w:rPr>
        <w:t xml:space="preserve">elja </w:t>
      </w:r>
      <w:r w:rsidR="00441240" w:rsidRPr="00E87295">
        <w:rPr>
          <w:sz w:val="22"/>
          <w:szCs w:val="22"/>
          <w:lang w:val="sr-Latn-RS"/>
        </w:rPr>
        <w:t xml:space="preserve">nakon </w:t>
      </w:r>
      <w:r w:rsidRPr="00E87295">
        <w:rPr>
          <w:sz w:val="22"/>
          <w:szCs w:val="22"/>
          <w:lang w:val="sr-Latn-RS"/>
        </w:rPr>
        <w:t xml:space="preserve">toga. </w:t>
      </w:r>
      <w:r w:rsidR="0006393B" w:rsidRPr="00C929E2">
        <w:rPr>
          <w:sz w:val="22"/>
          <w:szCs w:val="22"/>
          <w:lang w:val="sr-Latn-RS"/>
        </w:rPr>
        <w:t>U kliničkom ispitivanju VOYAGE 1 su svi pacijenti, uključujući i one koji su u 0. ned</w:t>
      </w:r>
      <w:r w:rsidR="004C56CA" w:rsidRPr="00C929E2">
        <w:rPr>
          <w:sz w:val="22"/>
          <w:szCs w:val="22"/>
          <w:lang w:val="sr-Latn-RS"/>
        </w:rPr>
        <w:t>j</w:t>
      </w:r>
      <w:r w:rsidR="0006393B" w:rsidRPr="00C929E2">
        <w:rPr>
          <w:sz w:val="22"/>
          <w:szCs w:val="22"/>
          <w:lang w:val="sr-Latn-RS"/>
        </w:rPr>
        <w:t>elji randomizovani u grupu koja je primala adalimumab, počeli da primaju guselkumab 52. ned</w:t>
      </w:r>
      <w:r w:rsidR="004C56CA" w:rsidRPr="00C929E2">
        <w:rPr>
          <w:sz w:val="22"/>
          <w:szCs w:val="22"/>
          <w:lang w:val="sr-Latn-RS"/>
        </w:rPr>
        <w:t>j</w:t>
      </w:r>
      <w:r w:rsidR="0006393B" w:rsidRPr="00C929E2">
        <w:rPr>
          <w:sz w:val="22"/>
          <w:szCs w:val="22"/>
          <w:lang w:val="sr-Latn-RS"/>
        </w:rPr>
        <w:t>elje, a zatim svakih 8 ned</w:t>
      </w:r>
      <w:r w:rsidR="004C56CA" w:rsidRPr="00C929E2">
        <w:rPr>
          <w:sz w:val="22"/>
          <w:szCs w:val="22"/>
          <w:lang w:val="sr-Latn-RS"/>
        </w:rPr>
        <w:t>j</w:t>
      </w:r>
      <w:r w:rsidR="0006393B" w:rsidRPr="00C929E2">
        <w:rPr>
          <w:sz w:val="22"/>
          <w:szCs w:val="22"/>
          <w:lang w:val="sr-Latn-RS"/>
        </w:rPr>
        <w:t>elja posl</w:t>
      </w:r>
      <w:r w:rsidR="008A303B" w:rsidRPr="00C929E2">
        <w:rPr>
          <w:sz w:val="22"/>
          <w:szCs w:val="22"/>
          <w:lang w:val="sr-Latn-RS"/>
        </w:rPr>
        <w:t>ij</w:t>
      </w:r>
      <w:r w:rsidR="0006393B" w:rsidRPr="00C929E2">
        <w:rPr>
          <w:sz w:val="22"/>
          <w:szCs w:val="22"/>
          <w:lang w:val="sr-Latn-RS"/>
        </w:rPr>
        <w:t>e toga u otvorenom ispitivanju. Pacijenti randomizovani za primanje guselkumaba 0. ned</w:t>
      </w:r>
      <w:r w:rsidR="004C56CA" w:rsidRPr="00C929E2">
        <w:rPr>
          <w:sz w:val="22"/>
          <w:szCs w:val="22"/>
          <w:lang w:val="sr-Latn-RS"/>
        </w:rPr>
        <w:t>j</w:t>
      </w:r>
      <w:r w:rsidR="0006393B" w:rsidRPr="00C929E2">
        <w:rPr>
          <w:sz w:val="22"/>
          <w:szCs w:val="22"/>
          <w:lang w:val="sr-Latn-RS"/>
        </w:rPr>
        <w:t>elje ispitivanja VOYAGE 2 koji su 28. ned</w:t>
      </w:r>
      <w:r w:rsidR="004C56CA" w:rsidRPr="00C929E2">
        <w:rPr>
          <w:sz w:val="22"/>
          <w:szCs w:val="22"/>
          <w:lang w:val="sr-Latn-RS"/>
        </w:rPr>
        <w:t>j</w:t>
      </w:r>
      <w:r w:rsidR="0006393B" w:rsidRPr="00C929E2">
        <w:rPr>
          <w:sz w:val="22"/>
          <w:szCs w:val="22"/>
          <w:lang w:val="sr-Latn-RS"/>
        </w:rPr>
        <w:t>elje postigli odgovor PASI 90 prema indeksu t</w:t>
      </w:r>
      <w:r w:rsidR="008A303B" w:rsidRPr="00C929E2">
        <w:rPr>
          <w:sz w:val="22"/>
          <w:szCs w:val="22"/>
          <w:lang w:val="sr-Latn-RS"/>
        </w:rPr>
        <w:t>j</w:t>
      </w:r>
      <w:r w:rsidR="0006393B" w:rsidRPr="00C929E2">
        <w:rPr>
          <w:sz w:val="22"/>
          <w:szCs w:val="22"/>
          <w:lang w:val="sr-Latn-RS"/>
        </w:rPr>
        <w:t>elesne mase i raširenosti psorijaze (engl.</w:t>
      </w:r>
      <w:r w:rsidR="0006393B" w:rsidRPr="00C929E2">
        <w:rPr>
          <w:rStyle w:val="BodytextItalic"/>
          <w:sz w:val="22"/>
          <w:szCs w:val="22"/>
          <w:lang w:val="sr-Latn-RS"/>
        </w:rPr>
        <w:t xml:space="preserve"> Psoriasis Area and Severity Index,</w:t>
      </w:r>
      <w:r w:rsidR="0006393B" w:rsidRPr="00C929E2">
        <w:rPr>
          <w:sz w:val="22"/>
          <w:szCs w:val="22"/>
          <w:lang w:val="sr-Latn-RS"/>
        </w:rPr>
        <w:t xml:space="preserve"> PASI) bili su ponovo randomizovani za nastavak terapije guselkumabom svakih 8 ned</w:t>
      </w:r>
      <w:r w:rsidR="004C56CA" w:rsidRPr="00C929E2">
        <w:rPr>
          <w:sz w:val="22"/>
          <w:szCs w:val="22"/>
          <w:lang w:val="sr-Latn-RS"/>
        </w:rPr>
        <w:t>j</w:t>
      </w:r>
      <w:r w:rsidR="0006393B" w:rsidRPr="00C929E2">
        <w:rPr>
          <w:sz w:val="22"/>
          <w:szCs w:val="22"/>
          <w:lang w:val="sr-Latn-RS"/>
        </w:rPr>
        <w:t>elja (terapija održavanja) ili za primanje placeba (povlačenje terapije). Pacijentima kojima je povučena terapija guselkumabom, ponovno je započeta prim</w:t>
      </w:r>
      <w:r w:rsidR="008A303B" w:rsidRPr="00C929E2">
        <w:rPr>
          <w:sz w:val="22"/>
          <w:szCs w:val="22"/>
          <w:lang w:val="sr-Latn-RS"/>
        </w:rPr>
        <w:t>j</w:t>
      </w:r>
      <w:r w:rsidR="0006393B" w:rsidRPr="00C929E2">
        <w:rPr>
          <w:sz w:val="22"/>
          <w:szCs w:val="22"/>
          <w:lang w:val="sr-Latn-RS"/>
        </w:rPr>
        <w:t>ena guselkumaba (primili su dozu kod ponovnog započinjanja l</w:t>
      </w:r>
      <w:r w:rsidR="008A303B" w:rsidRPr="00C929E2">
        <w:rPr>
          <w:sz w:val="22"/>
          <w:szCs w:val="22"/>
          <w:lang w:val="sr-Latn-RS"/>
        </w:rPr>
        <w:t>ij</w:t>
      </w:r>
      <w:r w:rsidR="0006393B" w:rsidRPr="00C929E2">
        <w:rPr>
          <w:sz w:val="22"/>
          <w:szCs w:val="22"/>
          <w:lang w:val="sr-Latn-RS"/>
        </w:rPr>
        <w:t>ečenja, 4 ned</w:t>
      </w:r>
      <w:r w:rsidR="004C56CA" w:rsidRPr="00C929E2">
        <w:rPr>
          <w:sz w:val="22"/>
          <w:szCs w:val="22"/>
          <w:lang w:val="sr-Latn-RS"/>
        </w:rPr>
        <w:t>j</w:t>
      </w:r>
      <w:r w:rsidR="0006393B" w:rsidRPr="00C929E2">
        <w:rPr>
          <w:sz w:val="22"/>
          <w:szCs w:val="22"/>
          <w:lang w:val="sr-Latn-RS"/>
        </w:rPr>
        <w:t>elje nakon toga, a zatim na svakih 8 ned</w:t>
      </w:r>
      <w:r w:rsidR="004C56CA" w:rsidRPr="00C929E2">
        <w:rPr>
          <w:sz w:val="22"/>
          <w:szCs w:val="22"/>
          <w:lang w:val="sr-Latn-RS"/>
        </w:rPr>
        <w:t>j</w:t>
      </w:r>
      <w:r w:rsidR="0006393B" w:rsidRPr="00C929E2">
        <w:rPr>
          <w:sz w:val="22"/>
          <w:szCs w:val="22"/>
          <w:lang w:val="sr-Latn-RS"/>
        </w:rPr>
        <w:t>elja) kada je došlo do gubitka najmanje 50% poboljšanja PASI rezultata iz 28. nedelje. Pacijenti randomizovani u grupu koja je primala adalimumab u 0. nedelji koji ni</w:t>
      </w:r>
      <w:r w:rsidR="008A303B" w:rsidRPr="00C929E2">
        <w:rPr>
          <w:sz w:val="22"/>
          <w:szCs w:val="22"/>
          <w:lang w:val="sr-Latn-RS"/>
        </w:rPr>
        <w:t>je</w:t>
      </w:r>
      <w:r w:rsidR="0006393B" w:rsidRPr="00C929E2">
        <w:rPr>
          <w:sz w:val="22"/>
          <w:szCs w:val="22"/>
          <w:lang w:val="sr-Latn-RS"/>
        </w:rPr>
        <w:t>su postigli odgovor PASI 90 su primili guselkumab u 28. i 32. ned</w:t>
      </w:r>
      <w:r w:rsidR="004C56CA" w:rsidRPr="00C929E2">
        <w:rPr>
          <w:sz w:val="22"/>
          <w:szCs w:val="22"/>
          <w:lang w:val="sr-Latn-RS"/>
        </w:rPr>
        <w:t>j</w:t>
      </w:r>
      <w:r w:rsidR="0006393B" w:rsidRPr="00C929E2">
        <w:rPr>
          <w:sz w:val="22"/>
          <w:szCs w:val="22"/>
          <w:lang w:val="sr-Latn-RS"/>
        </w:rPr>
        <w:t>elji, a zatim svakih 8 nedelja posle toga. Svi pacijenti ukjlučeni u ispitivanje VOYAGE 2 su u 76. ned</w:t>
      </w:r>
      <w:r w:rsidR="004C56CA" w:rsidRPr="00C929E2">
        <w:rPr>
          <w:sz w:val="22"/>
          <w:szCs w:val="22"/>
          <w:lang w:val="sr-Latn-RS"/>
        </w:rPr>
        <w:t>j</w:t>
      </w:r>
      <w:r w:rsidR="0006393B" w:rsidRPr="00C929E2">
        <w:rPr>
          <w:sz w:val="22"/>
          <w:szCs w:val="22"/>
          <w:lang w:val="sr-Latn-RS"/>
        </w:rPr>
        <w:t>elji počeli da primaju guselkumab na svakih 8 ned</w:t>
      </w:r>
      <w:r w:rsidR="004C56CA" w:rsidRPr="00C929E2">
        <w:rPr>
          <w:sz w:val="22"/>
          <w:szCs w:val="22"/>
          <w:lang w:val="sr-Latn-RS"/>
        </w:rPr>
        <w:t>j</w:t>
      </w:r>
      <w:r w:rsidR="0006393B" w:rsidRPr="00C929E2">
        <w:rPr>
          <w:sz w:val="22"/>
          <w:szCs w:val="22"/>
          <w:lang w:val="sr-Latn-RS"/>
        </w:rPr>
        <w:t>elja u otvorenom ispitivanju.</w:t>
      </w:r>
    </w:p>
    <w:p w14:paraId="3D520421" w14:textId="308C48F9" w:rsidR="007677A5" w:rsidRPr="00E87295" w:rsidRDefault="007677A5">
      <w:pPr>
        <w:ind w:left="20"/>
        <w:jc w:val="both"/>
        <w:rPr>
          <w:sz w:val="22"/>
          <w:szCs w:val="22"/>
          <w:lang w:val="sr-Latn-RS"/>
        </w:rPr>
      </w:pPr>
      <w:r w:rsidRPr="00E87295">
        <w:rPr>
          <w:sz w:val="22"/>
          <w:szCs w:val="22"/>
          <w:lang w:val="sr-Latn-RS"/>
        </w:rPr>
        <w:t xml:space="preserve">Početne karakteristike bolesti ispitivanih populacija u studijama VOYAGE 1 i 2 bile su ujednačene, pa je medijana zahvaćene površine tijela </w:t>
      </w:r>
      <w:r w:rsidR="0006393B" w:rsidRPr="00C929E2">
        <w:rPr>
          <w:sz w:val="22"/>
          <w:szCs w:val="22"/>
          <w:lang w:val="sr-Latn-RS"/>
        </w:rPr>
        <w:t xml:space="preserve">(engl. </w:t>
      </w:r>
      <w:r w:rsidR="0006393B" w:rsidRPr="00C929E2">
        <w:rPr>
          <w:i/>
          <w:sz w:val="22"/>
          <w:szCs w:val="22"/>
          <w:lang w:val="sr-Latn-RS"/>
        </w:rPr>
        <w:t xml:space="preserve">Body </w:t>
      </w:r>
      <w:r w:rsidR="00062654" w:rsidRPr="00C929E2">
        <w:rPr>
          <w:i/>
          <w:sz w:val="22"/>
          <w:szCs w:val="22"/>
          <w:lang w:val="sr-Latn-RS"/>
        </w:rPr>
        <w:t>S</w:t>
      </w:r>
      <w:r w:rsidR="0006393B" w:rsidRPr="00C929E2">
        <w:rPr>
          <w:i/>
          <w:sz w:val="22"/>
          <w:szCs w:val="22"/>
          <w:lang w:val="sr-Latn-RS"/>
        </w:rPr>
        <w:t xml:space="preserve">urface </w:t>
      </w:r>
      <w:r w:rsidR="00062654" w:rsidRPr="00C929E2">
        <w:rPr>
          <w:i/>
          <w:sz w:val="22"/>
          <w:szCs w:val="22"/>
          <w:lang w:val="sr-Latn-RS"/>
        </w:rPr>
        <w:t>A</w:t>
      </w:r>
      <w:r w:rsidR="0006393B" w:rsidRPr="00C929E2">
        <w:rPr>
          <w:i/>
          <w:sz w:val="22"/>
          <w:szCs w:val="22"/>
          <w:lang w:val="sr-Latn-RS"/>
        </w:rPr>
        <w:t>rea</w:t>
      </w:r>
      <w:r w:rsidR="0006393B" w:rsidRPr="00C929E2">
        <w:rPr>
          <w:sz w:val="22"/>
          <w:szCs w:val="22"/>
          <w:lang w:val="sr-Latn-RS"/>
        </w:rPr>
        <w:t xml:space="preserve">, BSA) </w:t>
      </w:r>
      <w:r w:rsidRPr="00E87295">
        <w:rPr>
          <w:sz w:val="22"/>
          <w:szCs w:val="22"/>
          <w:lang w:val="sr-Latn-RS"/>
        </w:rPr>
        <w:t>iznosila 22% odnosno 24%, medijana početnog PASI rezultata bila je 19 u oba ispitivanja, medijana početnog rezultata prema indeksu kvaliteta života</w:t>
      </w:r>
      <w:r w:rsidR="00441240" w:rsidRPr="00E87295">
        <w:rPr>
          <w:sz w:val="22"/>
          <w:szCs w:val="22"/>
          <w:lang w:val="sr-Latn-RS"/>
        </w:rPr>
        <w:t xml:space="preserve"> kod dermatoloških bolesti</w:t>
      </w:r>
      <w:r w:rsidRPr="00E87295">
        <w:rPr>
          <w:sz w:val="22"/>
          <w:szCs w:val="22"/>
          <w:lang w:val="sr-Latn-RS"/>
        </w:rPr>
        <w:t xml:space="preserve">  (engl.</w:t>
      </w:r>
      <w:r w:rsidRPr="00E87295">
        <w:rPr>
          <w:rStyle w:val="BodytextItalic"/>
          <w:sz w:val="22"/>
          <w:szCs w:val="22"/>
          <w:lang w:val="sr-Latn-RS"/>
        </w:rPr>
        <w:t xml:space="preserve"> Dermatology Life Quality Index,</w:t>
      </w:r>
      <w:r w:rsidRPr="00E87295">
        <w:rPr>
          <w:sz w:val="22"/>
          <w:szCs w:val="22"/>
          <w:lang w:val="sr-Latn-RS"/>
        </w:rPr>
        <w:t xml:space="preserve"> DLQI) iznosila je 14 odnosno 14,5; tešku bolest na početku ispitivanja prema opštoj ocjeni ispitivača (engl.</w:t>
      </w:r>
      <w:r w:rsidRPr="00E87295">
        <w:rPr>
          <w:rStyle w:val="BodytextItalic"/>
          <w:sz w:val="22"/>
          <w:szCs w:val="22"/>
          <w:lang w:val="sr-Latn-RS"/>
        </w:rPr>
        <w:t xml:space="preserve"> Investigator's Global Assessment,</w:t>
      </w:r>
      <w:r w:rsidRPr="00E87295">
        <w:rPr>
          <w:sz w:val="22"/>
          <w:szCs w:val="22"/>
          <w:lang w:val="sr-Latn-RS"/>
        </w:rPr>
        <w:t xml:space="preserve"> IGA) imalo je 25% odnosno 23% pacijenata, dok je psorijatični artritis u anamnezi imalo 19% odnosno 18% pacijenata.</w:t>
      </w:r>
    </w:p>
    <w:p w14:paraId="0E754D51" w14:textId="77777777" w:rsidR="007677A5" w:rsidRPr="00E87295" w:rsidRDefault="007677A5">
      <w:pPr>
        <w:ind w:left="20"/>
        <w:jc w:val="both"/>
        <w:rPr>
          <w:sz w:val="22"/>
          <w:szCs w:val="22"/>
          <w:lang w:val="sr-Latn-RS"/>
        </w:rPr>
      </w:pPr>
    </w:p>
    <w:p w14:paraId="4523E269" w14:textId="10D856A5" w:rsidR="007677A5" w:rsidRPr="00E87295" w:rsidRDefault="007677A5">
      <w:pPr>
        <w:ind w:left="20"/>
        <w:jc w:val="both"/>
        <w:rPr>
          <w:sz w:val="22"/>
          <w:szCs w:val="22"/>
          <w:lang w:val="sr-Latn-RS"/>
        </w:rPr>
      </w:pPr>
      <w:r w:rsidRPr="00E87295">
        <w:rPr>
          <w:sz w:val="22"/>
          <w:szCs w:val="22"/>
          <w:lang w:val="sr-Latn-RS"/>
        </w:rPr>
        <w:lastRenderedPageBreak/>
        <w:t>Među svim pacijentima uključenim u klinička ispitivanja VOYAGE 1 i 2, njih 32% odnosno 29% prethodno nije primalo konvencionalnu terapiju, sistemsku terapiju, ni biološku terapiju, dok je 54% odnosno 57% pacijenata prethodno je primalo fototerapiju</w:t>
      </w:r>
      <w:r w:rsidR="00441240" w:rsidRPr="00E87295">
        <w:rPr>
          <w:sz w:val="22"/>
          <w:szCs w:val="22"/>
          <w:lang w:val="sr-Latn-RS"/>
        </w:rPr>
        <w:t xml:space="preserve">, dok je </w:t>
      </w:r>
      <w:r w:rsidRPr="00E87295">
        <w:rPr>
          <w:sz w:val="22"/>
          <w:szCs w:val="22"/>
          <w:lang w:val="sr-Latn-RS"/>
        </w:rPr>
        <w:t xml:space="preserve">62% odnosno 64% pacijenata prethodno bilo liječeno konvencionalnom sistemskom terapijom. U oba ispitivanja 21% pacijenata su prethodno primali biološku terapiju, uključujući 11% njih koji su primili najmanje jedan inhibitor faktora tumorske nekroze alfa (engl. </w:t>
      </w:r>
      <w:r w:rsidRPr="00E87295">
        <w:rPr>
          <w:rStyle w:val="BodytextItalic"/>
          <w:sz w:val="22"/>
          <w:szCs w:val="22"/>
          <w:lang w:val="sr-Latn-RS"/>
        </w:rPr>
        <w:t>tumour necrosis factor alpha,</w:t>
      </w:r>
      <w:r w:rsidRPr="00E87295">
        <w:rPr>
          <w:sz w:val="22"/>
          <w:szCs w:val="22"/>
          <w:lang w:val="sr-Latn-RS"/>
        </w:rPr>
        <w:t xml:space="preserve"> TNFa), dok je približno 10% primalo inhibitor IL-12/IL-23.</w:t>
      </w:r>
    </w:p>
    <w:p w14:paraId="0CB1A2A6" w14:textId="77777777" w:rsidR="007677A5" w:rsidRPr="00E87295" w:rsidRDefault="007677A5">
      <w:pPr>
        <w:ind w:left="20"/>
        <w:jc w:val="both"/>
        <w:rPr>
          <w:sz w:val="22"/>
          <w:szCs w:val="22"/>
          <w:lang w:val="sr-Latn-RS"/>
        </w:rPr>
      </w:pPr>
    </w:p>
    <w:p w14:paraId="15B97F3E" w14:textId="4EA062D8" w:rsidR="007677A5" w:rsidRPr="00E87295" w:rsidRDefault="007677A5">
      <w:pPr>
        <w:spacing w:after="176"/>
        <w:ind w:left="20"/>
        <w:jc w:val="both"/>
        <w:rPr>
          <w:sz w:val="22"/>
          <w:szCs w:val="22"/>
          <w:lang w:val="sr-Latn-RS"/>
        </w:rPr>
      </w:pPr>
      <w:r w:rsidRPr="00E87295">
        <w:rPr>
          <w:sz w:val="22"/>
          <w:szCs w:val="22"/>
          <w:lang w:val="sr-Latn-RS"/>
        </w:rPr>
        <w:t xml:space="preserve">Efikasnost guselkumaba </w:t>
      </w:r>
      <w:r w:rsidR="00441240" w:rsidRPr="00E87295">
        <w:rPr>
          <w:sz w:val="22"/>
          <w:szCs w:val="22"/>
          <w:lang w:val="sr-Latn-RS"/>
        </w:rPr>
        <w:t>procjenjivana je</w:t>
      </w:r>
      <w:r w:rsidRPr="00E87295">
        <w:rPr>
          <w:sz w:val="22"/>
          <w:szCs w:val="22"/>
          <w:lang w:val="sr-Latn-RS"/>
        </w:rPr>
        <w:t xml:space="preserve"> u odnosu na </w:t>
      </w:r>
      <w:r w:rsidR="00441240" w:rsidRPr="00E87295">
        <w:rPr>
          <w:sz w:val="22"/>
          <w:szCs w:val="22"/>
          <w:lang w:val="sr-Latn-RS"/>
        </w:rPr>
        <w:t>ukupnu kožnu bolest</w:t>
      </w:r>
      <w:r w:rsidRPr="00E87295">
        <w:rPr>
          <w:sz w:val="22"/>
          <w:szCs w:val="22"/>
          <w:lang w:val="sr-Latn-RS"/>
        </w:rPr>
        <w:t xml:space="preserve">, regionalnu zahvaćenost (kosmati dio glave, šake i stopala, i nokti) i </w:t>
      </w:r>
      <w:r w:rsidR="00441240" w:rsidRPr="00E87295">
        <w:rPr>
          <w:sz w:val="22"/>
          <w:szCs w:val="22"/>
          <w:lang w:val="sr-Latn-RS"/>
        </w:rPr>
        <w:t xml:space="preserve">na </w:t>
      </w:r>
      <w:r w:rsidRPr="00E87295">
        <w:rPr>
          <w:sz w:val="22"/>
          <w:szCs w:val="22"/>
          <w:lang w:val="sr-Latn-RS"/>
        </w:rPr>
        <w:t>kvalitet života i ishode po ocjeni samih pacijenata. Ko-primarn</w:t>
      </w:r>
      <w:r w:rsidR="00062654" w:rsidRPr="00E87295">
        <w:rPr>
          <w:sz w:val="22"/>
          <w:szCs w:val="22"/>
          <w:lang w:val="sr-Latn-RS"/>
        </w:rPr>
        <w:t>i parametri praćenja</w:t>
      </w:r>
      <w:r w:rsidRPr="00E87295">
        <w:rPr>
          <w:sz w:val="22"/>
          <w:szCs w:val="22"/>
          <w:lang w:val="sr-Latn-RS"/>
        </w:rPr>
        <w:t xml:space="preserve"> u kliničkim ispitivanjima VOYAGE 1 i 2 su bil</w:t>
      </w:r>
      <w:r w:rsidR="00062654" w:rsidRPr="00E87295">
        <w:rPr>
          <w:sz w:val="22"/>
          <w:szCs w:val="22"/>
          <w:lang w:val="sr-Latn-RS"/>
        </w:rPr>
        <w:t>i</w:t>
      </w:r>
      <w:r w:rsidR="00441240" w:rsidRPr="00E87295">
        <w:rPr>
          <w:sz w:val="22"/>
          <w:szCs w:val="22"/>
          <w:lang w:val="sr-Latn-RS"/>
        </w:rPr>
        <w:t xml:space="preserve"> udio </w:t>
      </w:r>
      <w:r w:rsidRPr="00E87295">
        <w:rPr>
          <w:sz w:val="22"/>
          <w:szCs w:val="22"/>
          <w:lang w:val="sr-Latn-RS"/>
        </w:rPr>
        <w:t>pacijenata  koji su postigli IGA rezultat 0/1 (bez bolesti ili minimalna bolest) i odgovor</w:t>
      </w:r>
      <w:r w:rsidR="00441240" w:rsidRPr="00E87295">
        <w:rPr>
          <w:sz w:val="22"/>
          <w:szCs w:val="22"/>
          <w:lang w:val="sr-Latn-RS"/>
        </w:rPr>
        <w:t xml:space="preserve"> PASI 90</w:t>
      </w:r>
      <w:r w:rsidRPr="00E87295">
        <w:rPr>
          <w:sz w:val="22"/>
          <w:szCs w:val="22"/>
          <w:lang w:val="sr-Latn-RS"/>
        </w:rPr>
        <w:t xml:space="preserve"> 16. ned</w:t>
      </w:r>
      <w:r w:rsidR="00441240" w:rsidRPr="00E87295">
        <w:rPr>
          <w:sz w:val="22"/>
          <w:szCs w:val="22"/>
          <w:lang w:val="sr-Latn-RS"/>
        </w:rPr>
        <w:t>j</w:t>
      </w:r>
      <w:r w:rsidRPr="00E87295">
        <w:rPr>
          <w:sz w:val="22"/>
          <w:szCs w:val="22"/>
          <w:lang w:val="sr-Latn-RS"/>
        </w:rPr>
        <w:t>elje u odnosu na placebo (vid</w:t>
      </w:r>
      <w:r w:rsidR="00441240" w:rsidRPr="00E87295">
        <w:rPr>
          <w:sz w:val="22"/>
          <w:szCs w:val="22"/>
          <w:lang w:val="sr-Latn-RS"/>
        </w:rPr>
        <w:t>j</w:t>
      </w:r>
      <w:r w:rsidRPr="00E87295">
        <w:rPr>
          <w:sz w:val="22"/>
          <w:szCs w:val="22"/>
          <w:lang w:val="sr-Latn-RS"/>
        </w:rPr>
        <w:t xml:space="preserve">eti Tabelu </w:t>
      </w:r>
      <w:r w:rsidR="001A5B54" w:rsidRPr="00E87295">
        <w:rPr>
          <w:sz w:val="22"/>
          <w:szCs w:val="22"/>
          <w:lang w:val="sr-Latn-RS"/>
        </w:rPr>
        <w:t>3</w:t>
      </w:r>
      <w:r w:rsidRPr="00E87295">
        <w:rPr>
          <w:sz w:val="22"/>
          <w:szCs w:val="22"/>
          <w:lang w:val="sr-Latn-RS"/>
        </w:rPr>
        <w:t>).</w:t>
      </w:r>
    </w:p>
    <w:p w14:paraId="08532533" w14:textId="77777777" w:rsidR="007677A5" w:rsidRPr="00E87295" w:rsidRDefault="007677A5">
      <w:pPr>
        <w:tabs>
          <w:tab w:val="left" w:pos="720"/>
        </w:tabs>
        <w:jc w:val="both"/>
        <w:rPr>
          <w:i/>
          <w:sz w:val="22"/>
          <w:szCs w:val="22"/>
          <w:u w:val="single"/>
          <w:lang w:val="sr-Latn-RS"/>
        </w:rPr>
      </w:pPr>
      <w:r w:rsidRPr="00E87295">
        <w:rPr>
          <w:i/>
          <w:sz w:val="22"/>
          <w:szCs w:val="22"/>
          <w:u w:val="single"/>
          <w:lang w:val="sr-Latn-RS"/>
        </w:rPr>
        <w:t>Sveukupno oboljenje kože</w:t>
      </w:r>
    </w:p>
    <w:p w14:paraId="78C6C76D" w14:textId="74E31DEF" w:rsidR="007677A5" w:rsidRPr="00E87295" w:rsidRDefault="007677A5">
      <w:pPr>
        <w:tabs>
          <w:tab w:val="left" w:pos="1134"/>
          <w:tab w:val="left" w:pos="1701"/>
        </w:tabs>
        <w:spacing w:afterLines="80" w:after="192"/>
        <w:jc w:val="both"/>
        <w:rPr>
          <w:sz w:val="22"/>
          <w:szCs w:val="22"/>
          <w:lang w:val="sr-Latn-RS"/>
        </w:rPr>
      </w:pPr>
      <w:r w:rsidRPr="00E87295">
        <w:rPr>
          <w:sz w:val="22"/>
          <w:szCs w:val="22"/>
          <w:lang w:val="sr-Latn-RS"/>
        </w:rPr>
        <w:t xml:space="preserve">Liječenje guselkumabom dovelo je do značajnih poboljšanja u mjerenjima aktivnosti bolesti u odnosu na placebo i adalimumab </w:t>
      </w:r>
      <w:r w:rsidR="00441240" w:rsidRPr="00E87295">
        <w:rPr>
          <w:sz w:val="22"/>
          <w:szCs w:val="22"/>
          <w:lang w:val="sr-Latn-RS"/>
        </w:rPr>
        <w:t xml:space="preserve">u </w:t>
      </w:r>
      <w:r w:rsidRPr="00E87295">
        <w:rPr>
          <w:sz w:val="22"/>
          <w:szCs w:val="22"/>
          <w:lang w:val="sr-Latn-RS"/>
        </w:rPr>
        <w:t>16. ned</w:t>
      </w:r>
      <w:r w:rsidR="00441240" w:rsidRPr="00E87295">
        <w:rPr>
          <w:sz w:val="22"/>
          <w:szCs w:val="22"/>
          <w:lang w:val="sr-Latn-RS"/>
        </w:rPr>
        <w:t>j</w:t>
      </w:r>
      <w:r w:rsidRPr="00E87295">
        <w:rPr>
          <w:sz w:val="22"/>
          <w:szCs w:val="22"/>
          <w:lang w:val="sr-Latn-RS"/>
        </w:rPr>
        <w:t>elj</w:t>
      </w:r>
      <w:r w:rsidR="00441240" w:rsidRPr="00E87295">
        <w:rPr>
          <w:sz w:val="22"/>
          <w:szCs w:val="22"/>
          <w:lang w:val="sr-Latn-RS"/>
        </w:rPr>
        <w:t>i</w:t>
      </w:r>
      <w:r w:rsidRPr="00E87295">
        <w:rPr>
          <w:sz w:val="22"/>
          <w:szCs w:val="22"/>
          <w:lang w:val="sr-Latn-RS"/>
        </w:rPr>
        <w:t xml:space="preserve"> i u odnosu na adalimumab</w:t>
      </w:r>
      <w:r w:rsidR="00441240" w:rsidRPr="00E87295">
        <w:rPr>
          <w:sz w:val="22"/>
          <w:szCs w:val="22"/>
          <w:lang w:val="sr-Latn-RS"/>
        </w:rPr>
        <w:t xml:space="preserve"> u</w:t>
      </w:r>
      <w:r w:rsidRPr="00E87295">
        <w:rPr>
          <w:sz w:val="22"/>
          <w:szCs w:val="22"/>
          <w:lang w:val="sr-Latn-RS"/>
        </w:rPr>
        <w:t xml:space="preserve"> 24. i 48. ned</w:t>
      </w:r>
      <w:r w:rsidR="00441240" w:rsidRPr="00E87295">
        <w:rPr>
          <w:sz w:val="22"/>
          <w:szCs w:val="22"/>
          <w:lang w:val="sr-Latn-RS"/>
        </w:rPr>
        <w:t>j</w:t>
      </w:r>
      <w:r w:rsidRPr="00E87295">
        <w:rPr>
          <w:sz w:val="22"/>
          <w:szCs w:val="22"/>
          <w:lang w:val="sr-Latn-RS"/>
        </w:rPr>
        <w:t>elj</w:t>
      </w:r>
      <w:r w:rsidR="00441240" w:rsidRPr="00E87295">
        <w:rPr>
          <w:sz w:val="22"/>
          <w:szCs w:val="22"/>
          <w:lang w:val="sr-Latn-RS"/>
        </w:rPr>
        <w:t>i</w:t>
      </w:r>
      <w:r w:rsidRPr="00E87295">
        <w:rPr>
          <w:sz w:val="22"/>
          <w:szCs w:val="22"/>
          <w:lang w:val="sr-Latn-RS"/>
        </w:rPr>
        <w:t xml:space="preserve">. Ključni rezultati za efikasnost kod primarnih i glavnih sekundarnih </w:t>
      </w:r>
      <w:r w:rsidR="00062654" w:rsidRPr="00E87295">
        <w:rPr>
          <w:sz w:val="22"/>
          <w:szCs w:val="22"/>
          <w:lang w:val="sr-Latn-RS"/>
        </w:rPr>
        <w:t xml:space="preserve">parametara praćenja </w:t>
      </w:r>
      <w:r w:rsidRPr="00E87295">
        <w:rPr>
          <w:sz w:val="22"/>
          <w:szCs w:val="22"/>
          <w:lang w:val="sr-Latn-RS"/>
        </w:rPr>
        <w:t xml:space="preserve">navedeni su u Tabeli </w:t>
      </w:r>
      <w:r w:rsidR="001A5B54" w:rsidRPr="00E87295">
        <w:rPr>
          <w:sz w:val="22"/>
          <w:szCs w:val="22"/>
          <w:lang w:val="sr-Latn-RS"/>
        </w:rPr>
        <w:t xml:space="preserve">3 </w:t>
      </w:r>
      <w:r w:rsidR="00441240" w:rsidRPr="00E87295">
        <w:rPr>
          <w:sz w:val="22"/>
          <w:szCs w:val="22"/>
          <w:lang w:val="sr-Latn-RS"/>
        </w:rPr>
        <w:t>u nastavku</w:t>
      </w:r>
      <w:r w:rsidRPr="00E87295">
        <w:rPr>
          <w:sz w:val="22"/>
          <w:szCs w:val="22"/>
          <w:lang w:val="sr-Latn-RS"/>
        </w:rPr>
        <w:t>.</w:t>
      </w:r>
    </w:p>
    <w:p w14:paraId="7CDD9FBF" w14:textId="629AF74C" w:rsidR="007677A5" w:rsidRPr="00E87295" w:rsidRDefault="007677A5">
      <w:pPr>
        <w:jc w:val="both"/>
        <w:rPr>
          <w:b/>
          <w:sz w:val="22"/>
          <w:szCs w:val="22"/>
          <w:lang w:val="sr-Latn-RS"/>
        </w:rPr>
      </w:pPr>
      <w:r w:rsidRPr="00E87295">
        <w:rPr>
          <w:rStyle w:val="Tablecaption2"/>
          <w:b/>
          <w:sz w:val="22"/>
          <w:szCs w:val="22"/>
          <w:lang w:val="sr-Latn-RS"/>
        </w:rPr>
        <w:t xml:space="preserve">Tabela </w:t>
      </w:r>
      <w:r w:rsidR="001A5B54" w:rsidRPr="00E87295">
        <w:rPr>
          <w:rStyle w:val="Tablecaption2"/>
          <w:b/>
          <w:sz w:val="22"/>
          <w:szCs w:val="22"/>
          <w:lang w:val="sr-Latn-RS"/>
        </w:rPr>
        <w:t>3</w:t>
      </w:r>
      <w:r w:rsidRPr="00E87295">
        <w:rPr>
          <w:rStyle w:val="Tablecaption2"/>
          <w:b/>
          <w:sz w:val="22"/>
          <w:szCs w:val="22"/>
          <w:lang w:val="sr-Latn-RS"/>
        </w:rPr>
        <w:t>: Sažeti prikaz rezultata kliničkih odgovora u ispitivanjima VOYAGE 1 i VOYAGE 2</w:t>
      </w:r>
    </w:p>
    <w:tbl>
      <w:tblPr>
        <w:tblStyle w:val="TableGrid"/>
        <w:tblW w:w="0" w:type="auto"/>
        <w:tblInd w:w="0" w:type="dxa"/>
        <w:tblLook w:val="04A0" w:firstRow="1" w:lastRow="0" w:firstColumn="1" w:lastColumn="0" w:noHBand="0" w:noVBand="1"/>
      </w:tblPr>
      <w:tblGrid>
        <w:gridCol w:w="1116"/>
        <w:gridCol w:w="1192"/>
        <w:gridCol w:w="1373"/>
        <w:gridCol w:w="1405"/>
        <w:gridCol w:w="1153"/>
        <w:gridCol w:w="1373"/>
        <w:gridCol w:w="1405"/>
      </w:tblGrid>
      <w:tr w:rsidR="007677A5" w:rsidRPr="00E87295" w14:paraId="51356E87" w14:textId="77777777" w:rsidTr="007677A5">
        <w:tc>
          <w:tcPr>
            <w:tcW w:w="1116" w:type="dxa"/>
            <w:tcBorders>
              <w:top w:val="single" w:sz="4" w:space="0" w:color="auto"/>
              <w:left w:val="single" w:sz="4" w:space="0" w:color="auto"/>
              <w:bottom w:val="single" w:sz="4" w:space="0" w:color="auto"/>
              <w:right w:val="single" w:sz="4" w:space="0" w:color="auto"/>
            </w:tcBorders>
          </w:tcPr>
          <w:p w14:paraId="5D466C07" w14:textId="77777777" w:rsidR="007677A5" w:rsidRPr="00E87295" w:rsidRDefault="007677A5">
            <w:pPr>
              <w:pStyle w:val="Header"/>
              <w:tabs>
                <w:tab w:val="left" w:pos="284"/>
              </w:tabs>
              <w:jc w:val="both"/>
              <w:rPr>
                <w:sz w:val="22"/>
                <w:szCs w:val="22"/>
                <w:lang w:val="sr-Latn-RS"/>
              </w:rPr>
            </w:pPr>
          </w:p>
        </w:tc>
        <w:tc>
          <w:tcPr>
            <w:tcW w:w="7901" w:type="dxa"/>
            <w:gridSpan w:val="6"/>
            <w:tcBorders>
              <w:top w:val="single" w:sz="4" w:space="0" w:color="auto"/>
              <w:left w:val="single" w:sz="4" w:space="0" w:color="auto"/>
              <w:bottom w:val="single" w:sz="4" w:space="0" w:color="auto"/>
              <w:right w:val="single" w:sz="4" w:space="0" w:color="auto"/>
            </w:tcBorders>
            <w:hideMark/>
          </w:tcPr>
          <w:p w14:paraId="71AB3C4E" w14:textId="77777777" w:rsidR="007677A5" w:rsidRPr="00E87295" w:rsidRDefault="007677A5" w:rsidP="00E87295">
            <w:pPr>
              <w:pStyle w:val="Header"/>
              <w:tabs>
                <w:tab w:val="left" w:pos="284"/>
              </w:tabs>
              <w:jc w:val="center"/>
              <w:rPr>
                <w:sz w:val="22"/>
                <w:szCs w:val="22"/>
                <w:lang w:val="sr-Latn-RS"/>
              </w:rPr>
            </w:pPr>
            <w:r w:rsidRPr="00E87295">
              <w:rPr>
                <w:sz w:val="22"/>
                <w:szCs w:val="22"/>
                <w:lang w:val="sr-Latn-RS"/>
              </w:rPr>
              <w:t>Broj pacijenata (%)</w:t>
            </w:r>
          </w:p>
        </w:tc>
      </w:tr>
      <w:tr w:rsidR="007677A5" w:rsidRPr="00E87295" w14:paraId="60DD2F5C" w14:textId="77777777" w:rsidTr="007677A5">
        <w:tc>
          <w:tcPr>
            <w:tcW w:w="1116" w:type="dxa"/>
            <w:tcBorders>
              <w:top w:val="single" w:sz="4" w:space="0" w:color="auto"/>
              <w:left w:val="single" w:sz="4" w:space="0" w:color="auto"/>
              <w:bottom w:val="single" w:sz="4" w:space="0" w:color="auto"/>
              <w:right w:val="single" w:sz="4" w:space="0" w:color="auto"/>
            </w:tcBorders>
          </w:tcPr>
          <w:p w14:paraId="09DE03FE" w14:textId="77777777" w:rsidR="007677A5" w:rsidRPr="00E87295" w:rsidRDefault="007677A5">
            <w:pPr>
              <w:pStyle w:val="Header"/>
              <w:tabs>
                <w:tab w:val="left" w:pos="284"/>
              </w:tabs>
              <w:jc w:val="both"/>
              <w:rPr>
                <w:sz w:val="22"/>
                <w:szCs w:val="22"/>
                <w:lang w:val="sr-Latn-RS"/>
              </w:rPr>
            </w:pPr>
          </w:p>
        </w:tc>
        <w:tc>
          <w:tcPr>
            <w:tcW w:w="3970" w:type="dxa"/>
            <w:gridSpan w:val="3"/>
            <w:tcBorders>
              <w:top w:val="single" w:sz="4" w:space="0" w:color="auto"/>
              <w:left w:val="single" w:sz="4" w:space="0" w:color="auto"/>
              <w:bottom w:val="single" w:sz="4" w:space="0" w:color="auto"/>
              <w:right w:val="single" w:sz="4" w:space="0" w:color="auto"/>
            </w:tcBorders>
            <w:hideMark/>
          </w:tcPr>
          <w:p w14:paraId="254BDDAC" w14:textId="77777777" w:rsidR="007677A5" w:rsidRPr="00E87295" w:rsidRDefault="007677A5" w:rsidP="00E87295">
            <w:pPr>
              <w:pStyle w:val="Header"/>
              <w:tabs>
                <w:tab w:val="left" w:pos="284"/>
              </w:tabs>
              <w:jc w:val="center"/>
              <w:rPr>
                <w:sz w:val="22"/>
                <w:szCs w:val="22"/>
                <w:lang w:val="sr-Latn-RS"/>
              </w:rPr>
            </w:pPr>
            <w:r w:rsidRPr="00E87295">
              <w:rPr>
                <w:sz w:val="22"/>
                <w:szCs w:val="22"/>
                <w:lang w:val="sr-Latn-RS"/>
              </w:rPr>
              <w:t>VOYAGE1</w:t>
            </w:r>
          </w:p>
        </w:tc>
        <w:tc>
          <w:tcPr>
            <w:tcW w:w="3931" w:type="dxa"/>
            <w:gridSpan w:val="3"/>
            <w:tcBorders>
              <w:top w:val="single" w:sz="4" w:space="0" w:color="auto"/>
              <w:left w:val="single" w:sz="4" w:space="0" w:color="auto"/>
              <w:bottom w:val="single" w:sz="4" w:space="0" w:color="auto"/>
              <w:right w:val="single" w:sz="4" w:space="0" w:color="auto"/>
            </w:tcBorders>
            <w:hideMark/>
          </w:tcPr>
          <w:p w14:paraId="6A83E460" w14:textId="77777777" w:rsidR="007677A5" w:rsidRPr="00E87295" w:rsidRDefault="007677A5" w:rsidP="00E87295">
            <w:pPr>
              <w:pStyle w:val="Header"/>
              <w:tabs>
                <w:tab w:val="left" w:pos="284"/>
              </w:tabs>
              <w:jc w:val="center"/>
              <w:rPr>
                <w:sz w:val="22"/>
                <w:szCs w:val="22"/>
                <w:lang w:val="sr-Latn-RS"/>
              </w:rPr>
            </w:pPr>
            <w:r w:rsidRPr="00E87295">
              <w:rPr>
                <w:sz w:val="22"/>
                <w:szCs w:val="22"/>
                <w:lang w:val="sr-Latn-RS"/>
              </w:rPr>
              <w:t>VOYAGE2</w:t>
            </w:r>
          </w:p>
        </w:tc>
      </w:tr>
      <w:tr w:rsidR="007677A5" w:rsidRPr="00E87295" w14:paraId="6AD2A8B9" w14:textId="77777777" w:rsidTr="007677A5">
        <w:tc>
          <w:tcPr>
            <w:tcW w:w="1116" w:type="dxa"/>
            <w:tcBorders>
              <w:top w:val="single" w:sz="4" w:space="0" w:color="auto"/>
              <w:left w:val="single" w:sz="4" w:space="0" w:color="auto"/>
              <w:bottom w:val="single" w:sz="4" w:space="0" w:color="auto"/>
              <w:right w:val="single" w:sz="4" w:space="0" w:color="auto"/>
            </w:tcBorders>
          </w:tcPr>
          <w:p w14:paraId="206EB943" w14:textId="77777777" w:rsidR="007677A5" w:rsidRPr="00E87295" w:rsidRDefault="007677A5">
            <w:pPr>
              <w:pStyle w:val="Header"/>
              <w:tabs>
                <w:tab w:val="left" w:pos="284"/>
              </w:tabs>
              <w:jc w:val="both"/>
              <w:rPr>
                <w:sz w:val="22"/>
                <w:szCs w:val="22"/>
                <w:lang w:val="sr-Latn-RS"/>
              </w:rPr>
            </w:pPr>
          </w:p>
        </w:tc>
        <w:tc>
          <w:tcPr>
            <w:tcW w:w="1192" w:type="dxa"/>
            <w:tcBorders>
              <w:top w:val="single" w:sz="4" w:space="0" w:color="auto"/>
              <w:left w:val="single" w:sz="4" w:space="0" w:color="auto"/>
              <w:bottom w:val="single" w:sz="4" w:space="0" w:color="auto"/>
              <w:right w:val="single" w:sz="4" w:space="0" w:color="auto"/>
            </w:tcBorders>
            <w:hideMark/>
          </w:tcPr>
          <w:p w14:paraId="52C5F4D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Placebo (N = 174)</w:t>
            </w:r>
          </w:p>
        </w:tc>
        <w:tc>
          <w:tcPr>
            <w:tcW w:w="1373" w:type="dxa"/>
            <w:tcBorders>
              <w:top w:val="single" w:sz="4" w:space="0" w:color="auto"/>
              <w:left w:val="single" w:sz="4" w:space="0" w:color="auto"/>
              <w:bottom w:val="single" w:sz="4" w:space="0" w:color="auto"/>
              <w:right w:val="single" w:sz="4" w:space="0" w:color="auto"/>
            </w:tcBorders>
            <w:hideMark/>
          </w:tcPr>
          <w:p w14:paraId="0F4EAA1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Guselkumab</w:t>
            </w:r>
          </w:p>
          <w:p w14:paraId="57E0AB0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(N = 329)</w:t>
            </w:r>
          </w:p>
        </w:tc>
        <w:tc>
          <w:tcPr>
            <w:tcW w:w="1405" w:type="dxa"/>
            <w:tcBorders>
              <w:top w:val="single" w:sz="4" w:space="0" w:color="auto"/>
              <w:left w:val="single" w:sz="4" w:space="0" w:color="auto"/>
              <w:bottom w:val="single" w:sz="4" w:space="0" w:color="auto"/>
              <w:right w:val="single" w:sz="4" w:space="0" w:color="auto"/>
            </w:tcBorders>
            <w:hideMark/>
          </w:tcPr>
          <w:p w14:paraId="610DB72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Adalimumab</w:t>
            </w:r>
          </w:p>
          <w:p w14:paraId="6638594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(N = 334)</w:t>
            </w:r>
          </w:p>
        </w:tc>
        <w:tc>
          <w:tcPr>
            <w:tcW w:w="1153" w:type="dxa"/>
            <w:tcBorders>
              <w:top w:val="single" w:sz="4" w:space="0" w:color="auto"/>
              <w:left w:val="single" w:sz="4" w:space="0" w:color="auto"/>
              <w:bottom w:val="single" w:sz="4" w:space="0" w:color="auto"/>
              <w:right w:val="single" w:sz="4" w:space="0" w:color="auto"/>
            </w:tcBorders>
            <w:hideMark/>
          </w:tcPr>
          <w:p w14:paraId="1AC64AF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Placebo (N = 248)</w:t>
            </w:r>
          </w:p>
        </w:tc>
        <w:tc>
          <w:tcPr>
            <w:tcW w:w="1373" w:type="dxa"/>
            <w:tcBorders>
              <w:top w:val="single" w:sz="4" w:space="0" w:color="auto"/>
              <w:left w:val="single" w:sz="4" w:space="0" w:color="auto"/>
              <w:bottom w:val="single" w:sz="4" w:space="0" w:color="auto"/>
              <w:right w:val="single" w:sz="4" w:space="0" w:color="auto"/>
            </w:tcBorders>
            <w:hideMark/>
          </w:tcPr>
          <w:p w14:paraId="4436D2D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Guselkumab</w:t>
            </w:r>
          </w:p>
          <w:p w14:paraId="0642D47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(N = 496)</w:t>
            </w:r>
          </w:p>
        </w:tc>
        <w:tc>
          <w:tcPr>
            <w:tcW w:w="1405" w:type="dxa"/>
            <w:tcBorders>
              <w:top w:val="single" w:sz="4" w:space="0" w:color="auto"/>
              <w:left w:val="single" w:sz="4" w:space="0" w:color="auto"/>
              <w:bottom w:val="single" w:sz="4" w:space="0" w:color="auto"/>
              <w:right w:val="single" w:sz="4" w:space="0" w:color="auto"/>
            </w:tcBorders>
            <w:hideMark/>
          </w:tcPr>
          <w:p w14:paraId="4CDE0E6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Adalimumab</w:t>
            </w:r>
          </w:p>
          <w:p w14:paraId="7DDB8D8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(N = 248)</w:t>
            </w:r>
          </w:p>
        </w:tc>
      </w:tr>
      <w:tr w:rsidR="007677A5" w:rsidRPr="00E87295" w14:paraId="673C7E4B" w14:textId="77777777" w:rsidTr="007677A5">
        <w:tc>
          <w:tcPr>
            <w:tcW w:w="1116" w:type="dxa"/>
            <w:tcBorders>
              <w:top w:val="single" w:sz="4" w:space="0" w:color="auto"/>
              <w:left w:val="single" w:sz="4" w:space="0" w:color="auto"/>
              <w:bottom w:val="single" w:sz="4" w:space="0" w:color="auto"/>
              <w:right w:val="single" w:sz="4" w:space="0" w:color="auto"/>
            </w:tcBorders>
            <w:hideMark/>
          </w:tcPr>
          <w:p w14:paraId="2E9FB220" w14:textId="77777777" w:rsidR="007677A5" w:rsidRPr="00E87295" w:rsidRDefault="007677A5">
            <w:pPr>
              <w:pStyle w:val="Bodytext50"/>
              <w:shd w:val="clear" w:color="auto" w:fill="auto"/>
              <w:spacing w:line="240" w:lineRule="auto"/>
              <w:jc w:val="both"/>
              <w:rPr>
                <w:b/>
                <w:sz w:val="22"/>
                <w:szCs w:val="22"/>
                <w:lang w:val="sr-Latn-RS"/>
              </w:rPr>
            </w:pPr>
            <w:r w:rsidRPr="00E87295">
              <w:rPr>
                <w:b/>
                <w:sz w:val="22"/>
                <w:szCs w:val="22"/>
                <w:lang w:val="sr-Latn-RS"/>
              </w:rPr>
              <w:t>16. ned</w:t>
            </w:r>
            <w:r w:rsidR="00441240" w:rsidRPr="00E87295">
              <w:rPr>
                <w:b/>
                <w:sz w:val="22"/>
                <w:szCs w:val="22"/>
                <w:lang w:val="sr-Latn-RS"/>
              </w:rPr>
              <w:t>j</w:t>
            </w:r>
            <w:r w:rsidRPr="00E87295">
              <w:rPr>
                <w:b/>
                <w:sz w:val="22"/>
                <w:szCs w:val="22"/>
                <w:lang w:val="sr-Latn-RS"/>
              </w:rPr>
              <w:t>elja</w:t>
            </w:r>
          </w:p>
          <w:p w14:paraId="3F814546" w14:textId="77777777" w:rsidR="007677A5" w:rsidRPr="00E87295" w:rsidRDefault="007677A5">
            <w:pPr>
              <w:pStyle w:val="Bodytext40"/>
              <w:shd w:val="clear" w:color="auto" w:fill="auto"/>
              <w:spacing w:line="240" w:lineRule="auto"/>
              <w:ind w:left="67" w:hanging="67"/>
              <w:rPr>
                <w:sz w:val="22"/>
                <w:szCs w:val="22"/>
                <w:lang w:val="sr-Latn-RS"/>
              </w:rPr>
            </w:pPr>
            <w:r w:rsidRPr="00E87295">
              <w:rPr>
                <w:sz w:val="22"/>
                <w:szCs w:val="22"/>
                <w:lang w:val="sr-Latn-RS"/>
              </w:rPr>
              <w:t>PASI 75</w:t>
            </w:r>
          </w:p>
          <w:p w14:paraId="5D4B6B7D" w14:textId="77777777" w:rsidR="007677A5" w:rsidRPr="00E87295" w:rsidRDefault="007677A5">
            <w:pPr>
              <w:pStyle w:val="Bodytext40"/>
              <w:shd w:val="clear" w:color="auto" w:fill="auto"/>
              <w:spacing w:line="240" w:lineRule="auto"/>
              <w:ind w:left="67" w:hanging="67"/>
              <w:rPr>
                <w:sz w:val="22"/>
                <w:szCs w:val="22"/>
                <w:lang w:val="sr-Latn-RS"/>
              </w:rPr>
            </w:pPr>
            <w:r w:rsidRPr="00E87295">
              <w:rPr>
                <w:sz w:val="22"/>
                <w:szCs w:val="22"/>
                <w:lang w:val="sr-Latn-RS"/>
              </w:rPr>
              <w:t>PASI 90</w:t>
            </w:r>
          </w:p>
          <w:p w14:paraId="31678B2E" w14:textId="77777777" w:rsidR="007677A5" w:rsidRPr="00E87295" w:rsidRDefault="007677A5">
            <w:pPr>
              <w:pStyle w:val="Bodytext40"/>
              <w:shd w:val="clear" w:color="auto" w:fill="auto"/>
              <w:spacing w:line="240" w:lineRule="auto"/>
              <w:ind w:left="67" w:hanging="67"/>
              <w:rPr>
                <w:sz w:val="22"/>
                <w:szCs w:val="22"/>
                <w:lang w:val="sr-Latn-RS"/>
              </w:rPr>
            </w:pPr>
            <w:r w:rsidRPr="00E87295">
              <w:rPr>
                <w:sz w:val="22"/>
                <w:szCs w:val="22"/>
                <w:lang w:val="sr-Latn-RS"/>
              </w:rPr>
              <w:t>PASI 100</w:t>
            </w:r>
          </w:p>
          <w:p w14:paraId="6C532559" w14:textId="77777777" w:rsidR="007677A5" w:rsidRPr="00E87295" w:rsidRDefault="007677A5">
            <w:pPr>
              <w:pStyle w:val="Bodytext40"/>
              <w:shd w:val="clear" w:color="auto" w:fill="auto"/>
              <w:spacing w:line="240" w:lineRule="auto"/>
              <w:ind w:left="67" w:hanging="67"/>
              <w:rPr>
                <w:sz w:val="22"/>
                <w:szCs w:val="22"/>
                <w:lang w:val="sr-Latn-RS"/>
              </w:rPr>
            </w:pPr>
            <w:r w:rsidRPr="00E87295">
              <w:rPr>
                <w:sz w:val="22"/>
                <w:szCs w:val="22"/>
                <w:lang w:val="sr-Latn-RS"/>
              </w:rPr>
              <w:t>IGA 0/1</w:t>
            </w:r>
          </w:p>
          <w:p w14:paraId="4CCCA5AB" w14:textId="77777777" w:rsidR="007677A5" w:rsidRPr="00E87295" w:rsidRDefault="007677A5">
            <w:pPr>
              <w:pStyle w:val="Bodytext40"/>
              <w:shd w:val="clear" w:color="auto" w:fill="auto"/>
              <w:spacing w:line="240" w:lineRule="auto"/>
              <w:ind w:left="67" w:hanging="67"/>
              <w:rPr>
                <w:sz w:val="22"/>
                <w:szCs w:val="22"/>
                <w:lang w:val="sr-Latn-RS"/>
              </w:rPr>
            </w:pPr>
            <w:r w:rsidRPr="00E87295">
              <w:rPr>
                <w:sz w:val="22"/>
                <w:szCs w:val="22"/>
                <w:lang w:val="sr-Latn-RS"/>
              </w:rPr>
              <w:t>IGA 0</w:t>
            </w:r>
          </w:p>
        </w:tc>
        <w:tc>
          <w:tcPr>
            <w:tcW w:w="1192" w:type="dxa"/>
            <w:tcBorders>
              <w:top w:val="single" w:sz="4" w:space="0" w:color="auto"/>
              <w:left w:val="single" w:sz="4" w:space="0" w:color="auto"/>
              <w:bottom w:val="single" w:sz="4" w:space="0" w:color="auto"/>
              <w:right w:val="single" w:sz="4" w:space="0" w:color="auto"/>
            </w:tcBorders>
          </w:tcPr>
          <w:p w14:paraId="61FC5EF8" w14:textId="77777777" w:rsidR="007677A5" w:rsidRPr="00E87295" w:rsidRDefault="007677A5">
            <w:pPr>
              <w:pStyle w:val="Bodytext40"/>
              <w:shd w:val="clear" w:color="auto" w:fill="auto"/>
              <w:spacing w:line="240" w:lineRule="auto"/>
              <w:rPr>
                <w:sz w:val="22"/>
                <w:szCs w:val="22"/>
                <w:lang w:val="sr-Latn-RS"/>
              </w:rPr>
            </w:pPr>
          </w:p>
          <w:p w14:paraId="29D445BC" w14:textId="77777777" w:rsidR="007677A5" w:rsidRPr="00E87295" w:rsidRDefault="007677A5">
            <w:pPr>
              <w:pStyle w:val="Bodytext40"/>
              <w:shd w:val="clear" w:color="auto" w:fill="auto"/>
              <w:spacing w:line="240" w:lineRule="auto"/>
              <w:rPr>
                <w:sz w:val="22"/>
                <w:szCs w:val="22"/>
                <w:lang w:val="sr-Latn-RS"/>
              </w:rPr>
            </w:pPr>
          </w:p>
          <w:p w14:paraId="4F83F784"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10 (5,7)</w:t>
            </w:r>
          </w:p>
          <w:p w14:paraId="14BB61F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5 (2,9)</w:t>
            </w:r>
          </w:p>
          <w:p w14:paraId="73AA007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 (0,6)</w:t>
            </w:r>
          </w:p>
          <w:p w14:paraId="5BE1D1B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12 (6,9)</w:t>
            </w:r>
          </w:p>
          <w:p w14:paraId="013741B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 (1,1)</w:t>
            </w:r>
          </w:p>
        </w:tc>
        <w:tc>
          <w:tcPr>
            <w:tcW w:w="1373" w:type="dxa"/>
            <w:tcBorders>
              <w:top w:val="single" w:sz="4" w:space="0" w:color="auto"/>
              <w:left w:val="single" w:sz="4" w:space="0" w:color="auto"/>
              <w:bottom w:val="single" w:sz="4" w:space="0" w:color="auto"/>
              <w:right w:val="single" w:sz="4" w:space="0" w:color="auto"/>
            </w:tcBorders>
          </w:tcPr>
          <w:p w14:paraId="3FE089A1" w14:textId="77777777" w:rsidR="007677A5" w:rsidRPr="00E87295" w:rsidRDefault="007677A5">
            <w:pPr>
              <w:pStyle w:val="Bodytext40"/>
              <w:shd w:val="clear" w:color="auto" w:fill="auto"/>
              <w:spacing w:line="240" w:lineRule="auto"/>
              <w:rPr>
                <w:sz w:val="22"/>
                <w:szCs w:val="22"/>
                <w:lang w:val="sr-Latn-RS"/>
              </w:rPr>
            </w:pPr>
          </w:p>
          <w:p w14:paraId="240CCD44" w14:textId="77777777" w:rsidR="007677A5" w:rsidRPr="00E87295" w:rsidRDefault="007677A5">
            <w:pPr>
              <w:pStyle w:val="Bodytext40"/>
              <w:shd w:val="clear" w:color="auto" w:fill="auto"/>
              <w:spacing w:line="240" w:lineRule="auto"/>
              <w:rPr>
                <w:sz w:val="22"/>
                <w:szCs w:val="22"/>
                <w:lang w:val="sr-Latn-RS"/>
              </w:rPr>
            </w:pPr>
          </w:p>
          <w:p w14:paraId="1A2B7E9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300 (91,2)</w:t>
            </w:r>
            <w:r w:rsidRPr="00E87295">
              <w:rPr>
                <w:sz w:val="22"/>
                <w:szCs w:val="22"/>
                <w:vertAlign w:val="superscript"/>
                <w:lang w:val="sr-Latn-RS"/>
              </w:rPr>
              <w:t>a</w:t>
            </w:r>
          </w:p>
          <w:p w14:paraId="11A485B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241 (73,3)</w:t>
            </w:r>
            <w:r w:rsidRPr="00E87295">
              <w:rPr>
                <w:sz w:val="22"/>
                <w:szCs w:val="22"/>
                <w:vertAlign w:val="superscript"/>
                <w:lang w:val="sr-Latn-RS"/>
              </w:rPr>
              <w:t>c</w:t>
            </w:r>
          </w:p>
          <w:p w14:paraId="6FAA273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123 (37,4)</w:t>
            </w:r>
            <w:r w:rsidRPr="00E87295">
              <w:rPr>
                <w:sz w:val="22"/>
                <w:szCs w:val="22"/>
                <w:vertAlign w:val="superscript"/>
                <w:lang w:val="sr-Latn-RS"/>
              </w:rPr>
              <w:t>a</w:t>
            </w:r>
          </w:p>
          <w:p w14:paraId="6DAFB7E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280 (85,1)</w:t>
            </w:r>
            <w:r w:rsidRPr="00E87295">
              <w:rPr>
                <w:sz w:val="22"/>
                <w:szCs w:val="22"/>
                <w:vertAlign w:val="superscript"/>
                <w:lang w:val="sr-Latn-RS"/>
              </w:rPr>
              <w:t>c</w:t>
            </w:r>
          </w:p>
          <w:p w14:paraId="093019F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157 (47,7)</w:t>
            </w:r>
            <w:r w:rsidRPr="00E87295">
              <w:rPr>
                <w:sz w:val="22"/>
                <w:szCs w:val="22"/>
                <w:vertAlign w:val="superscript"/>
                <w:lang w:val="sr-Latn-RS"/>
              </w:rPr>
              <w:t>a</w:t>
            </w:r>
          </w:p>
        </w:tc>
        <w:tc>
          <w:tcPr>
            <w:tcW w:w="1405" w:type="dxa"/>
            <w:tcBorders>
              <w:top w:val="single" w:sz="4" w:space="0" w:color="auto"/>
              <w:left w:val="single" w:sz="4" w:space="0" w:color="auto"/>
              <w:bottom w:val="single" w:sz="4" w:space="0" w:color="auto"/>
              <w:right w:val="single" w:sz="4" w:space="0" w:color="auto"/>
            </w:tcBorders>
          </w:tcPr>
          <w:p w14:paraId="156150AF" w14:textId="77777777" w:rsidR="007677A5" w:rsidRPr="00E87295" w:rsidRDefault="007677A5">
            <w:pPr>
              <w:pStyle w:val="Bodytext40"/>
              <w:shd w:val="clear" w:color="auto" w:fill="auto"/>
              <w:spacing w:line="240" w:lineRule="auto"/>
              <w:rPr>
                <w:sz w:val="22"/>
                <w:szCs w:val="22"/>
                <w:lang w:val="sr-Latn-RS"/>
              </w:rPr>
            </w:pPr>
          </w:p>
          <w:p w14:paraId="5160FA47" w14:textId="77777777" w:rsidR="007677A5" w:rsidRPr="00E87295" w:rsidRDefault="007677A5">
            <w:pPr>
              <w:pStyle w:val="Bodytext40"/>
              <w:shd w:val="clear" w:color="auto" w:fill="auto"/>
              <w:spacing w:line="240" w:lineRule="auto"/>
              <w:rPr>
                <w:sz w:val="22"/>
                <w:szCs w:val="22"/>
                <w:lang w:val="sr-Latn-RS"/>
              </w:rPr>
            </w:pPr>
          </w:p>
          <w:p w14:paraId="106E522F" w14:textId="48005AA0"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244 (73, 1)</w:t>
            </w:r>
            <w:r w:rsidRPr="00E87295">
              <w:rPr>
                <w:sz w:val="22"/>
                <w:szCs w:val="22"/>
                <w:vertAlign w:val="superscript"/>
                <w:lang w:val="sr-Latn-RS"/>
              </w:rPr>
              <w:t>b</w:t>
            </w:r>
          </w:p>
          <w:p w14:paraId="7353872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166 (49,7)</w:t>
            </w:r>
            <w:r w:rsidRPr="00E87295">
              <w:rPr>
                <w:sz w:val="22"/>
                <w:szCs w:val="22"/>
                <w:vertAlign w:val="superscript"/>
                <w:lang w:val="sr-Latn-RS"/>
              </w:rPr>
              <w:t>b</w:t>
            </w:r>
          </w:p>
          <w:p w14:paraId="6673BD5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57 (17,1 )</w:t>
            </w:r>
            <w:r w:rsidRPr="00E87295">
              <w:rPr>
                <w:sz w:val="22"/>
                <w:szCs w:val="22"/>
                <w:vertAlign w:val="superscript"/>
                <w:lang w:val="sr-Latn-RS"/>
              </w:rPr>
              <w:t>d</w:t>
            </w:r>
          </w:p>
          <w:p w14:paraId="013400BD"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220 (65,9)</w:t>
            </w:r>
            <w:r w:rsidRPr="00E87295">
              <w:rPr>
                <w:sz w:val="22"/>
                <w:szCs w:val="22"/>
                <w:vertAlign w:val="superscript"/>
                <w:lang w:val="sr-Latn-RS"/>
              </w:rPr>
              <w:t>b</w:t>
            </w:r>
          </w:p>
          <w:p w14:paraId="430CFA5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88 (26,3)</w:t>
            </w:r>
            <w:r w:rsidRPr="00E87295">
              <w:rPr>
                <w:sz w:val="22"/>
                <w:szCs w:val="22"/>
                <w:vertAlign w:val="superscript"/>
                <w:lang w:val="sr-Latn-RS"/>
              </w:rPr>
              <w:t>d</w:t>
            </w:r>
          </w:p>
        </w:tc>
        <w:tc>
          <w:tcPr>
            <w:tcW w:w="1153" w:type="dxa"/>
            <w:tcBorders>
              <w:top w:val="single" w:sz="4" w:space="0" w:color="auto"/>
              <w:left w:val="single" w:sz="4" w:space="0" w:color="auto"/>
              <w:bottom w:val="single" w:sz="4" w:space="0" w:color="auto"/>
              <w:right w:val="single" w:sz="4" w:space="0" w:color="auto"/>
            </w:tcBorders>
          </w:tcPr>
          <w:p w14:paraId="63EDF2B1" w14:textId="77777777" w:rsidR="007677A5" w:rsidRPr="00E87295" w:rsidRDefault="007677A5">
            <w:pPr>
              <w:pStyle w:val="Bodytext40"/>
              <w:shd w:val="clear" w:color="auto" w:fill="auto"/>
              <w:spacing w:line="240" w:lineRule="auto"/>
              <w:rPr>
                <w:sz w:val="22"/>
                <w:szCs w:val="22"/>
                <w:lang w:val="sr-Latn-RS"/>
              </w:rPr>
            </w:pPr>
          </w:p>
          <w:p w14:paraId="3A844FFC" w14:textId="77777777" w:rsidR="007677A5" w:rsidRPr="00E87295" w:rsidRDefault="007677A5">
            <w:pPr>
              <w:pStyle w:val="Bodytext40"/>
              <w:shd w:val="clear" w:color="auto" w:fill="auto"/>
              <w:spacing w:line="240" w:lineRule="auto"/>
              <w:rPr>
                <w:sz w:val="22"/>
                <w:szCs w:val="22"/>
                <w:lang w:val="sr-Latn-RS"/>
              </w:rPr>
            </w:pPr>
          </w:p>
          <w:p w14:paraId="00FD4EA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20 (8,1)</w:t>
            </w:r>
          </w:p>
          <w:p w14:paraId="10BF9A9D"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6 (2,4)</w:t>
            </w:r>
          </w:p>
          <w:p w14:paraId="219B3E1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 (0,8)</w:t>
            </w:r>
          </w:p>
          <w:p w14:paraId="5BAAFC5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21 (8,5)</w:t>
            </w:r>
          </w:p>
          <w:p w14:paraId="49A0A72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 (0,8)</w:t>
            </w:r>
          </w:p>
        </w:tc>
        <w:tc>
          <w:tcPr>
            <w:tcW w:w="1373" w:type="dxa"/>
            <w:tcBorders>
              <w:top w:val="single" w:sz="4" w:space="0" w:color="auto"/>
              <w:left w:val="single" w:sz="4" w:space="0" w:color="auto"/>
              <w:bottom w:val="single" w:sz="4" w:space="0" w:color="auto"/>
              <w:right w:val="single" w:sz="4" w:space="0" w:color="auto"/>
            </w:tcBorders>
          </w:tcPr>
          <w:p w14:paraId="333A8FFD" w14:textId="77777777" w:rsidR="007677A5" w:rsidRPr="00E87295" w:rsidRDefault="007677A5">
            <w:pPr>
              <w:pStyle w:val="Bodytext40"/>
              <w:shd w:val="clear" w:color="auto" w:fill="auto"/>
              <w:spacing w:line="240" w:lineRule="auto"/>
              <w:rPr>
                <w:sz w:val="22"/>
                <w:szCs w:val="22"/>
                <w:lang w:val="sr-Latn-RS"/>
              </w:rPr>
            </w:pPr>
          </w:p>
          <w:p w14:paraId="68B2B58C" w14:textId="77777777" w:rsidR="007677A5" w:rsidRPr="00E87295" w:rsidRDefault="007677A5">
            <w:pPr>
              <w:pStyle w:val="Bodytext40"/>
              <w:shd w:val="clear" w:color="auto" w:fill="auto"/>
              <w:spacing w:line="240" w:lineRule="auto"/>
              <w:rPr>
                <w:sz w:val="22"/>
                <w:szCs w:val="22"/>
                <w:lang w:val="sr-Latn-RS"/>
              </w:rPr>
            </w:pPr>
          </w:p>
          <w:p w14:paraId="2AEBB77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428 (86,3)</w:t>
            </w:r>
            <w:r w:rsidRPr="00E87295">
              <w:rPr>
                <w:sz w:val="22"/>
                <w:szCs w:val="22"/>
                <w:vertAlign w:val="superscript"/>
                <w:lang w:val="sr-Latn-RS"/>
              </w:rPr>
              <w:t>a</w:t>
            </w:r>
          </w:p>
          <w:p w14:paraId="650173DD" w14:textId="50A18F41" w:rsidR="00062654" w:rsidRPr="00E87295" w:rsidRDefault="007677A5">
            <w:pPr>
              <w:pStyle w:val="Bodytext40"/>
              <w:shd w:val="clear" w:color="auto" w:fill="auto"/>
              <w:spacing w:line="240" w:lineRule="auto"/>
              <w:rPr>
                <w:sz w:val="22"/>
                <w:szCs w:val="22"/>
                <w:lang w:val="sr-Latn-RS"/>
              </w:rPr>
            </w:pPr>
            <w:r w:rsidRPr="00E87295">
              <w:rPr>
                <w:sz w:val="22"/>
                <w:szCs w:val="22"/>
                <w:lang w:val="sr-Latn-RS"/>
              </w:rPr>
              <w:t>347 (70,0)</w:t>
            </w:r>
            <w:r w:rsidRPr="00E87295">
              <w:rPr>
                <w:sz w:val="22"/>
                <w:szCs w:val="22"/>
                <w:vertAlign w:val="superscript"/>
                <w:lang w:val="sr-Latn-RS"/>
              </w:rPr>
              <w:t>c</w:t>
            </w:r>
          </w:p>
          <w:p w14:paraId="6BEBCA1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169 (34,1)</w:t>
            </w:r>
            <w:r w:rsidRPr="00E87295">
              <w:rPr>
                <w:sz w:val="22"/>
                <w:szCs w:val="22"/>
                <w:vertAlign w:val="superscript"/>
                <w:lang w:val="sr-Latn-RS"/>
              </w:rPr>
              <w:t>a</w:t>
            </w:r>
          </w:p>
          <w:p w14:paraId="4FB54B8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417 (84,1)</w:t>
            </w:r>
            <w:r w:rsidRPr="00E87295">
              <w:rPr>
                <w:sz w:val="22"/>
                <w:szCs w:val="22"/>
                <w:vertAlign w:val="superscript"/>
                <w:lang w:val="sr-Latn-RS"/>
              </w:rPr>
              <w:t>c</w:t>
            </w:r>
          </w:p>
          <w:p w14:paraId="791FF65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215 (43,3)</w:t>
            </w:r>
            <w:r w:rsidRPr="00E87295">
              <w:rPr>
                <w:sz w:val="22"/>
                <w:szCs w:val="22"/>
                <w:vertAlign w:val="superscript"/>
                <w:lang w:val="sr-Latn-RS"/>
              </w:rPr>
              <w:t>a</w:t>
            </w:r>
          </w:p>
        </w:tc>
        <w:tc>
          <w:tcPr>
            <w:tcW w:w="1405" w:type="dxa"/>
            <w:tcBorders>
              <w:top w:val="single" w:sz="4" w:space="0" w:color="auto"/>
              <w:left w:val="single" w:sz="4" w:space="0" w:color="auto"/>
              <w:bottom w:val="single" w:sz="4" w:space="0" w:color="auto"/>
              <w:right w:val="single" w:sz="4" w:space="0" w:color="auto"/>
            </w:tcBorders>
          </w:tcPr>
          <w:p w14:paraId="5A39BE65" w14:textId="77777777" w:rsidR="007677A5" w:rsidRPr="00E87295" w:rsidRDefault="007677A5">
            <w:pPr>
              <w:pStyle w:val="Bodytext40"/>
              <w:shd w:val="clear" w:color="auto" w:fill="auto"/>
              <w:spacing w:line="240" w:lineRule="auto"/>
              <w:rPr>
                <w:sz w:val="22"/>
                <w:szCs w:val="22"/>
                <w:lang w:val="sr-Latn-RS"/>
              </w:rPr>
            </w:pPr>
          </w:p>
          <w:p w14:paraId="744A066D" w14:textId="77777777" w:rsidR="007677A5" w:rsidRPr="00E87295" w:rsidRDefault="007677A5">
            <w:pPr>
              <w:pStyle w:val="Bodytext40"/>
              <w:shd w:val="clear" w:color="auto" w:fill="auto"/>
              <w:spacing w:line="240" w:lineRule="auto"/>
              <w:rPr>
                <w:sz w:val="22"/>
                <w:szCs w:val="22"/>
                <w:lang w:val="sr-Latn-RS"/>
              </w:rPr>
            </w:pPr>
          </w:p>
          <w:p w14:paraId="56E5665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170 (68,5)</w:t>
            </w:r>
            <w:r w:rsidRPr="00E87295">
              <w:rPr>
                <w:sz w:val="22"/>
                <w:szCs w:val="22"/>
                <w:vertAlign w:val="superscript"/>
                <w:lang w:val="sr-Latn-RS"/>
              </w:rPr>
              <w:t>b</w:t>
            </w:r>
          </w:p>
          <w:p w14:paraId="3994741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116 (46,8)</w:t>
            </w:r>
            <w:r w:rsidRPr="00E87295">
              <w:rPr>
                <w:sz w:val="22"/>
                <w:szCs w:val="22"/>
                <w:vertAlign w:val="superscript"/>
                <w:lang w:val="sr-Latn-RS"/>
              </w:rPr>
              <w:t>b</w:t>
            </w:r>
          </w:p>
          <w:p w14:paraId="0F37928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51 (20,6)</w:t>
            </w:r>
            <w:r w:rsidRPr="00E87295">
              <w:rPr>
                <w:sz w:val="22"/>
                <w:szCs w:val="22"/>
                <w:vertAlign w:val="superscript"/>
                <w:lang w:val="sr-Latn-RS"/>
              </w:rPr>
              <w:t>d</w:t>
            </w:r>
          </w:p>
          <w:p w14:paraId="61FDAAB2"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168 (67,7)</w:t>
            </w:r>
            <w:r w:rsidRPr="00E87295">
              <w:rPr>
                <w:sz w:val="22"/>
                <w:szCs w:val="22"/>
                <w:vertAlign w:val="superscript"/>
                <w:lang w:val="sr-Latn-RS"/>
              </w:rPr>
              <w:t>b</w:t>
            </w:r>
          </w:p>
          <w:p w14:paraId="5B8A647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71 (28,6)</w:t>
            </w:r>
            <w:r w:rsidRPr="00E87295">
              <w:rPr>
                <w:sz w:val="22"/>
                <w:szCs w:val="22"/>
                <w:vertAlign w:val="superscript"/>
                <w:lang w:val="sr-Latn-RS"/>
              </w:rPr>
              <w:t>d</w:t>
            </w:r>
          </w:p>
        </w:tc>
      </w:tr>
      <w:tr w:rsidR="007677A5" w:rsidRPr="00E87295" w14:paraId="372CEEC0" w14:textId="77777777" w:rsidTr="007677A5">
        <w:tc>
          <w:tcPr>
            <w:tcW w:w="1116" w:type="dxa"/>
            <w:tcBorders>
              <w:top w:val="single" w:sz="4" w:space="0" w:color="auto"/>
              <w:left w:val="single" w:sz="4" w:space="0" w:color="auto"/>
              <w:bottom w:val="single" w:sz="4" w:space="0" w:color="auto"/>
              <w:right w:val="single" w:sz="4" w:space="0" w:color="auto"/>
            </w:tcBorders>
            <w:hideMark/>
          </w:tcPr>
          <w:p w14:paraId="16C60061" w14:textId="77777777" w:rsidR="007677A5" w:rsidRPr="00E87295" w:rsidRDefault="007677A5">
            <w:pPr>
              <w:pStyle w:val="Bodytext50"/>
              <w:shd w:val="clear" w:color="auto" w:fill="auto"/>
              <w:spacing w:line="240" w:lineRule="auto"/>
              <w:jc w:val="both"/>
              <w:rPr>
                <w:b/>
                <w:sz w:val="22"/>
                <w:szCs w:val="22"/>
                <w:lang w:val="sr-Latn-RS"/>
              </w:rPr>
            </w:pPr>
            <w:r w:rsidRPr="00E87295">
              <w:rPr>
                <w:b/>
                <w:sz w:val="22"/>
                <w:szCs w:val="22"/>
                <w:lang w:val="sr-Latn-RS"/>
              </w:rPr>
              <w:t>24. ned</w:t>
            </w:r>
            <w:r w:rsidR="00441240" w:rsidRPr="00E87295">
              <w:rPr>
                <w:b/>
                <w:sz w:val="22"/>
                <w:szCs w:val="22"/>
                <w:lang w:val="sr-Latn-RS"/>
              </w:rPr>
              <w:t>j</w:t>
            </w:r>
            <w:r w:rsidRPr="00E87295">
              <w:rPr>
                <w:b/>
                <w:sz w:val="22"/>
                <w:szCs w:val="22"/>
                <w:lang w:val="sr-Latn-RS"/>
              </w:rPr>
              <w:t>elja</w:t>
            </w:r>
          </w:p>
          <w:p w14:paraId="450949C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PASI 75</w:t>
            </w:r>
          </w:p>
          <w:p w14:paraId="105F33A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PASI 90</w:t>
            </w:r>
          </w:p>
          <w:p w14:paraId="2F4D4C8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PASI 100</w:t>
            </w:r>
          </w:p>
          <w:p w14:paraId="437DE67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IGA 0/1</w:t>
            </w:r>
          </w:p>
          <w:p w14:paraId="4FFEE34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IGA 0</w:t>
            </w:r>
          </w:p>
        </w:tc>
        <w:tc>
          <w:tcPr>
            <w:tcW w:w="1192" w:type="dxa"/>
            <w:tcBorders>
              <w:top w:val="single" w:sz="4" w:space="0" w:color="auto"/>
              <w:left w:val="single" w:sz="4" w:space="0" w:color="auto"/>
              <w:bottom w:val="single" w:sz="4" w:space="0" w:color="auto"/>
              <w:right w:val="single" w:sz="4" w:space="0" w:color="auto"/>
            </w:tcBorders>
          </w:tcPr>
          <w:p w14:paraId="00630826" w14:textId="77777777" w:rsidR="007677A5" w:rsidRPr="00E87295" w:rsidRDefault="007677A5">
            <w:pPr>
              <w:pStyle w:val="Bodytext40"/>
              <w:shd w:val="clear" w:color="auto" w:fill="auto"/>
              <w:spacing w:line="240" w:lineRule="auto"/>
              <w:rPr>
                <w:sz w:val="22"/>
                <w:szCs w:val="22"/>
                <w:lang w:val="sr-Latn-RS"/>
              </w:rPr>
            </w:pPr>
          </w:p>
          <w:p w14:paraId="723C40FD" w14:textId="77777777" w:rsidR="007677A5" w:rsidRPr="00E87295" w:rsidRDefault="007677A5">
            <w:pPr>
              <w:pStyle w:val="Bodytext40"/>
              <w:shd w:val="clear" w:color="auto" w:fill="auto"/>
              <w:spacing w:line="240" w:lineRule="auto"/>
              <w:rPr>
                <w:sz w:val="22"/>
                <w:szCs w:val="22"/>
                <w:lang w:val="sr-Latn-RS"/>
              </w:rPr>
            </w:pPr>
          </w:p>
          <w:p w14:paraId="0C962A0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77D79AB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255783ED"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296CD0F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4E99AAE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tc>
        <w:tc>
          <w:tcPr>
            <w:tcW w:w="1373" w:type="dxa"/>
            <w:tcBorders>
              <w:top w:val="single" w:sz="4" w:space="0" w:color="auto"/>
              <w:left w:val="single" w:sz="4" w:space="0" w:color="auto"/>
              <w:bottom w:val="single" w:sz="4" w:space="0" w:color="auto"/>
              <w:right w:val="single" w:sz="4" w:space="0" w:color="auto"/>
            </w:tcBorders>
          </w:tcPr>
          <w:p w14:paraId="783F81CA" w14:textId="77777777" w:rsidR="007677A5" w:rsidRPr="00E87295" w:rsidRDefault="007677A5">
            <w:pPr>
              <w:pStyle w:val="Bodytext40"/>
              <w:shd w:val="clear" w:color="auto" w:fill="auto"/>
              <w:spacing w:line="240" w:lineRule="auto"/>
              <w:rPr>
                <w:sz w:val="22"/>
                <w:szCs w:val="22"/>
                <w:lang w:val="sr-Latn-RS"/>
              </w:rPr>
            </w:pPr>
          </w:p>
          <w:p w14:paraId="376322F6" w14:textId="77777777" w:rsidR="007677A5" w:rsidRPr="00E87295" w:rsidRDefault="007677A5">
            <w:pPr>
              <w:pStyle w:val="Bodytext40"/>
              <w:shd w:val="clear" w:color="auto" w:fill="auto"/>
              <w:spacing w:line="240" w:lineRule="auto"/>
              <w:rPr>
                <w:sz w:val="22"/>
                <w:szCs w:val="22"/>
                <w:lang w:val="sr-Latn-RS"/>
              </w:rPr>
            </w:pPr>
          </w:p>
          <w:p w14:paraId="71410584"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300 (91,2)</w:t>
            </w:r>
          </w:p>
          <w:p w14:paraId="667D841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264 (80,2)</w:t>
            </w:r>
          </w:p>
          <w:p w14:paraId="7841A9B1"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146 (44,4)</w:t>
            </w:r>
          </w:p>
          <w:p w14:paraId="0A17D9C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277 (84,2)</w:t>
            </w:r>
          </w:p>
          <w:p w14:paraId="5009445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173 (52,6)</w:t>
            </w:r>
          </w:p>
        </w:tc>
        <w:tc>
          <w:tcPr>
            <w:tcW w:w="1405" w:type="dxa"/>
            <w:tcBorders>
              <w:top w:val="single" w:sz="4" w:space="0" w:color="auto"/>
              <w:left w:val="single" w:sz="4" w:space="0" w:color="auto"/>
              <w:bottom w:val="single" w:sz="4" w:space="0" w:color="auto"/>
              <w:right w:val="single" w:sz="4" w:space="0" w:color="auto"/>
            </w:tcBorders>
          </w:tcPr>
          <w:p w14:paraId="0E8F69D1" w14:textId="77777777" w:rsidR="007677A5" w:rsidRPr="00E87295" w:rsidRDefault="007677A5">
            <w:pPr>
              <w:pStyle w:val="Bodytext40"/>
              <w:shd w:val="clear" w:color="auto" w:fill="auto"/>
              <w:spacing w:line="240" w:lineRule="auto"/>
              <w:rPr>
                <w:sz w:val="22"/>
                <w:szCs w:val="22"/>
                <w:lang w:val="sr-Latn-RS"/>
              </w:rPr>
            </w:pPr>
          </w:p>
          <w:p w14:paraId="2EDB30D9" w14:textId="77777777" w:rsidR="007677A5" w:rsidRPr="00E87295" w:rsidRDefault="007677A5">
            <w:pPr>
              <w:pStyle w:val="Bodytext40"/>
              <w:shd w:val="clear" w:color="auto" w:fill="auto"/>
              <w:spacing w:line="240" w:lineRule="auto"/>
              <w:rPr>
                <w:sz w:val="22"/>
                <w:szCs w:val="22"/>
                <w:lang w:val="sr-Latn-RS"/>
              </w:rPr>
            </w:pPr>
          </w:p>
          <w:p w14:paraId="29EDB7F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241 (72,2)</w:t>
            </w:r>
            <w:r w:rsidRPr="00E87295">
              <w:rPr>
                <w:sz w:val="22"/>
                <w:szCs w:val="22"/>
                <w:vertAlign w:val="superscript"/>
                <w:lang w:val="sr-Latn-RS"/>
              </w:rPr>
              <w:t>e</w:t>
            </w:r>
          </w:p>
          <w:p w14:paraId="1FB7755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177 (53,0)</w:t>
            </w:r>
            <w:r w:rsidRPr="00E87295">
              <w:rPr>
                <w:sz w:val="22"/>
                <w:szCs w:val="22"/>
                <w:vertAlign w:val="superscript"/>
                <w:lang w:val="sr-Latn-RS"/>
              </w:rPr>
              <w:t>b</w:t>
            </w:r>
          </w:p>
          <w:p w14:paraId="5C1D790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83 (24,9)</w:t>
            </w:r>
            <w:r w:rsidRPr="00E87295">
              <w:rPr>
                <w:sz w:val="22"/>
                <w:szCs w:val="22"/>
                <w:vertAlign w:val="superscript"/>
                <w:lang w:val="sr-Latn-RS"/>
              </w:rPr>
              <w:t>e</w:t>
            </w:r>
          </w:p>
          <w:p w14:paraId="71B9B78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206 (61,7)</w:t>
            </w:r>
            <w:r w:rsidRPr="00E87295">
              <w:rPr>
                <w:sz w:val="22"/>
                <w:szCs w:val="22"/>
                <w:vertAlign w:val="superscript"/>
                <w:lang w:val="sr-Latn-RS"/>
              </w:rPr>
              <w:t>b</w:t>
            </w:r>
          </w:p>
          <w:p w14:paraId="7CC2545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98 (29,3)</w:t>
            </w:r>
            <w:r w:rsidRPr="00E87295">
              <w:rPr>
                <w:sz w:val="22"/>
                <w:szCs w:val="22"/>
                <w:vertAlign w:val="superscript"/>
                <w:lang w:val="sr-Latn-RS"/>
              </w:rPr>
              <w:t>b</w:t>
            </w:r>
          </w:p>
        </w:tc>
        <w:tc>
          <w:tcPr>
            <w:tcW w:w="1153" w:type="dxa"/>
            <w:tcBorders>
              <w:top w:val="single" w:sz="4" w:space="0" w:color="auto"/>
              <w:left w:val="single" w:sz="4" w:space="0" w:color="auto"/>
              <w:bottom w:val="single" w:sz="4" w:space="0" w:color="auto"/>
              <w:right w:val="single" w:sz="4" w:space="0" w:color="auto"/>
            </w:tcBorders>
          </w:tcPr>
          <w:p w14:paraId="46296996" w14:textId="77777777" w:rsidR="007677A5" w:rsidRPr="00E87295" w:rsidRDefault="007677A5">
            <w:pPr>
              <w:pStyle w:val="Bodytext40"/>
              <w:shd w:val="clear" w:color="auto" w:fill="auto"/>
              <w:spacing w:line="240" w:lineRule="auto"/>
              <w:rPr>
                <w:sz w:val="22"/>
                <w:szCs w:val="22"/>
                <w:lang w:val="sr-Latn-RS"/>
              </w:rPr>
            </w:pPr>
          </w:p>
          <w:p w14:paraId="3DC48851" w14:textId="77777777" w:rsidR="007677A5" w:rsidRPr="00E87295" w:rsidRDefault="007677A5">
            <w:pPr>
              <w:pStyle w:val="Bodytext40"/>
              <w:shd w:val="clear" w:color="auto" w:fill="auto"/>
              <w:spacing w:line="240" w:lineRule="auto"/>
              <w:rPr>
                <w:sz w:val="22"/>
                <w:szCs w:val="22"/>
                <w:lang w:val="sr-Latn-RS"/>
              </w:rPr>
            </w:pPr>
          </w:p>
          <w:p w14:paraId="37AE69B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39194BB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1A7BAAD1"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1554D1E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7204F9F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tc>
        <w:tc>
          <w:tcPr>
            <w:tcW w:w="1373" w:type="dxa"/>
            <w:tcBorders>
              <w:top w:val="single" w:sz="4" w:space="0" w:color="auto"/>
              <w:left w:val="single" w:sz="4" w:space="0" w:color="auto"/>
              <w:bottom w:val="single" w:sz="4" w:space="0" w:color="auto"/>
              <w:right w:val="single" w:sz="4" w:space="0" w:color="auto"/>
            </w:tcBorders>
          </w:tcPr>
          <w:p w14:paraId="43F71070" w14:textId="77777777" w:rsidR="007677A5" w:rsidRPr="00E87295" w:rsidRDefault="007677A5">
            <w:pPr>
              <w:pStyle w:val="Bodytext40"/>
              <w:shd w:val="clear" w:color="auto" w:fill="auto"/>
              <w:spacing w:line="240" w:lineRule="auto"/>
              <w:rPr>
                <w:sz w:val="22"/>
                <w:szCs w:val="22"/>
                <w:lang w:val="sr-Latn-RS"/>
              </w:rPr>
            </w:pPr>
          </w:p>
          <w:p w14:paraId="783E7512" w14:textId="77777777" w:rsidR="007677A5" w:rsidRPr="00E87295" w:rsidRDefault="007677A5">
            <w:pPr>
              <w:pStyle w:val="Bodytext40"/>
              <w:shd w:val="clear" w:color="auto" w:fill="auto"/>
              <w:spacing w:line="240" w:lineRule="auto"/>
              <w:rPr>
                <w:sz w:val="22"/>
                <w:szCs w:val="22"/>
                <w:lang w:val="sr-Latn-RS"/>
              </w:rPr>
            </w:pPr>
          </w:p>
          <w:p w14:paraId="0F1E3252"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442 (89,1)</w:t>
            </w:r>
          </w:p>
          <w:p w14:paraId="147D342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373 (75,2)</w:t>
            </w:r>
          </w:p>
          <w:p w14:paraId="22469722"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219 (44,2)</w:t>
            </w:r>
          </w:p>
          <w:p w14:paraId="0920BA7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414 (83,5)</w:t>
            </w:r>
          </w:p>
          <w:p w14:paraId="479E02C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257 (51,8)</w:t>
            </w:r>
          </w:p>
        </w:tc>
        <w:tc>
          <w:tcPr>
            <w:tcW w:w="1405" w:type="dxa"/>
            <w:tcBorders>
              <w:top w:val="single" w:sz="4" w:space="0" w:color="auto"/>
              <w:left w:val="single" w:sz="4" w:space="0" w:color="auto"/>
              <w:bottom w:val="single" w:sz="4" w:space="0" w:color="auto"/>
              <w:right w:val="single" w:sz="4" w:space="0" w:color="auto"/>
            </w:tcBorders>
          </w:tcPr>
          <w:p w14:paraId="13DE6CAF" w14:textId="77777777" w:rsidR="007677A5" w:rsidRPr="00E87295" w:rsidRDefault="007677A5">
            <w:pPr>
              <w:pStyle w:val="Bodytext40"/>
              <w:shd w:val="clear" w:color="auto" w:fill="auto"/>
              <w:spacing w:line="240" w:lineRule="auto"/>
              <w:rPr>
                <w:sz w:val="22"/>
                <w:szCs w:val="22"/>
                <w:lang w:val="sr-Latn-RS"/>
              </w:rPr>
            </w:pPr>
          </w:p>
          <w:p w14:paraId="56FC32DD" w14:textId="77777777" w:rsidR="007677A5" w:rsidRPr="00E87295" w:rsidRDefault="007677A5">
            <w:pPr>
              <w:pStyle w:val="Bodytext40"/>
              <w:shd w:val="clear" w:color="auto" w:fill="auto"/>
              <w:spacing w:line="240" w:lineRule="auto"/>
              <w:rPr>
                <w:sz w:val="22"/>
                <w:szCs w:val="22"/>
                <w:lang w:val="sr-Latn-RS"/>
              </w:rPr>
            </w:pPr>
          </w:p>
          <w:p w14:paraId="24383874"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176 (71,0)</w:t>
            </w:r>
            <w:r w:rsidRPr="00E87295">
              <w:rPr>
                <w:sz w:val="22"/>
                <w:szCs w:val="22"/>
                <w:vertAlign w:val="superscript"/>
                <w:lang w:val="sr-Latn-RS"/>
              </w:rPr>
              <w:t>e</w:t>
            </w:r>
          </w:p>
          <w:p w14:paraId="1BDA90C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136 (54,8)</w:t>
            </w:r>
            <w:r w:rsidRPr="00E87295">
              <w:rPr>
                <w:sz w:val="22"/>
                <w:szCs w:val="22"/>
                <w:vertAlign w:val="superscript"/>
                <w:lang w:val="sr-Latn-RS"/>
              </w:rPr>
              <w:t>b</w:t>
            </w:r>
          </w:p>
          <w:p w14:paraId="2AF03B6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66 (26,6)</w:t>
            </w:r>
            <w:r w:rsidRPr="00E87295">
              <w:rPr>
                <w:sz w:val="22"/>
                <w:szCs w:val="22"/>
                <w:vertAlign w:val="superscript"/>
                <w:lang w:val="sr-Latn-RS"/>
              </w:rPr>
              <w:t>e</w:t>
            </w:r>
          </w:p>
          <w:p w14:paraId="5D2442A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161 (64,9)</w:t>
            </w:r>
            <w:r w:rsidRPr="00E87295">
              <w:rPr>
                <w:sz w:val="22"/>
                <w:szCs w:val="22"/>
                <w:vertAlign w:val="superscript"/>
                <w:lang w:val="sr-Latn-RS"/>
              </w:rPr>
              <w:t>b</w:t>
            </w:r>
          </w:p>
          <w:p w14:paraId="531DBEC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78 (31,5)</w:t>
            </w:r>
            <w:r w:rsidRPr="00E87295">
              <w:rPr>
                <w:sz w:val="22"/>
                <w:szCs w:val="22"/>
                <w:vertAlign w:val="superscript"/>
                <w:lang w:val="sr-Latn-RS"/>
              </w:rPr>
              <w:t>b</w:t>
            </w:r>
          </w:p>
        </w:tc>
      </w:tr>
      <w:tr w:rsidR="007677A5" w:rsidRPr="00E87295" w14:paraId="6C48A810" w14:textId="77777777" w:rsidTr="007677A5">
        <w:tc>
          <w:tcPr>
            <w:tcW w:w="1116" w:type="dxa"/>
            <w:tcBorders>
              <w:top w:val="single" w:sz="4" w:space="0" w:color="auto"/>
              <w:left w:val="single" w:sz="4" w:space="0" w:color="auto"/>
              <w:bottom w:val="single" w:sz="4" w:space="0" w:color="auto"/>
              <w:right w:val="single" w:sz="4" w:space="0" w:color="auto"/>
            </w:tcBorders>
            <w:hideMark/>
          </w:tcPr>
          <w:p w14:paraId="51D00B66" w14:textId="77777777" w:rsidR="007677A5" w:rsidRPr="00E87295" w:rsidRDefault="007677A5">
            <w:pPr>
              <w:pStyle w:val="Bodytext50"/>
              <w:shd w:val="clear" w:color="auto" w:fill="auto"/>
              <w:spacing w:line="240" w:lineRule="auto"/>
              <w:jc w:val="both"/>
              <w:rPr>
                <w:b/>
                <w:sz w:val="22"/>
                <w:szCs w:val="22"/>
                <w:lang w:val="sr-Latn-RS"/>
              </w:rPr>
            </w:pPr>
            <w:r w:rsidRPr="00E87295">
              <w:rPr>
                <w:b/>
                <w:sz w:val="22"/>
                <w:szCs w:val="22"/>
                <w:lang w:val="sr-Latn-RS"/>
              </w:rPr>
              <w:t>48. ned</w:t>
            </w:r>
            <w:r w:rsidR="00441240" w:rsidRPr="00E87295">
              <w:rPr>
                <w:b/>
                <w:sz w:val="22"/>
                <w:szCs w:val="22"/>
                <w:lang w:val="sr-Latn-RS"/>
              </w:rPr>
              <w:t>j</w:t>
            </w:r>
            <w:r w:rsidRPr="00E87295">
              <w:rPr>
                <w:b/>
                <w:sz w:val="22"/>
                <w:szCs w:val="22"/>
                <w:lang w:val="sr-Latn-RS"/>
              </w:rPr>
              <w:t>elja</w:t>
            </w:r>
          </w:p>
          <w:p w14:paraId="3552251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PASI 75</w:t>
            </w:r>
          </w:p>
          <w:p w14:paraId="2B66BA4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PASI 90</w:t>
            </w:r>
          </w:p>
          <w:p w14:paraId="1F0603F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PASI 100</w:t>
            </w:r>
          </w:p>
          <w:p w14:paraId="44D345C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IGA 0/1</w:t>
            </w:r>
          </w:p>
          <w:p w14:paraId="78294A8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IGA 0</w:t>
            </w:r>
          </w:p>
        </w:tc>
        <w:tc>
          <w:tcPr>
            <w:tcW w:w="1192" w:type="dxa"/>
            <w:tcBorders>
              <w:top w:val="single" w:sz="4" w:space="0" w:color="auto"/>
              <w:left w:val="single" w:sz="4" w:space="0" w:color="auto"/>
              <w:bottom w:val="single" w:sz="4" w:space="0" w:color="auto"/>
              <w:right w:val="single" w:sz="4" w:space="0" w:color="auto"/>
            </w:tcBorders>
          </w:tcPr>
          <w:p w14:paraId="631CBEFC" w14:textId="77777777" w:rsidR="007677A5" w:rsidRPr="00E87295" w:rsidRDefault="007677A5">
            <w:pPr>
              <w:pStyle w:val="Bodytext40"/>
              <w:shd w:val="clear" w:color="auto" w:fill="auto"/>
              <w:spacing w:line="240" w:lineRule="auto"/>
              <w:rPr>
                <w:sz w:val="22"/>
                <w:szCs w:val="22"/>
                <w:lang w:val="sr-Latn-RS"/>
              </w:rPr>
            </w:pPr>
          </w:p>
          <w:p w14:paraId="60D7AE53" w14:textId="77777777" w:rsidR="007677A5" w:rsidRPr="00E87295" w:rsidRDefault="007677A5">
            <w:pPr>
              <w:pStyle w:val="Bodytext40"/>
              <w:shd w:val="clear" w:color="auto" w:fill="auto"/>
              <w:spacing w:line="240" w:lineRule="auto"/>
              <w:rPr>
                <w:sz w:val="22"/>
                <w:szCs w:val="22"/>
                <w:lang w:val="sr-Latn-RS"/>
              </w:rPr>
            </w:pPr>
          </w:p>
          <w:p w14:paraId="4D478BC1"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4CC950A4"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6227822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20B85B6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5B9713F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tc>
        <w:tc>
          <w:tcPr>
            <w:tcW w:w="1373" w:type="dxa"/>
            <w:tcBorders>
              <w:top w:val="single" w:sz="4" w:space="0" w:color="auto"/>
              <w:left w:val="single" w:sz="4" w:space="0" w:color="auto"/>
              <w:bottom w:val="single" w:sz="4" w:space="0" w:color="auto"/>
              <w:right w:val="single" w:sz="4" w:space="0" w:color="auto"/>
            </w:tcBorders>
          </w:tcPr>
          <w:p w14:paraId="4DE70377" w14:textId="77777777" w:rsidR="007677A5" w:rsidRPr="00E87295" w:rsidRDefault="007677A5">
            <w:pPr>
              <w:pStyle w:val="Bodytext40"/>
              <w:shd w:val="clear" w:color="auto" w:fill="auto"/>
              <w:spacing w:line="240" w:lineRule="auto"/>
              <w:rPr>
                <w:sz w:val="22"/>
                <w:szCs w:val="22"/>
                <w:lang w:val="sr-Latn-RS"/>
              </w:rPr>
            </w:pPr>
          </w:p>
          <w:p w14:paraId="327CC04D" w14:textId="77777777" w:rsidR="007677A5" w:rsidRPr="00E87295" w:rsidRDefault="007677A5">
            <w:pPr>
              <w:pStyle w:val="Bodytext40"/>
              <w:shd w:val="clear" w:color="auto" w:fill="auto"/>
              <w:spacing w:line="240" w:lineRule="auto"/>
              <w:rPr>
                <w:sz w:val="22"/>
                <w:szCs w:val="22"/>
                <w:lang w:val="sr-Latn-RS"/>
              </w:rPr>
            </w:pPr>
          </w:p>
          <w:p w14:paraId="76EA1C2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289 (87,8)</w:t>
            </w:r>
          </w:p>
          <w:p w14:paraId="0E47816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251 (76,3)</w:t>
            </w:r>
          </w:p>
          <w:p w14:paraId="683D0A5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156 (47,4)</w:t>
            </w:r>
          </w:p>
          <w:p w14:paraId="08C279F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265 (80,5)</w:t>
            </w:r>
          </w:p>
          <w:p w14:paraId="27CE6BE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166 (50,5)</w:t>
            </w:r>
          </w:p>
        </w:tc>
        <w:tc>
          <w:tcPr>
            <w:tcW w:w="1405" w:type="dxa"/>
            <w:tcBorders>
              <w:top w:val="single" w:sz="4" w:space="0" w:color="auto"/>
              <w:left w:val="single" w:sz="4" w:space="0" w:color="auto"/>
              <w:bottom w:val="single" w:sz="4" w:space="0" w:color="auto"/>
              <w:right w:val="single" w:sz="4" w:space="0" w:color="auto"/>
            </w:tcBorders>
          </w:tcPr>
          <w:p w14:paraId="350D341C" w14:textId="77777777" w:rsidR="007677A5" w:rsidRPr="00E87295" w:rsidRDefault="007677A5">
            <w:pPr>
              <w:pStyle w:val="Bodytext40"/>
              <w:shd w:val="clear" w:color="auto" w:fill="auto"/>
              <w:spacing w:line="240" w:lineRule="auto"/>
              <w:rPr>
                <w:sz w:val="22"/>
                <w:szCs w:val="22"/>
                <w:lang w:val="sr-Latn-RS"/>
              </w:rPr>
            </w:pPr>
          </w:p>
          <w:p w14:paraId="5694F7CD" w14:textId="77777777" w:rsidR="007677A5" w:rsidRPr="00E87295" w:rsidRDefault="007677A5">
            <w:pPr>
              <w:pStyle w:val="Bodytext40"/>
              <w:shd w:val="clear" w:color="auto" w:fill="auto"/>
              <w:spacing w:line="240" w:lineRule="auto"/>
              <w:rPr>
                <w:sz w:val="22"/>
                <w:szCs w:val="22"/>
                <w:lang w:val="sr-Latn-RS"/>
              </w:rPr>
            </w:pPr>
          </w:p>
          <w:p w14:paraId="2BF3675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209 (62,6)</w:t>
            </w:r>
            <w:r w:rsidRPr="00E87295">
              <w:rPr>
                <w:sz w:val="22"/>
                <w:szCs w:val="22"/>
                <w:vertAlign w:val="superscript"/>
                <w:lang w:val="sr-Latn-RS"/>
              </w:rPr>
              <w:t>e</w:t>
            </w:r>
          </w:p>
          <w:p w14:paraId="33CF3AD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160 (47,9)</w:t>
            </w:r>
            <w:r w:rsidRPr="00E87295">
              <w:rPr>
                <w:sz w:val="22"/>
                <w:szCs w:val="22"/>
                <w:vertAlign w:val="superscript"/>
                <w:lang w:val="sr-Latn-RS"/>
              </w:rPr>
              <w:t>b</w:t>
            </w:r>
          </w:p>
          <w:p w14:paraId="3011D8B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78 (23,4)</w:t>
            </w:r>
            <w:r w:rsidRPr="00E87295">
              <w:rPr>
                <w:sz w:val="22"/>
                <w:szCs w:val="22"/>
                <w:vertAlign w:val="superscript"/>
                <w:lang w:val="sr-Latn-RS"/>
              </w:rPr>
              <w:t>e</w:t>
            </w:r>
          </w:p>
          <w:p w14:paraId="37B4F48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185 (55,4)</w:t>
            </w:r>
            <w:r w:rsidRPr="00E87295">
              <w:rPr>
                <w:sz w:val="22"/>
                <w:szCs w:val="22"/>
                <w:vertAlign w:val="superscript"/>
                <w:lang w:val="sr-Latn-RS"/>
              </w:rPr>
              <w:t>b</w:t>
            </w:r>
          </w:p>
          <w:p w14:paraId="34158A0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86 (25,7)</w:t>
            </w:r>
            <w:r w:rsidRPr="00E87295">
              <w:rPr>
                <w:sz w:val="22"/>
                <w:szCs w:val="22"/>
                <w:vertAlign w:val="superscript"/>
                <w:lang w:val="sr-Latn-RS"/>
              </w:rPr>
              <w:t>b</w:t>
            </w:r>
          </w:p>
        </w:tc>
        <w:tc>
          <w:tcPr>
            <w:tcW w:w="1153" w:type="dxa"/>
            <w:tcBorders>
              <w:top w:val="single" w:sz="4" w:space="0" w:color="auto"/>
              <w:left w:val="single" w:sz="4" w:space="0" w:color="auto"/>
              <w:bottom w:val="single" w:sz="4" w:space="0" w:color="auto"/>
              <w:right w:val="single" w:sz="4" w:space="0" w:color="auto"/>
            </w:tcBorders>
          </w:tcPr>
          <w:p w14:paraId="395DF89A" w14:textId="77777777" w:rsidR="007677A5" w:rsidRPr="00E87295" w:rsidRDefault="007677A5">
            <w:pPr>
              <w:pStyle w:val="Bodytext40"/>
              <w:shd w:val="clear" w:color="auto" w:fill="auto"/>
              <w:spacing w:line="240" w:lineRule="auto"/>
              <w:rPr>
                <w:sz w:val="22"/>
                <w:szCs w:val="22"/>
                <w:lang w:val="sr-Latn-RS"/>
              </w:rPr>
            </w:pPr>
          </w:p>
          <w:p w14:paraId="65170AA7" w14:textId="77777777" w:rsidR="007677A5" w:rsidRPr="00E87295" w:rsidRDefault="007677A5">
            <w:pPr>
              <w:pStyle w:val="Bodytext40"/>
              <w:shd w:val="clear" w:color="auto" w:fill="auto"/>
              <w:spacing w:line="240" w:lineRule="auto"/>
              <w:rPr>
                <w:sz w:val="22"/>
                <w:szCs w:val="22"/>
                <w:lang w:val="sr-Latn-RS"/>
              </w:rPr>
            </w:pPr>
          </w:p>
          <w:p w14:paraId="4000994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72055F9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5330BDB4"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0FEA95D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tc>
        <w:tc>
          <w:tcPr>
            <w:tcW w:w="1373" w:type="dxa"/>
            <w:tcBorders>
              <w:top w:val="single" w:sz="4" w:space="0" w:color="auto"/>
              <w:left w:val="single" w:sz="4" w:space="0" w:color="auto"/>
              <w:bottom w:val="single" w:sz="4" w:space="0" w:color="auto"/>
              <w:right w:val="single" w:sz="4" w:space="0" w:color="auto"/>
            </w:tcBorders>
          </w:tcPr>
          <w:p w14:paraId="3583C8E0" w14:textId="77777777" w:rsidR="007677A5" w:rsidRPr="00E87295" w:rsidRDefault="007677A5">
            <w:pPr>
              <w:pStyle w:val="Bodytext40"/>
              <w:shd w:val="clear" w:color="auto" w:fill="auto"/>
              <w:spacing w:line="240" w:lineRule="auto"/>
              <w:rPr>
                <w:sz w:val="22"/>
                <w:szCs w:val="22"/>
                <w:lang w:val="sr-Latn-RS"/>
              </w:rPr>
            </w:pPr>
          </w:p>
          <w:p w14:paraId="1BBE1CCF" w14:textId="77777777" w:rsidR="007677A5" w:rsidRPr="00E87295" w:rsidRDefault="007677A5">
            <w:pPr>
              <w:pStyle w:val="Bodytext40"/>
              <w:shd w:val="clear" w:color="auto" w:fill="auto"/>
              <w:spacing w:line="240" w:lineRule="auto"/>
              <w:rPr>
                <w:sz w:val="22"/>
                <w:szCs w:val="22"/>
                <w:lang w:val="sr-Latn-RS"/>
              </w:rPr>
            </w:pPr>
          </w:p>
          <w:p w14:paraId="6763E61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7E7F300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7063ADA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3B08CED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tc>
        <w:tc>
          <w:tcPr>
            <w:tcW w:w="1405" w:type="dxa"/>
            <w:tcBorders>
              <w:top w:val="single" w:sz="4" w:space="0" w:color="auto"/>
              <w:left w:val="single" w:sz="4" w:space="0" w:color="auto"/>
              <w:bottom w:val="single" w:sz="4" w:space="0" w:color="auto"/>
              <w:right w:val="single" w:sz="4" w:space="0" w:color="auto"/>
            </w:tcBorders>
          </w:tcPr>
          <w:p w14:paraId="5BF39705" w14:textId="77777777" w:rsidR="007677A5" w:rsidRPr="00E87295" w:rsidRDefault="007677A5">
            <w:pPr>
              <w:pStyle w:val="Bodytext40"/>
              <w:shd w:val="clear" w:color="auto" w:fill="auto"/>
              <w:spacing w:line="240" w:lineRule="auto"/>
              <w:rPr>
                <w:sz w:val="22"/>
                <w:szCs w:val="22"/>
                <w:lang w:val="sr-Latn-RS"/>
              </w:rPr>
            </w:pPr>
          </w:p>
          <w:p w14:paraId="2AF58C42" w14:textId="77777777" w:rsidR="007677A5" w:rsidRPr="00E87295" w:rsidRDefault="007677A5">
            <w:pPr>
              <w:pStyle w:val="Bodytext40"/>
              <w:shd w:val="clear" w:color="auto" w:fill="auto"/>
              <w:spacing w:line="240" w:lineRule="auto"/>
              <w:rPr>
                <w:sz w:val="22"/>
                <w:szCs w:val="22"/>
                <w:lang w:val="sr-Latn-RS"/>
              </w:rPr>
            </w:pPr>
          </w:p>
          <w:p w14:paraId="291299F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49A9785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057A72C2"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p w14:paraId="4591251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w:t>
            </w:r>
          </w:p>
        </w:tc>
      </w:tr>
    </w:tbl>
    <w:p w14:paraId="3A645D4E" w14:textId="7777777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a</w:t>
      </w:r>
      <w:r w:rsidRPr="00E87295">
        <w:rPr>
          <w:sz w:val="22"/>
          <w:szCs w:val="22"/>
          <w:lang w:val="sr-Latn-RS"/>
        </w:rPr>
        <w:t xml:space="preserve"> p &lt; 0,001 za poređenje guselkumaba i placeba.</w:t>
      </w:r>
    </w:p>
    <w:p w14:paraId="375C5DF7" w14:textId="6101965D"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b</w:t>
      </w:r>
      <w:r w:rsidRPr="00E87295">
        <w:rPr>
          <w:sz w:val="22"/>
          <w:szCs w:val="22"/>
          <w:lang w:val="sr-Latn-RS"/>
        </w:rPr>
        <w:t xml:space="preserve"> p &lt; 0,001 za poređenje guselkumaba i adalimumaba kod glavnih sekundarnih</w:t>
      </w:r>
      <w:r w:rsidR="00062654" w:rsidRPr="00E87295">
        <w:rPr>
          <w:sz w:val="22"/>
          <w:szCs w:val="22"/>
          <w:lang w:val="sr-Latn-RS"/>
        </w:rPr>
        <w:t xml:space="preserve"> parametara praćenja</w:t>
      </w:r>
      <w:r w:rsidRPr="00E87295">
        <w:rPr>
          <w:sz w:val="22"/>
          <w:szCs w:val="22"/>
          <w:lang w:val="sr-Latn-RS"/>
        </w:rPr>
        <w:t xml:space="preserve">. </w:t>
      </w:r>
    </w:p>
    <w:p w14:paraId="6D8DA465" w14:textId="14F26141"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c</w:t>
      </w:r>
      <w:r w:rsidRPr="00E87295">
        <w:rPr>
          <w:sz w:val="22"/>
          <w:szCs w:val="22"/>
          <w:lang w:val="sr-Latn-RS"/>
        </w:rPr>
        <w:t xml:space="preserve"> p &lt; 0,001 za poređenje guselkumaba i placeba kod koprimarnih </w:t>
      </w:r>
      <w:r w:rsidR="00062654" w:rsidRPr="00E87295">
        <w:rPr>
          <w:sz w:val="22"/>
          <w:szCs w:val="22"/>
          <w:lang w:val="sr-Latn-RS"/>
        </w:rPr>
        <w:t>parametara praćenja</w:t>
      </w:r>
      <w:r w:rsidRPr="00E87295">
        <w:rPr>
          <w:sz w:val="22"/>
          <w:szCs w:val="22"/>
          <w:lang w:val="sr-Latn-RS"/>
        </w:rPr>
        <w:t xml:space="preserve">. </w:t>
      </w:r>
    </w:p>
    <w:p w14:paraId="6DE8A475" w14:textId="7777777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d</w:t>
      </w:r>
      <w:r w:rsidRPr="00E87295">
        <w:rPr>
          <w:sz w:val="22"/>
          <w:szCs w:val="22"/>
          <w:lang w:val="sr-Latn-RS"/>
        </w:rPr>
        <w:t xml:space="preserve"> Ni</w:t>
      </w:r>
      <w:r w:rsidR="00441240" w:rsidRPr="00E87295">
        <w:rPr>
          <w:sz w:val="22"/>
          <w:szCs w:val="22"/>
          <w:lang w:val="sr-Latn-RS"/>
        </w:rPr>
        <w:t>je</w:t>
      </w:r>
      <w:r w:rsidRPr="00E87295">
        <w:rPr>
          <w:sz w:val="22"/>
          <w:szCs w:val="22"/>
          <w:lang w:val="sr-Latn-RS"/>
        </w:rPr>
        <w:t xml:space="preserve">su sprovedena poređenja guselkumaba i adalimumaba. </w:t>
      </w:r>
    </w:p>
    <w:p w14:paraId="10FA20C1" w14:textId="7777777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e</w:t>
      </w:r>
      <w:r w:rsidRPr="00E87295">
        <w:rPr>
          <w:sz w:val="22"/>
          <w:szCs w:val="22"/>
          <w:lang w:val="sr-Latn-RS"/>
        </w:rPr>
        <w:t xml:space="preserve"> p &lt; 0,001 za poređenje guselkumaba i adalimumaba</w:t>
      </w:r>
    </w:p>
    <w:p w14:paraId="66C75684" w14:textId="77777777" w:rsidR="007677A5" w:rsidRPr="00E87295" w:rsidRDefault="007677A5">
      <w:pPr>
        <w:pStyle w:val="Bodytext30"/>
        <w:shd w:val="clear" w:color="auto" w:fill="auto"/>
        <w:spacing w:before="136" w:line="240" w:lineRule="auto"/>
        <w:ind w:firstLine="0"/>
        <w:jc w:val="both"/>
        <w:rPr>
          <w:i/>
          <w:sz w:val="22"/>
          <w:szCs w:val="22"/>
          <w:u w:val="single"/>
          <w:lang w:val="sr-Latn-RS"/>
        </w:rPr>
      </w:pPr>
      <w:r w:rsidRPr="00E87295">
        <w:rPr>
          <w:i/>
          <w:sz w:val="22"/>
          <w:szCs w:val="22"/>
          <w:u w:val="single"/>
          <w:lang w:val="sr-Latn-RS"/>
        </w:rPr>
        <w:t>Odgovor tokom vremena</w:t>
      </w:r>
    </w:p>
    <w:p w14:paraId="084EEDF5" w14:textId="1CCADC8C" w:rsidR="007677A5" w:rsidRPr="00E87295" w:rsidRDefault="007677A5">
      <w:pPr>
        <w:pStyle w:val="Header"/>
        <w:tabs>
          <w:tab w:val="left" w:pos="284"/>
        </w:tabs>
        <w:jc w:val="both"/>
        <w:rPr>
          <w:sz w:val="22"/>
          <w:szCs w:val="22"/>
          <w:lang w:val="sr-Latn-RS"/>
        </w:rPr>
      </w:pPr>
      <w:r w:rsidRPr="00E87295">
        <w:rPr>
          <w:sz w:val="22"/>
          <w:szCs w:val="22"/>
          <w:lang w:val="sr-Latn-RS"/>
        </w:rPr>
        <w:t>Guselkumab je pokazao brz početak efikasnosti, uz značajno veći procenat poboljšanja  PASI skora u poređenju sa placebom već u 2. ned</w:t>
      </w:r>
      <w:r w:rsidR="00441240" w:rsidRPr="00E87295">
        <w:rPr>
          <w:sz w:val="22"/>
          <w:szCs w:val="22"/>
          <w:lang w:val="sr-Latn-RS"/>
        </w:rPr>
        <w:t>j</w:t>
      </w:r>
      <w:r w:rsidRPr="00E87295">
        <w:rPr>
          <w:sz w:val="22"/>
          <w:szCs w:val="22"/>
          <w:lang w:val="sr-Latn-RS"/>
        </w:rPr>
        <w:t xml:space="preserve">elji (p &lt; 0,001). Procenat </w:t>
      </w:r>
      <w:r w:rsidR="0006393B" w:rsidRPr="00C929E2">
        <w:rPr>
          <w:sz w:val="22"/>
          <w:szCs w:val="22"/>
          <w:lang w:val="sr-Latn-RS"/>
        </w:rPr>
        <w:t xml:space="preserve">pacijenata </w:t>
      </w:r>
      <w:r w:rsidRPr="00E87295">
        <w:rPr>
          <w:sz w:val="22"/>
          <w:szCs w:val="22"/>
          <w:lang w:val="sr-Latn-RS"/>
        </w:rPr>
        <w:t>koji su postigli odgovor PASI 90 bio je brojčano veći sa guselkumabom nego sa adalimumabom počevši od 8. ned</w:t>
      </w:r>
      <w:r w:rsidR="000102B6" w:rsidRPr="00E87295">
        <w:rPr>
          <w:sz w:val="22"/>
          <w:szCs w:val="22"/>
          <w:lang w:val="sr-Latn-RS"/>
        </w:rPr>
        <w:t>j</w:t>
      </w:r>
      <w:r w:rsidRPr="00E87295">
        <w:rPr>
          <w:sz w:val="22"/>
          <w:szCs w:val="22"/>
          <w:lang w:val="sr-Latn-RS"/>
        </w:rPr>
        <w:t>elje, a razlika je bila najveća oko 20. ned</w:t>
      </w:r>
      <w:r w:rsidR="000102B6" w:rsidRPr="00E87295">
        <w:rPr>
          <w:sz w:val="22"/>
          <w:szCs w:val="22"/>
          <w:lang w:val="sr-Latn-RS"/>
        </w:rPr>
        <w:t>j</w:t>
      </w:r>
      <w:r w:rsidRPr="00E87295">
        <w:rPr>
          <w:sz w:val="22"/>
          <w:szCs w:val="22"/>
          <w:lang w:val="sr-Latn-RS"/>
        </w:rPr>
        <w:t xml:space="preserve">elje (VOYAGE 1 i 2) i održala se </w:t>
      </w:r>
      <w:r w:rsidR="000102B6" w:rsidRPr="00E87295">
        <w:rPr>
          <w:sz w:val="22"/>
          <w:szCs w:val="22"/>
          <w:lang w:val="sr-Latn-RS"/>
        </w:rPr>
        <w:t xml:space="preserve">do </w:t>
      </w:r>
      <w:r w:rsidRPr="00E87295">
        <w:rPr>
          <w:sz w:val="22"/>
          <w:szCs w:val="22"/>
          <w:lang w:val="sr-Latn-RS"/>
        </w:rPr>
        <w:t>48. ned</w:t>
      </w:r>
      <w:r w:rsidR="000102B6" w:rsidRPr="00E87295">
        <w:rPr>
          <w:sz w:val="22"/>
          <w:szCs w:val="22"/>
          <w:lang w:val="sr-Latn-RS"/>
        </w:rPr>
        <w:t>j</w:t>
      </w:r>
      <w:r w:rsidRPr="00E87295">
        <w:rPr>
          <w:sz w:val="22"/>
          <w:szCs w:val="22"/>
          <w:lang w:val="sr-Latn-RS"/>
        </w:rPr>
        <w:t>elje (VOYAGE 1)</w:t>
      </w:r>
      <w:r w:rsidR="0006393B" w:rsidRPr="00C929E2">
        <w:rPr>
          <w:sz w:val="22"/>
          <w:szCs w:val="22"/>
          <w:lang w:val="sr-Latn-RS"/>
        </w:rPr>
        <w:t xml:space="preserve"> (vid</w:t>
      </w:r>
      <w:r w:rsidR="008A303B" w:rsidRPr="00C929E2">
        <w:rPr>
          <w:sz w:val="22"/>
          <w:szCs w:val="22"/>
          <w:lang w:val="sr-Latn-RS"/>
        </w:rPr>
        <w:t>j</w:t>
      </w:r>
      <w:r w:rsidR="0006393B" w:rsidRPr="00C929E2">
        <w:rPr>
          <w:sz w:val="22"/>
          <w:szCs w:val="22"/>
          <w:lang w:val="sr-Latn-RS"/>
        </w:rPr>
        <w:t>eti Sliku 1)</w:t>
      </w:r>
      <w:r w:rsidRPr="00E87295">
        <w:rPr>
          <w:sz w:val="22"/>
          <w:szCs w:val="22"/>
          <w:lang w:val="sr-Latn-RS"/>
        </w:rPr>
        <w:t>.</w:t>
      </w:r>
    </w:p>
    <w:p w14:paraId="570B87F9" w14:textId="77777777" w:rsidR="007677A5" w:rsidRPr="00E87295" w:rsidRDefault="007677A5">
      <w:pPr>
        <w:pStyle w:val="Header"/>
        <w:tabs>
          <w:tab w:val="left" w:pos="284"/>
        </w:tabs>
        <w:jc w:val="both"/>
        <w:rPr>
          <w:sz w:val="22"/>
          <w:szCs w:val="22"/>
          <w:lang w:val="sr-Latn-RS"/>
        </w:rPr>
      </w:pPr>
    </w:p>
    <w:p w14:paraId="706C4F98"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b/>
          <w:sz w:val="22"/>
          <w:szCs w:val="22"/>
          <w:lang w:val="sr-Latn-RS"/>
        </w:rPr>
        <w:t>Slika 1: Procenat ispitanika koji su postigli odgovor PASI 90 tokom 48. ned</w:t>
      </w:r>
      <w:r w:rsidR="000102B6" w:rsidRPr="00E87295">
        <w:rPr>
          <w:b/>
          <w:sz w:val="22"/>
          <w:szCs w:val="22"/>
          <w:lang w:val="sr-Latn-RS"/>
        </w:rPr>
        <w:t>j</w:t>
      </w:r>
      <w:r w:rsidRPr="00E87295">
        <w:rPr>
          <w:b/>
          <w:sz w:val="22"/>
          <w:szCs w:val="22"/>
          <w:lang w:val="sr-Latn-RS"/>
        </w:rPr>
        <w:t>elje po posjeti (ispitanici randomizovani u 0. ned</w:t>
      </w:r>
      <w:r w:rsidR="000102B6" w:rsidRPr="00E87295">
        <w:rPr>
          <w:b/>
          <w:sz w:val="22"/>
          <w:szCs w:val="22"/>
          <w:lang w:val="sr-Latn-RS"/>
        </w:rPr>
        <w:t>j</w:t>
      </w:r>
      <w:r w:rsidRPr="00E87295">
        <w:rPr>
          <w:b/>
          <w:sz w:val="22"/>
          <w:szCs w:val="22"/>
          <w:lang w:val="sr-Latn-RS"/>
        </w:rPr>
        <w:t>elji) u kliničkom ispitivanju VOYAGE 1</w:t>
      </w:r>
    </w:p>
    <w:p w14:paraId="063668E4" w14:textId="77777777" w:rsidR="007677A5" w:rsidRPr="00E87295" w:rsidRDefault="007677A5">
      <w:pPr>
        <w:pStyle w:val="Header"/>
        <w:tabs>
          <w:tab w:val="left" w:pos="284"/>
        </w:tabs>
        <w:jc w:val="both"/>
        <w:rPr>
          <w:sz w:val="22"/>
          <w:szCs w:val="22"/>
          <w:lang w:val="sr-Latn-RS"/>
        </w:rPr>
      </w:pPr>
    </w:p>
    <w:p w14:paraId="7062B13E" w14:textId="77777777" w:rsidR="007677A5" w:rsidRPr="00E87295" w:rsidRDefault="007677A5">
      <w:pPr>
        <w:pStyle w:val="Header"/>
        <w:tabs>
          <w:tab w:val="left" w:pos="284"/>
        </w:tabs>
        <w:jc w:val="both"/>
        <w:rPr>
          <w:sz w:val="22"/>
          <w:szCs w:val="22"/>
          <w:lang w:val="sr-Latn-RS"/>
        </w:rPr>
      </w:pPr>
    </w:p>
    <w:p w14:paraId="15367D21" w14:textId="77777777" w:rsidR="007677A5" w:rsidRPr="00E87295" w:rsidRDefault="007677A5">
      <w:pPr>
        <w:pStyle w:val="Header"/>
        <w:tabs>
          <w:tab w:val="left" w:pos="284"/>
        </w:tabs>
        <w:jc w:val="both"/>
        <w:rPr>
          <w:sz w:val="22"/>
          <w:szCs w:val="22"/>
          <w:lang w:val="sr-Latn-RS"/>
        </w:rPr>
      </w:pPr>
    </w:p>
    <w:p w14:paraId="666B1A27" w14:textId="77777777" w:rsidR="007677A5" w:rsidRPr="00E87295" w:rsidRDefault="007677A5">
      <w:pPr>
        <w:pStyle w:val="Header"/>
        <w:tabs>
          <w:tab w:val="left" w:pos="284"/>
        </w:tabs>
        <w:jc w:val="both"/>
        <w:rPr>
          <w:sz w:val="22"/>
          <w:szCs w:val="22"/>
          <w:lang w:val="sr-Latn-RS"/>
        </w:rPr>
      </w:pPr>
    </w:p>
    <w:p w14:paraId="35D728BA" w14:textId="77777777" w:rsidR="007677A5" w:rsidRPr="00E87295" w:rsidRDefault="00042424">
      <w:pPr>
        <w:pStyle w:val="Header"/>
        <w:tabs>
          <w:tab w:val="left" w:pos="284"/>
        </w:tabs>
        <w:jc w:val="both"/>
        <w:rPr>
          <w:sz w:val="22"/>
          <w:szCs w:val="22"/>
          <w:lang w:val="sr-Latn-RS"/>
        </w:rPr>
      </w:pPr>
      <w:r w:rsidRPr="00E87295">
        <w:rPr>
          <w:noProof/>
          <w:sz w:val="22"/>
          <w:szCs w:val="22"/>
        </w:rPr>
        <w:drawing>
          <wp:inline distT="0" distB="0" distL="0" distR="0" wp14:anchorId="06438838" wp14:editId="67CD7913">
            <wp:extent cx="4590464" cy="3291840"/>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24" t="24956" r="47917" b="43041"/>
                    <a:stretch/>
                  </pic:blipFill>
                  <pic:spPr bwMode="auto">
                    <a:xfrm>
                      <a:off x="0" y="0"/>
                      <a:ext cx="4590464" cy="3291840"/>
                    </a:xfrm>
                    <a:prstGeom prst="rect">
                      <a:avLst/>
                    </a:prstGeom>
                    <a:ln>
                      <a:noFill/>
                    </a:ln>
                    <a:extLst>
                      <a:ext uri="{53640926-AAD7-44D8-BBD7-CCE9431645EC}">
                        <a14:shadowObscured xmlns:a14="http://schemas.microsoft.com/office/drawing/2010/main"/>
                      </a:ext>
                    </a:extLst>
                  </pic:spPr>
                </pic:pic>
              </a:graphicData>
            </a:graphic>
          </wp:inline>
        </w:drawing>
      </w:r>
    </w:p>
    <w:p w14:paraId="1A424A41" w14:textId="67D11EB6" w:rsidR="0006393B" w:rsidRPr="00C929E2" w:rsidRDefault="0006393B">
      <w:pPr>
        <w:spacing w:after="180"/>
        <w:ind w:left="20"/>
        <w:jc w:val="both"/>
        <w:rPr>
          <w:b/>
          <w:sz w:val="22"/>
          <w:szCs w:val="22"/>
          <w:lang w:val="sr-Latn-RS"/>
        </w:rPr>
      </w:pPr>
      <w:r w:rsidRPr="00C929E2">
        <w:rPr>
          <w:sz w:val="22"/>
          <w:szCs w:val="22"/>
          <w:lang w:val="sr-Latn-RS"/>
        </w:rPr>
        <w:t>Kod pacijenata koji su kontinuirano l</w:t>
      </w:r>
      <w:r w:rsidR="008A303B" w:rsidRPr="00C929E2">
        <w:rPr>
          <w:sz w:val="22"/>
          <w:szCs w:val="22"/>
          <w:lang w:val="sr-Latn-RS"/>
        </w:rPr>
        <w:t>ij</w:t>
      </w:r>
      <w:r w:rsidRPr="00C929E2">
        <w:rPr>
          <w:sz w:val="22"/>
          <w:szCs w:val="22"/>
          <w:lang w:val="sr-Latn-RS"/>
        </w:rPr>
        <w:t xml:space="preserve">ečeni guselkumabom u kliničkom ispitivanju VOYAGE 1, PASI 90 odgovor je održan od 52. do </w:t>
      </w:r>
      <w:r w:rsidR="00681A8E" w:rsidRPr="00C929E2">
        <w:rPr>
          <w:sz w:val="22"/>
          <w:szCs w:val="22"/>
          <w:lang w:val="sr-Latn-RS"/>
        </w:rPr>
        <w:t>252</w:t>
      </w:r>
      <w:r w:rsidRPr="00C929E2">
        <w:rPr>
          <w:sz w:val="22"/>
          <w:szCs w:val="22"/>
          <w:lang w:val="sr-Latn-RS"/>
        </w:rPr>
        <w:t>. ned</w:t>
      </w:r>
      <w:r w:rsidR="004C56CA" w:rsidRPr="00C929E2">
        <w:rPr>
          <w:sz w:val="22"/>
          <w:szCs w:val="22"/>
          <w:lang w:val="sr-Latn-RS"/>
        </w:rPr>
        <w:t>j</w:t>
      </w:r>
      <w:r w:rsidRPr="00C929E2">
        <w:rPr>
          <w:sz w:val="22"/>
          <w:szCs w:val="22"/>
          <w:lang w:val="sr-Latn-RS"/>
        </w:rPr>
        <w:t>elje. Kod pacijenata randomizovanih u grupu koja je primala adalimumab u 0. ned</w:t>
      </w:r>
      <w:r w:rsidR="004C56CA" w:rsidRPr="00C929E2">
        <w:rPr>
          <w:sz w:val="22"/>
          <w:szCs w:val="22"/>
          <w:lang w:val="sr-Latn-RS"/>
        </w:rPr>
        <w:t>j</w:t>
      </w:r>
      <w:r w:rsidRPr="00C929E2">
        <w:rPr>
          <w:sz w:val="22"/>
          <w:szCs w:val="22"/>
          <w:lang w:val="sr-Latn-RS"/>
        </w:rPr>
        <w:t>elji, koji su prešli na guselkumab u 52. ned</w:t>
      </w:r>
      <w:r w:rsidR="004C56CA" w:rsidRPr="00C929E2">
        <w:rPr>
          <w:sz w:val="22"/>
          <w:szCs w:val="22"/>
          <w:lang w:val="sr-Latn-RS"/>
        </w:rPr>
        <w:t>j</w:t>
      </w:r>
      <w:r w:rsidRPr="00C929E2">
        <w:rPr>
          <w:sz w:val="22"/>
          <w:szCs w:val="22"/>
          <w:lang w:val="sr-Latn-RS"/>
        </w:rPr>
        <w:t>elji, PASI 90 odgovor se povećao od 52. do 76. ned</w:t>
      </w:r>
      <w:r w:rsidR="004C56CA" w:rsidRPr="00C929E2">
        <w:rPr>
          <w:sz w:val="22"/>
          <w:szCs w:val="22"/>
          <w:lang w:val="sr-Latn-RS"/>
        </w:rPr>
        <w:t>j</w:t>
      </w:r>
      <w:r w:rsidRPr="00C929E2">
        <w:rPr>
          <w:sz w:val="22"/>
          <w:szCs w:val="22"/>
          <w:lang w:val="sr-Latn-RS"/>
        </w:rPr>
        <w:t xml:space="preserve">elje i održan je nakon toga do </w:t>
      </w:r>
      <w:r w:rsidR="00681A8E" w:rsidRPr="00C929E2">
        <w:rPr>
          <w:sz w:val="22"/>
          <w:szCs w:val="22"/>
          <w:lang w:val="sr-Latn-RS"/>
        </w:rPr>
        <w:t>252</w:t>
      </w:r>
      <w:r w:rsidRPr="00C929E2">
        <w:rPr>
          <w:sz w:val="22"/>
          <w:szCs w:val="22"/>
          <w:lang w:val="sr-Latn-RS"/>
        </w:rPr>
        <w:t>. ned</w:t>
      </w:r>
      <w:r w:rsidR="004C56CA" w:rsidRPr="00C929E2">
        <w:rPr>
          <w:sz w:val="22"/>
          <w:szCs w:val="22"/>
          <w:lang w:val="sr-Latn-RS"/>
        </w:rPr>
        <w:t>j</w:t>
      </w:r>
      <w:r w:rsidRPr="00C929E2">
        <w:rPr>
          <w:sz w:val="22"/>
          <w:szCs w:val="22"/>
          <w:lang w:val="sr-Latn-RS"/>
        </w:rPr>
        <w:t>elje (vid</w:t>
      </w:r>
      <w:r w:rsidR="008A303B" w:rsidRPr="00C929E2">
        <w:rPr>
          <w:sz w:val="22"/>
          <w:szCs w:val="22"/>
          <w:lang w:val="sr-Latn-RS"/>
        </w:rPr>
        <w:t>j</w:t>
      </w:r>
      <w:r w:rsidRPr="00C929E2">
        <w:rPr>
          <w:sz w:val="22"/>
          <w:szCs w:val="22"/>
          <w:lang w:val="sr-Latn-RS"/>
        </w:rPr>
        <w:t xml:space="preserve">eti Sliku 2). </w:t>
      </w:r>
    </w:p>
    <w:p w14:paraId="7C275B8D" w14:textId="77777777" w:rsidR="0006393B" w:rsidRPr="00E87295" w:rsidRDefault="0006393B">
      <w:pPr>
        <w:pStyle w:val="Heading50"/>
        <w:keepNext/>
        <w:keepLines/>
        <w:shd w:val="clear" w:color="auto" w:fill="auto"/>
        <w:spacing w:line="240" w:lineRule="auto"/>
        <w:ind w:left="810" w:hanging="810"/>
        <w:jc w:val="both"/>
        <w:rPr>
          <w:b/>
          <w:sz w:val="22"/>
          <w:szCs w:val="22"/>
        </w:rPr>
      </w:pPr>
      <w:r w:rsidRPr="00E87295">
        <w:rPr>
          <w:b/>
          <w:sz w:val="22"/>
          <w:szCs w:val="22"/>
        </w:rPr>
        <w:t>Slika 2: Procenat ispitanika koji su postigli odgovor PASI 90 po pos</w:t>
      </w:r>
      <w:r w:rsidR="008A303B" w:rsidRPr="00E87295">
        <w:rPr>
          <w:b/>
          <w:sz w:val="22"/>
          <w:szCs w:val="22"/>
        </w:rPr>
        <w:t>j</w:t>
      </w:r>
      <w:r w:rsidRPr="00E87295">
        <w:rPr>
          <w:b/>
          <w:sz w:val="22"/>
          <w:szCs w:val="22"/>
        </w:rPr>
        <w:t xml:space="preserve">eti u otvorenoj fazi ispitivanja VOYAGE 1 </w:t>
      </w:r>
    </w:p>
    <w:p w14:paraId="0CF03C6B" w14:textId="5C941085" w:rsidR="0006393B" w:rsidRPr="00C929E2" w:rsidRDefault="0006393B">
      <w:pPr>
        <w:spacing w:after="180"/>
        <w:ind w:left="20"/>
        <w:jc w:val="both"/>
        <w:rPr>
          <w:sz w:val="22"/>
          <w:szCs w:val="22"/>
          <w:lang w:val="sr-Latn-RS"/>
        </w:rPr>
      </w:pPr>
    </w:p>
    <w:p w14:paraId="79087893" w14:textId="7F4A1E79" w:rsidR="00681A8E" w:rsidRPr="00E87295" w:rsidRDefault="00AE3D65">
      <w:pPr>
        <w:spacing w:after="180"/>
        <w:ind w:left="20"/>
        <w:jc w:val="both"/>
        <w:rPr>
          <w:sz w:val="22"/>
          <w:szCs w:val="22"/>
        </w:rPr>
      </w:pPr>
      <w:r w:rsidRPr="00E87295">
        <w:rPr>
          <w:noProof/>
          <w:sz w:val="22"/>
          <w:szCs w:val="22"/>
        </w:rPr>
        <mc:AlternateContent>
          <mc:Choice Requires="wps">
            <w:drawing>
              <wp:anchor distT="0" distB="0" distL="114300" distR="114300" simplePos="0" relativeHeight="251658239" behindDoc="0" locked="0" layoutInCell="1" allowOverlap="1" wp14:anchorId="3E373CD7" wp14:editId="3A88523A">
                <wp:simplePos x="0" y="0"/>
                <wp:positionH relativeFrom="column">
                  <wp:posOffset>3294024</wp:posOffset>
                </wp:positionH>
                <wp:positionV relativeFrom="paragraph">
                  <wp:posOffset>2976880</wp:posOffset>
                </wp:positionV>
                <wp:extent cx="775411" cy="226771"/>
                <wp:effectExtent l="0" t="0" r="5715" b="1905"/>
                <wp:wrapNone/>
                <wp:docPr id="8" name="Text Box 8"/>
                <wp:cNvGraphicFramePr/>
                <a:graphic xmlns:a="http://schemas.openxmlformats.org/drawingml/2006/main">
                  <a:graphicData uri="http://schemas.microsoft.com/office/word/2010/wordprocessingShape">
                    <wps:wsp>
                      <wps:cNvSpPr txBox="1"/>
                      <wps:spPr>
                        <a:xfrm>
                          <a:off x="0" y="0"/>
                          <a:ext cx="775411" cy="226771"/>
                        </a:xfrm>
                        <a:prstGeom prst="rect">
                          <a:avLst/>
                        </a:prstGeom>
                        <a:solidFill>
                          <a:schemeClr val="lt1"/>
                        </a:solidFill>
                        <a:ln w="6350">
                          <a:noFill/>
                        </a:ln>
                      </wps:spPr>
                      <wps:txbx>
                        <w:txbxContent>
                          <w:p w14:paraId="4D0A2B82" w14:textId="652F892D" w:rsidR="000838FC" w:rsidRPr="00E87295" w:rsidRDefault="000838FC">
                            <w:pPr>
                              <w:rPr>
                                <w:sz w:val="14"/>
                                <w:lang w:val="sr-Latn-ME"/>
                              </w:rPr>
                            </w:pPr>
                            <w:r w:rsidRPr="00E87295">
                              <w:rPr>
                                <w:sz w:val="14"/>
                                <w:lang w:val="sr-Latn-ME"/>
                              </w:rPr>
                              <w:t>na Guselkumab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373CD7" id="_x0000_t202" coordsize="21600,21600" o:spt="202" path="m,l,21600r21600,l21600,xe">
                <v:stroke joinstyle="miter"/>
                <v:path gradientshapeok="t" o:connecttype="rect"/>
              </v:shapetype>
              <v:shape id="Text Box 8" o:spid="_x0000_s1026" type="#_x0000_t202" style="position:absolute;left:0;text-align:left;margin-left:259.35pt;margin-top:234.4pt;width:61.05pt;height:17.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" fillcolor="white [3201]" stroked="f" strokeweight=".5pt">
                <v:textbox>
                  <w:txbxContent>
                    <w:p w14:paraId="4D0A2B82" w14:textId="652F892D" w:rsidR="000838FC" w:rsidRPr="00E87295" w:rsidRDefault="000838FC">
                      <w:pPr>
                        <w:rPr>
                          <w:sz w:val="14"/>
                          <w:lang w:val="sr-Latn-ME"/>
                        </w:rPr>
                      </w:pPr>
                      <w:r w:rsidRPr="00E87295">
                        <w:rPr>
                          <w:sz w:val="14"/>
                          <w:lang w:val="sr-Latn-ME"/>
                        </w:rPr>
                        <w:t>na Guselkumab</w:t>
                      </w:r>
                    </w:p>
                  </w:txbxContent>
                </v:textbox>
              </v:shape>
            </w:pict>
          </mc:Fallback>
        </mc:AlternateContent>
      </w:r>
      <w:r w:rsidR="00681A8E" w:rsidRPr="00E87295">
        <w:rPr>
          <w:noProof/>
          <w:sz w:val="22"/>
          <w:szCs w:val="22"/>
        </w:rPr>
        <w:drawing>
          <wp:inline distT="0" distB="0" distL="0" distR="0" wp14:anchorId="705F0C41" wp14:editId="4CE20661">
            <wp:extent cx="5623560" cy="3291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6088" t="34544" r="26221" b="13174"/>
                    <a:stretch/>
                  </pic:blipFill>
                  <pic:spPr bwMode="auto">
                    <a:xfrm>
                      <a:off x="0" y="0"/>
                      <a:ext cx="5623560" cy="3291840"/>
                    </a:xfrm>
                    <a:prstGeom prst="rect">
                      <a:avLst/>
                    </a:prstGeom>
                    <a:ln>
                      <a:noFill/>
                    </a:ln>
                    <a:extLst>
                      <a:ext uri="{53640926-AAD7-44D8-BBD7-CCE9431645EC}">
                        <a14:shadowObscured xmlns:a14="http://schemas.microsoft.com/office/drawing/2010/main"/>
                      </a:ext>
                    </a:extLst>
                  </pic:spPr>
                </pic:pic>
              </a:graphicData>
            </a:graphic>
          </wp:inline>
        </w:drawing>
      </w:r>
    </w:p>
    <w:p w14:paraId="774A82A6" w14:textId="64155779" w:rsidR="0006393B" w:rsidRPr="00E87295" w:rsidRDefault="0006393B">
      <w:pPr>
        <w:spacing w:after="180"/>
        <w:ind w:left="20"/>
        <w:jc w:val="both"/>
        <w:rPr>
          <w:sz w:val="22"/>
          <w:szCs w:val="22"/>
          <w:lang w:val="sr-Latn-RS"/>
        </w:rPr>
      </w:pPr>
    </w:p>
    <w:p w14:paraId="008319D6" w14:textId="77777777" w:rsidR="0006393B" w:rsidRPr="00E87295" w:rsidRDefault="0006393B">
      <w:pPr>
        <w:spacing w:after="180"/>
        <w:ind w:left="20"/>
        <w:jc w:val="both"/>
        <w:rPr>
          <w:sz w:val="22"/>
          <w:szCs w:val="22"/>
          <w:lang w:val="sr-Latn-RS"/>
        </w:rPr>
      </w:pPr>
    </w:p>
    <w:p w14:paraId="4082E036" w14:textId="5CE01F1C" w:rsidR="007677A5" w:rsidRPr="00E87295" w:rsidRDefault="007677A5">
      <w:pPr>
        <w:spacing w:after="180"/>
        <w:ind w:left="20"/>
        <w:jc w:val="both"/>
        <w:rPr>
          <w:sz w:val="22"/>
          <w:szCs w:val="22"/>
          <w:lang w:val="sr-Latn-RS"/>
        </w:rPr>
      </w:pPr>
      <w:r w:rsidRPr="00E87295">
        <w:rPr>
          <w:sz w:val="22"/>
          <w:szCs w:val="22"/>
          <w:lang w:val="sr-Latn-RS"/>
        </w:rPr>
        <w:t xml:space="preserve">Efikasnost i bezbjednost guselkumaba dokazana je nezavisno od godina, pola, rase, tjelesne </w:t>
      </w:r>
      <w:r w:rsidR="000102B6" w:rsidRPr="00E87295">
        <w:rPr>
          <w:sz w:val="22"/>
          <w:szCs w:val="22"/>
          <w:lang w:val="sr-Latn-RS"/>
        </w:rPr>
        <w:t>mase</w:t>
      </w:r>
      <w:r w:rsidRPr="00E87295">
        <w:rPr>
          <w:sz w:val="22"/>
          <w:szCs w:val="22"/>
          <w:lang w:val="sr-Latn-RS"/>
        </w:rPr>
        <w:t>, lokacije lezija, početne težine bolesti prema rezultatu PASI, istovremenog psorijatičnog artritisa i prethodnog liječenja biološkom terapijom. Guselkumab je bio efikasan kod pacijenata koji prethodno ni</w:t>
      </w:r>
      <w:r w:rsidR="0006684F" w:rsidRPr="00E87295">
        <w:rPr>
          <w:sz w:val="22"/>
          <w:szCs w:val="22"/>
          <w:lang w:val="sr-Latn-RS"/>
        </w:rPr>
        <w:t>je</w:t>
      </w:r>
      <w:r w:rsidRPr="00E87295">
        <w:rPr>
          <w:sz w:val="22"/>
          <w:szCs w:val="22"/>
          <w:lang w:val="sr-Latn-RS"/>
        </w:rPr>
        <w:t>su primali konvencionalnu sistemsku terapiju, onih koji prethodno ni</w:t>
      </w:r>
      <w:r w:rsidR="000102B6" w:rsidRPr="00E87295">
        <w:rPr>
          <w:sz w:val="22"/>
          <w:szCs w:val="22"/>
          <w:lang w:val="sr-Latn-RS"/>
        </w:rPr>
        <w:t>je</w:t>
      </w:r>
      <w:r w:rsidRPr="00E87295">
        <w:rPr>
          <w:sz w:val="22"/>
          <w:szCs w:val="22"/>
          <w:lang w:val="sr-Latn-RS"/>
        </w:rPr>
        <w:t>su primali biološku terapiju i pacijenata koji su prethodno bili izloženi biološkim ljekovima.</w:t>
      </w:r>
    </w:p>
    <w:p w14:paraId="77E05DAB" w14:textId="7C047635" w:rsidR="0006393B" w:rsidRPr="00C929E2" w:rsidRDefault="007677A5">
      <w:pPr>
        <w:spacing w:after="180"/>
        <w:ind w:left="20"/>
        <w:jc w:val="both"/>
        <w:rPr>
          <w:sz w:val="22"/>
          <w:szCs w:val="22"/>
          <w:lang w:val="sr-Latn-RS"/>
        </w:rPr>
      </w:pPr>
      <w:r w:rsidRPr="00E87295">
        <w:rPr>
          <w:sz w:val="22"/>
          <w:szCs w:val="22"/>
          <w:lang w:val="sr-Latn-RS"/>
        </w:rPr>
        <w:t>Tokom 48. ned</w:t>
      </w:r>
      <w:r w:rsidR="000102B6" w:rsidRPr="00E87295">
        <w:rPr>
          <w:sz w:val="22"/>
          <w:szCs w:val="22"/>
          <w:lang w:val="sr-Latn-RS"/>
        </w:rPr>
        <w:t>j</w:t>
      </w:r>
      <w:r w:rsidRPr="00E87295">
        <w:rPr>
          <w:sz w:val="22"/>
          <w:szCs w:val="22"/>
          <w:lang w:val="sr-Latn-RS"/>
        </w:rPr>
        <w:t>elje kliničkog ispitivanja VOYAGE 2, odgovor PASI 90 postiglo je 88,6% pacijenata koji su primali guselkumab kao terapiju održavanja, u poređenju sa 36,8% onih kojima je terapija obustavljena 28. ned</w:t>
      </w:r>
      <w:r w:rsidR="000102B6" w:rsidRPr="00E87295">
        <w:rPr>
          <w:sz w:val="22"/>
          <w:szCs w:val="22"/>
          <w:lang w:val="sr-Latn-RS"/>
        </w:rPr>
        <w:t>j</w:t>
      </w:r>
      <w:r w:rsidRPr="00E87295">
        <w:rPr>
          <w:sz w:val="22"/>
          <w:szCs w:val="22"/>
          <w:lang w:val="sr-Latn-RS"/>
        </w:rPr>
        <w:t>elje (p &lt; 0,001). Gubitak odgovora PASI 90 je zabilježen već 4 ned</w:t>
      </w:r>
      <w:r w:rsidR="000102B6" w:rsidRPr="00E87295">
        <w:rPr>
          <w:sz w:val="22"/>
          <w:szCs w:val="22"/>
          <w:lang w:val="sr-Latn-RS"/>
        </w:rPr>
        <w:t>j</w:t>
      </w:r>
      <w:r w:rsidRPr="00E87295">
        <w:rPr>
          <w:sz w:val="22"/>
          <w:szCs w:val="22"/>
          <w:lang w:val="sr-Latn-RS"/>
        </w:rPr>
        <w:t>elje poslije  obustave terapije guselkumabom, a medijana vremena do gubitka odgovora PASI 90 iznosila je približno 15 ned</w:t>
      </w:r>
      <w:r w:rsidR="000102B6" w:rsidRPr="00E87295">
        <w:rPr>
          <w:sz w:val="22"/>
          <w:szCs w:val="22"/>
          <w:lang w:val="sr-Latn-RS"/>
        </w:rPr>
        <w:t>j</w:t>
      </w:r>
      <w:r w:rsidRPr="00E87295">
        <w:rPr>
          <w:sz w:val="22"/>
          <w:szCs w:val="22"/>
          <w:lang w:val="sr-Latn-RS"/>
        </w:rPr>
        <w:t>elja.</w:t>
      </w:r>
      <w:r w:rsidR="0006393B" w:rsidRPr="00C929E2">
        <w:rPr>
          <w:sz w:val="22"/>
          <w:szCs w:val="22"/>
          <w:lang w:val="sr-Latn-RS"/>
        </w:rPr>
        <w:t>Kod pacijenata kod kojih je prim</w:t>
      </w:r>
      <w:r w:rsidR="008A303B" w:rsidRPr="00C929E2">
        <w:rPr>
          <w:sz w:val="22"/>
          <w:szCs w:val="22"/>
          <w:lang w:val="sr-Latn-RS"/>
        </w:rPr>
        <w:t>j</w:t>
      </w:r>
      <w:r w:rsidR="0006393B" w:rsidRPr="00C929E2">
        <w:rPr>
          <w:sz w:val="22"/>
          <w:szCs w:val="22"/>
          <w:lang w:val="sr-Latn-RS"/>
        </w:rPr>
        <w:t>ena guselkumaba bila prekinuta a nakon toga je prim</w:t>
      </w:r>
      <w:r w:rsidR="008A303B" w:rsidRPr="00C929E2">
        <w:rPr>
          <w:sz w:val="22"/>
          <w:szCs w:val="22"/>
          <w:lang w:val="sr-Latn-RS"/>
        </w:rPr>
        <w:t>j</w:t>
      </w:r>
      <w:r w:rsidR="0006393B" w:rsidRPr="00C929E2">
        <w:rPr>
          <w:sz w:val="22"/>
          <w:szCs w:val="22"/>
          <w:lang w:val="sr-Latn-RS"/>
        </w:rPr>
        <w:t>ena guselkumaba ponovo započeta, 80% je ponovo dostiglo odgovor PASI 90 a prema proc</w:t>
      </w:r>
      <w:r w:rsidR="008A303B" w:rsidRPr="00C929E2">
        <w:rPr>
          <w:sz w:val="22"/>
          <w:szCs w:val="22"/>
          <w:lang w:val="sr-Latn-RS"/>
        </w:rPr>
        <w:t>j</w:t>
      </w:r>
      <w:r w:rsidR="0006393B" w:rsidRPr="00C929E2">
        <w:rPr>
          <w:sz w:val="22"/>
          <w:szCs w:val="22"/>
          <w:lang w:val="sr-Latn-RS"/>
        </w:rPr>
        <w:t>eni u 20-oj ned</w:t>
      </w:r>
      <w:r w:rsidR="004C56CA" w:rsidRPr="00C929E2">
        <w:rPr>
          <w:sz w:val="22"/>
          <w:szCs w:val="22"/>
          <w:lang w:val="sr-Latn-RS"/>
        </w:rPr>
        <w:t>j</w:t>
      </w:r>
      <w:r w:rsidR="0006393B" w:rsidRPr="00C929E2">
        <w:rPr>
          <w:sz w:val="22"/>
          <w:szCs w:val="22"/>
          <w:lang w:val="sr-Latn-RS"/>
        </w:rPr>
        <w:t>elji od započinjanja ponovne prim</w:t>
      </w:r>
      <w:r w:rsidR="008A303B" w:rsidRPr="00C929E2">
        <w:rPr>
          <w:sz w:val="22"/>
          <w:szCs w:val="22"/>
          <w:lang w:val="sr-Latn-RS"/>
        </w:rPr>
        <w:t>j</w:t>
      </w:r>
      <w:r w:rsidR="0006393B" w:rsidRPr="00C929E2">
        <w:rPr>
          <w:sz w:val="22"/>
          <w:szCs w:val="22"/>
          <w:lang w:val="sr-Latn-RS"/>
        </w:rPr>
        <w:t>ene.</w:t>
      </w:r>
    </w:p>
    <w:p w14:paraId="75765D8F" w14:textId="77777777" w:rsidR="007677A5" w:rsidRPr="00E87295" w:rsidRDefault="0006393B">
      <w:pPr>
        <w:spacing w:after="180"/>
        <w:ind w:left="20"/>
        <w:jc w:val="both"/>
        <w:rPr>
          <w:sz w:val="22"/>
          <w:szCs w:val="22"/>
          <w:lang w:val="sr-Latn-RS"/>
        </w:rPr>
      </w:pPr>
      <w:r w:rsidRPr="00C929E2">
        <w:rPr>
          <w:sz w:val="22"/>
          <w:szCs w:val="22"/>
          <w:lang w:val="sr-Latn-RS"/>
        </w:rPr>
        <w:t>U kliničkom ispitivanju VOYAGE 2, od 112 pacijenata randomizovanih u grupu koja je primala adalimumab koji ni</w:t>
      </w:r>
      <w:r w:rsidR="008A303B" w:rsidRPr="00C929E2">
        <w:rPr>
          <w:sz w:val="22"/>
          <w:szCs w:val="22"/>
          <w:lang w:val="sr-Latn-RS"/>
        </w:rPr>
        <w:t>je</w:t>
      </w:r>
      <w:r w:rsidRPr="00C929E2">
        <w:rPr>
          <w:sz w:val="22"/>
          <w:szCs w:val="22"/>
          <w:lang w:val="sr-Latn-RS"/>
        </w:rPr>
        <w:t>su usp</w:t>
      </w:r>
      <w:r w:rsidR="008A303B" w:rsidRPr="00C929E2">
        <w:rPr>
          <w:sz w:val="22"/>
          <w:szCs w:val="22"/>
          <w:lang w:val="sr-Latn-RS"/>
        </w:rPr>
        <w:t>j</w:t>
      </w:r>
      <w:r w:rsidRPr="00C929E2">
        <w:rPr>
          <w:sz w:val="22"/>
          <w:szCs w:val="22"/>
          <w:lang w:val="sr-Latn-RS"/>
        </w:rPr>
        <w:t>eli da postignu odgovor PASI 90 do 28. ned</w:t>
      </w:r>
      <w:r w:rsidR="004C56CA" w:rsidRPr="00C929E2">
        <w:rPr>
          <w:sz w:val="22"/>
          <w:szCs w:val="22"/>
          <w:lang w:val="sr-Latn-RS"/>
        </w:rPr>
        <w:t>j</w:t>
      </w:r>
      <w:r w:rsidRPr="00C929E2">
        <w:rPr>
          <w:sz w:val="22"/>
          <w:szCs w:val="22"/>
          <w:lang w:val="sr-Latn-RS"/>
        </w:rPr>
        <w:t>elje, njih 66% postiglo je odgovor PASI 90 posl</w:t>
      </w:r>
      <w:r w:rsidR="008A303B" w:rsidRPr="00C929E2">
        <w:rPr>
          <w:sz w:val="22"/>
          <w:szCs w:val="22"/>
          <w:lang w:val="sr-Latn-RS"/>
        </w:rPr>
        <w:t>ij</w:t>
      </w:r>
      <w:r w:rsidRPr="00C929E2">
        <w:rPr>
          <w:sz w:val="22"/>
          <w:szCs w:val="22"/>
          <w:lang w:val="sr-Latn-RS"/>
        </w:rPr>
        <w:t>e 20 ned</w:t>
      </w:r>
      <w:r w:rsidR="004C56CA" w:rsidRPr="00C929E2">
        <w:rPr>
          <w:sz w:val="22"/>
          <w:szCs w:val="22"/>
          <w:lang w:val="sr-Latn-RS"/>
        </w:rPr>
        <w:t>j</w:t>
      </w:r>
      <w:r w:rsidRPr="00C929E2">
        <w:rPr>
          <w:sz w:val="22"/>
          <w:szCs w:val="22"/>
          <w:lang w:val="sr-Latn-RS"/>
        </w:rPr>
        <w:t>elja l</w:t>
      </w:r>
      <w:r w:rsidR="008A303B" w:rsidRPr="00C929E2">
        <w:rPr>
          <w:sz w:val="22"/>
          <w:szCs w:val="22"/>
          <w:lang w:val="sr-Latn-RS"/>
        </w:rPr>
        <w:t>ij</w:t>
      </w:r>
      <w:r w:rsidRPr="00C929E2">
        <w:rPr>
          <w:sz w:val="22"/>
          <w:szCs w:val="22"/>
          <w:lang w:val="sr-Latn-RS"/>
        </w:rPr>
        <w:t>ečenja guselkumabom, a 76% je postiglo ogovor PASI 90 posl</w:t>
      </w:r>
      <w:r w:rsidR="008A303B" w:rsidRPr="00C929E2">
        <w:rPr>
          <w:sz w:val="22"/>
          <w:szCs w:val="22"/>
          <w:lang w:val="sr-Latn-RS"/>
        </w:rPr>
        <w:t>ij</w:t>
      </w:r>
      <w:r w:rsidRPr="00C929E2">
        <w:rPr>
          <w:sz w:val="22"/>
          <w:szCs w:val="22"/>
          <w:lang w:val="sr-Latn-RS"/>
        </w:rPr>
        <w:t>e 44 ned</w:t>
      </w:r>
      <w:r w:rsidR="004C56CA" w:rsidRPr="00C929E2">
        <w:rPr>
          <w:sz w:val="22"/>
          <w:szCs w:val="22"/>
          <w:lang w:val="sr-Latn-RS"/>
        </w:rPr>
        <w:t>j</w:t>
      </w:r>
      <w:r w:rsidRPr="00C929E2">
        <w:rPr>
          <w:sz w:val="22"/>
          <w:szCs w:val="22"/>
          <w:lang w:val="sr-Latn-RS"/>
        </w:rPr>
        <w:t>elje l</w:t>
      </w:r>
      <w:r w:rsidR="008A303B" w:rsidRPr="00C929E2">
        <w:rPr>
          <w:sz w:val="22"/>
          <w:szCs w:val="22"/>
          <w:lang w:val="sr-Latn-RS"/>
        </w:rPr>
        <w:t>ij</w:t>
      </w:r>
      <w:r w:rsidRPr="00C929E2">
        <w:rPr>
          <w:sz w:val="22"/>
          <w:szCs w:val="22"/>
          <w:lang w:val="sr-Latn-RS"/>
        </w:rPr>
        <w:t>ečenja guselkumabom. Dodatno, od 95 pacijanata radnomizovanih u grupu koja je primala guselkumab koji ni</w:t>
      </w:r>
      <w:r w:rsidR="008A303B" w:rsidRPr="00C929E2">
        <w:rPr>
          <w:sz w:val="22"/>
          <w:szCs w:val="22"/>
          <w:lang w:val="sr-Latn-RS"/>
        </w:rPr>
        <w:t>je</w:t>
      </w:r>
      <w:r w:rsidRPr="00C929E2">
        <w:rPr>
          <w:sz w:val="22"/>
          <w:szCs w:val="22"/>
          <w:lang w:val="sr-Latn-RS"/>
        </w:rPr>
        <w:t>su postigli odgovor PASI 90 u 28. ned</w:t>
      </w:r>
      <w:r w:rsidR="004C56CA" w:rsidRPr="00C929E2">
        <w:rPr>
          <w:sz w:val="22"/>
          <w:szCs w:val="22"/>
          <w:lang w:val="sr-Latn-RS"/>
        </w:rPr>
        <w:t>j</w:t>
      </w:r>
      <w:r w:rsidRPr="00C929E2">
        <w:rPr>
          <w:sz w:val="22"/>
          <w:szCs w:val="22"/>
          <w:lang w:val="sr-Latn-RS"/>
        </w:rPr>
        <w:t>elji, 36% je postiglo odgovor PASI 90 nakon dodatnih 20 ned</w:t>
      </w:r>
      <w:r w:rsidR="004C56CA" w:rsidRPr="00C929E2">
        <w:rPr>
          <w:sz w:val="22"/>
          <w:szCs w:val="22"/>
          <w:lang w:val="sr-Latn-RS"/>
        </w:rPr>
        <w:t>j</w:t>
      </w:r>
      <w:r w:rsidRPr="00C929E2">
        <w:rPr>
          <w:sz w:val="22"/>
          <w:szCs w:val="22"/>
          <w:lang w:val="sr-Latn-RS"/>
        </w:rPr>
        <w:t>elja nastavka l</w:t>
      </w:r>
      <w:r w:rsidR="008A303B" w:rsidRPr="00C929E2">
        <w:rPr>
          <w:sz w:val="22"/>
          <w:szCs w:val="22"/>
          <w:lang w:val="sr-Latn-RS"/>
        </w:rPr>
        <w:t>ij</w:t>
      </w:r>
      <w:r w:rsidRPr="00C929E2">
        <w:rPr>
          <w:sz w:val="22"/>
          <w:szCs w:val="22"/>
          <w:lang w:val="sr-Latn-RS"/>
        </w:rPr>
        <w:t>ečenja guselkumabom, a 41% je postiglo odgovor PASI 90 nakon dodatnih 44 ned</w:t>
      </w:r>
      <w:r w:rsidR="004C56CA" w:rsidRPr="00C929E2">
        <w:rPr>
          <w:sz w:val="22"/>
          <w:szCs w:val="22"/>
          <w:lang w:val="sr-Latn-RS"/>
        </w:rPr>
        <w:t>j</w:t>
      </w:r>
      <w:r w:rsidRPr="00C929E2">
        <w:rPr>
          <w:sz w:val="22"/>
          <w:szCs w:val="22"/>
          <w:lang w:val="sr-Latn-RS"/>
        </w:rPr>
        <w:t>elja nastavka l</w:t>
      </w:r>
      <w:r w:rsidR="008A303B" w:rsidRPr="00C929E2">
        <w:rPr>
          <w:sz w:val="22"/>
          <w:szCs w:val="22"/>
          <w:lang w:val="sr-Latn-RS"/>
        </w:rPr>
        <w:t>ij</w:t>
      </w:r>
      <w:r w:rsidRPr="00C929E2">
        <w:rPr>
          <w:sz w:val="22"/>
          <w:szCs w:val="22"/>
          <w:lang w:val="sr-Latn-RS"/>
        </w:rPr>
        <w:t xml:space="preserve">ečenja guselkumabom. </w:t>
      </w:r>
      <w:r w:rsidR="007677A5" w:rsidRPr="00E87295">
        <w:rPr>
          <w:sz w:val="22"/>
          <w:szCs w:val="22"/>
          <w:lang w:val="sr-Latn-RS"/>
        </w:rPr>
        <w:t>Kod pacijenata koji su prešli sa adalimumaba na guselkumab ni</w:t>
      </w:r>
      <w:r w:rsidR="000102B6" w:rsidRPr="00E87295">
        <w:rPr>
          <w:sz w:val="22"/>
          <w:szCs w:val="22"/>
          <w:lang w:val="sr-Latn-RS"/>
        </w:rPr>
        <w:t>je</w:t>
      </w:r>
      <w:r w:rsidR="007677A5" w:rsidRPr="00E87295">
        <w:rPr>
          <w:sz w:val="22"/>
          <w:szCs w:val="22"/>
          <w:lang w:val="sr-Latn-RS"/>
        </w:rPr>
        <w:t>su zabilježeni novi nalazi vezani za bezbjednost.</w:t>
      </w:r>
    </w:p>
    <w:p w14:paraId="58F01B47" w14:textId="77777777" w:rsidR="007677A5" w:rsidRPr="00E87295" w:rsidRDefault="007677A5">
      <w:pPr>
        <w:pStyle w:val="Bodytext30"/>
        <w:shd w:val="clear" w:color="auto" w:fill="auto"/>
        <w:spacing w:before="0" w:line="240" w:lineRule="auto"/>
        <w:ind w:left="560"/>
        <w:jc w:val="both"/>
        <w:rPr>
          <w:i/>
          <w:sz w:val="22"/>
          <w:szCs w:val="22"/>
          <w:u w:val="single"/>
          <w:lang w:val="sr-Latn-RS"/>
        </w:rPr>
      </w:pPr>
      <w:r w:rsidRPr="00E87295">
        <w:rPr>
          <w:i/>
          <w:sz w:val="22"/>
          <w:szCs w:val="22"/>
          <w:u w:val="single"/>
          <w:lang w:val="sr-Latn-RS"/>
        </w:rPr>
        <w:t>Regionalna zahvaćenost</w:t>
      </w:r>
    </w:p>
    <w:p w14:paraId="0E535507" w14:textId="52C1FD72" w:rsidR="007677A5" w:rsidRPr="00E87295" w:rsidRDefault="007677A5">
      <w:pPr>
        <w:pStyle w:val="Header"/>
        <w:tabs>
          <w:tab w:val="left" w:pos="284"/>
        </w:tabs>
        <w:jc w:val="both"/>
        <w:rPr>
          <w:sz w:val="22"/>
          <w:szCs w:val="22"/>
          <w:lang w:val="sr-Latn-RS"/>
        </w:rPr>
      </w:pPr>
      <w:r w:rsidRPr="00E87295">
        <w:rPr>
          <w:sz w:val="22"/>
          <w:szCs w:val="22"/>
          <w:lang w:val="sr-Latn-RS"/>
        </w:rPr>
        <w:t>U  16. ned</w:t>
      </w:r>
      <w:r w:rsidR="003F641E" w:rsidRPr="00E87295">
        <w:rPr>
          <w:sz w:val="22"/>
          <w:szCs w:val="22"/>
          <w:lang w:val="sr-Latn-RS"/>
        </w:rPr>
        <w:t>j</w:t>
      </w:r>
      <w:r w:rsidRPr="00E87295">
        <w:rPr>
          <w:sz w:val="22"/>
          <w:szCs w:val="22"/>
          <w:lang w:val="sr-Latn-RS"/>
        </w:rPr>
        <w:t>elji kliničkog ispitivanja VOYAGE 1 i 2 zabilježena su značajna poboljšanja u psorijazom zahvaćeni</w:t>
      </w:r>
      <w:r w:rsidR="003F641E" w:rsidRPr="00E87295">
        <w:rPr>
          <w:sz w:val="22"/>
          <w:szCs w:val="22"/>
          <w:lang w:val="sr-Latn-RS"/>
        </w:rPr>
        <w:t>m</w:t>
      </w:r>
      <w:r w:rsidRPr="00E87295">
        <w:rPr>
          <w:sz w:val="22"/>
          <w:szCs w:val="22"/>
          <w:lang w:val="sr-Latn-RS"/>
        </w:rPr>
        <w:t xml:space="preserve"> djelov</w:t>
      </w:r>
      <w:r w:rsidR="003F641E" w:rsidRPr="00E87295">
        <w:rPr>
          <w:sz w:val="22"/>
          <w:szCs w:val="22"/>
          <w:lang w:val="sr-Latn-RS"/>
        </w:rPr>
        <w:t>ima</w:t>
      </w:r>
      <w:r w:rsidRPr="00E87295">
        <w:rPr>
          <w:sz w:val="22"/>
          <w:szCs w:val="22"/>
          <w:lang w:val="sr-Latn-RS"/>
        </w:rPr>
        <w:t xml:space="preserve"> uključujući kosmati dio glave, šake i stopala, i nokte (što je mjereno opštom procjenom kosmatog dijela glave od strane ispitivača [engl.</w:t>
      </w:r>
      <w:r w:rsidRPr="00E87295">
        <w:rPr>
          <w:rStyle w:val="BodytextItalic"/>
          <w:sz w:val="22"/>
          <w:szCs w:val="22"/>
          <w:lang w:val="sr-Latn-RS"/>
        </w:rPr>
        <w:t xml:space="preserve"> Scalp-specific Investigator Global Assessment,</w:t>
      </w:r>
      <w:r w:rsidRPr="00E87295">
        <w:rPr>
          <w:sz w:val="22"/>
          <w:szCs w:val="22"/>
          <w:lang w:val="sr-Latn-RS"/>
        </w:rPr>
        <w:t xml:space="preserve"> ss-IGA], opštom procjenom šaka i/ili stopala od strane ljekara [engl. </w:t>
      </w:r>
      <w:r w:rsidRPr="00E87295">
        <w:rPr>
          <w:rStyle w:val="BodytextItalic"/>
          <w:sz w:val="22"/>
          <w:szCs w:val="22"/>
          <w:lang w:val="sr-Latn-RS"/>
        </w:rPr>
        <w:t>Physician's Global Assessment of Hands and/or Feet,</w:t>
      </w:r>
      <w:r w:rsidRPr="00E87295">
        <w:rPr>
          <w:sz w:val="22"/>
          <w:szCs w:val="22"/>
          <w:lang w:val="sr-Latn-RS"/>
        </w:rPr>
        <w:t xml:space="preserve"> hf-PGA], opštom procjenom noktiju na prstima ruku od strane ljekara [engl.</w:t>
      </w:r>
      <w:r w:rsidRPr="00E87295">
        <w:rPr>
          <w:rStyle w:val="BodytextItalic"/>
          <w:sz w:val="22"/>
          <w:szCs w:val="22"/>
          <w:lang w:val="sr-Latn-RS"/>
        </w:rPr>
        <w:t xml:space="preserve"> Fingernail Physician 's Global Assessment,</w:t>
      </w:r>
      <w:r w:rsidRPr="00E87295">
        <w:rPr>
          <w:sz w:val="22"/>
          <w:szCs w:val="22"/>
          <w:lang w:val="sr-Latn-RS"/>
        </w:rPr>
        <w:t xml:space="preserve"> f-PGA] odnosno indeksom težine psorijaze noktiju [engl.</w:t>
      </w:r>
      <w:r w:rsidRPr="00E87295">
        <w:rPr>
          <w:rStyle w:val="BodytextItalic"/>
          <w:sz w:val="22"/>
          <w:szCs w:val="22"/>
          <w:lang w:val="sr-Latn-RS"/>
        </w:rPr>
        <w:t xml:space="preserve"> Nail Psoriasis Severity Index,</w:t>
      </w:r>
      <w:r w:rsidRPr="00E87295">
        <w:rPr>
          <w:sz w:val="22"/>
          <w:szCs w:val="22"/>
          <w:lang w:val="sr-Latn-RS"/>
        </w:rPr>
        <w:t xml:space="preserve"> NAPSI],) kod pacijenata liječenih guselkumabom u odnosu na one koji su primali placebo (p &lt; 0,001, Tabela </w:t>
      </w:r>
      <w:r w:rsidR="001A5B54" w:rsidRPr="00E87295">
        <w:rPr>
          <w:sz w:val="22"/>
          <w:szCs w:val="22"/>
          <w:lang w:val="sr-Latn-RS"/>
        </w:rPr>
        <w:t>4</w:t>
      </w:r>
      <w:r w:rsidRPr="00E87295">
        <w:rPr>
          <w:sz w:val="22"/>
          <w:szCs w:val="22"/>
          <w:lang w:val="sr-Latn-RS"/>
        </w:rPr>
        <w:t>). Guselkumab se pokazao superiornim u odnosu na adalimumab kod psorijaze kosmatog dijela glave, šaka i stopala u 24. ned</w:t>
      </w:r>
      <w:r w:rsidR="000102B6" w:rsidRPr="00E87295">
        <w:rPr>
          <w:sz w:val="22"/>
          <w:szCs w:val="22"/>
          <w:lang w:val="sr-Latn-RS"/>
        </w:rPr>
        <w:t>j</w:t>
      </w:r>
      <w:r w:rsidRPr="00E87295">
        <w:rPr>
          <w:sz w:val="22"/>
          <w:szCs w:val="22"/>
          <w:lang w:val="sr-Latn-RS"/>
        </w:rPr>
        <w:t>elji (VOYAGE 1 i 2) i 48. ned</w:t>
      </w:r>
      <w:r w:rsidR="000102B6" w:rsidRPr="00E87295">
        <w:rPr>
          <w:sz w:val="22"/>
          <w:szCs w:val="22"/>
          <w:lang w:val="sr-Latn-RS"/>
        </w:rPr>
        <w:t>j</w:t>
      </w:r>
      <w:r w:rsidRPr="00E87295">
        <w:rPr>
          <w:sz w:val="22"/>
          <w:szCs w:val="22"/>
          <w:lang w:val="sr-Latn-RS"/>
        </w:rPr>
        <w:t xml:space="preserve">elji (VOYAGE 1) (p </w:t>
      </w:r>
      <w:r w:rsidR="003F641E" w:rsidRPr="00E87295">
        <w:rPr>
          <w:sz w:val="22"/>
          <w:szCs w:val="22"/>
          <w:lang w:val="sr-Latn-RS"/>
        </w:rPr>
        <w:t>≤</w:t>
      </w:r>
      <w:r w:rsidRPr="00E87295">
        <w:rPr>
          <w:sz w:val="22"/>
          <w:szCs w:val="22"/>
          <w:lang w:val="sr-Latn-RS"/>
        </w:rPr>
        <w:t xml:space="preserve"> 0,001, osim za psorijazu šaka i stopala u 24. ned</w:t>
      </w:r>
      <w:r w:rsidR="000102B6" w:rsidRPr="00E87295">
        <w:rPr>
          <w:sz w:val="22"/>
          <w:szCs w:val="22"/>
          <w:lang w:val="sr-Latn-RS"/>
        </w:rPr>
        <w:t>j</w:t>
      </w:r>
      <w:r w:rsidRPr="00E87295">
        <w:rPr>
          <w:sz w:val="22"/>
          <w:szCs w:val="22"/>
          <w:lang w:val="sr-Latn-RS"/>
        </w:rPr>
        <w:t>elji [VOYAGE 2] i 48. ned</w:t>
      </w:r>
      <w:r w:rsidR="000102B6" w:rsidRPr="00E87295">
        <w:rPr>
          <w:sz w:val="22"/>
          <w:szCs w:val="22"/>
          <w:lang w:val="sr-Latn-RS"/>
        </w:rPr>
        <w:t>j</w:t>
      </w:r>
      <w:r w:rsidRPr="00E87295">
        <w:rPr>
          <w:sz w:val="22"/>
          <w:szCs w:val="22"/>
          <w:lang w:val="sr-Latn-RS"/>
        </w:rPr>
        <w:t>elji [VOYAGE 1], p &lt; 0,05).</w:t>
      </w:r>
    </w:p>
    <w:p w14:paraId="2DF1A60A" w14:textId="77777777" w:rsidR="007677A5" w:rsidRPr="00E87295" w:rsidRDefault="007677A5">
      <w:pPr>
        <w:pStyle w:val="Header"/>
        <w:tabs>
          <w:tab w:val="left" w:pos="284"/>
        </w:tabs>
        <w:jc w:val="both"/>
        <w:rPr>
          <w:sz w:val="22"/>
          <w:szCs w:val="22"/>
          <w:lang w:val="sr-Latn-RS"/>
        </w:rPr>
      </w:pPr>
    </w:p>
    <w:p w14:paraId="2A7BA5D3" w14:textId="2AAA9250"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bookmarkStart w:id="2" w:name="bookmark15"/>
      <w:r w:rsidRPr="00E87295">
        <w:rPr>
          <w:b/>
          <w:sz w:val="22"/>
          <w:szCs w:val="22"/>
          <w:lang w:val="sr-Latn-RS"/>
        </w:rPr>
        <w:t xml:space="preserve">Tabela </w:t>
      </w:r>
      <w:r w:rsidR="001A5B54" w:rsidRPr="00E87295">
        <w:rPr>
          <w:b/>
          <w:sz w:val="22"/>
          <w:szCs w:val="22"/>
          <w:lang w:val="sr-Latn-RS"/>
        </w:rPr>
        <w:t>4</w:t>
      </w:r>
      <w:r w:rsidRPr="00E87295">
        <w:rPr>
          <w:b/>
          <w:sz w:val="22"/>
          <w:szCs w:val="22"/>
          <w:lang w:val="sr-Latn-RS"/>
        </w:rPr>
        <w:t>: Sažeti prikaz odgovora kod regionalne zahvaćenosti u kliničkim ispitivanjima VOYAGE 1 i VOYAGE 2</w:t>
      </w:r>
      <w:bookmarkEnd w:id="2"/>
    </w:p>
    <w:p w14:paraId="64956179"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p>
    <w:tbl>
      <w:tblPr>
        <w:tblStyle w:val="TableGrid"/>
        <w:tblW w:w="9227" w:type="dxa"/>
        <w:tblInd w:w="0" w:type="dxa"/>
        <w:tblLook w:val="04A0" w:firstRow="1" w:lastRow="0" w:firstColumn="1" w:lastColumn="0" w:noHBand="0" w:noVBand="1"/>
      </w:tblPr>
      <w:tblGrid>
        <w:gridCol w:w="1409"/>
        <w:gridCol w:w="1022"/>
        <w:gridCol w:w="1359"/>
        <w:gridCol w:w="1398"/>
        <w:gridCol w:w="1113"/>
        <w:gridCol w:w="1359"/>
        <w:gridCol w:w="1567"/>
      </w:tblGrid>
      <w:tr w:rsidR="007677A5" w:rsidRPr="00E87295" w14:paraId="55471C15" w14:textId="77777777" w:rsidTr="007677A5">
        <w:trPr>
          <w:trHeight w:val="228"/>
        </w:trPr>
        <w:tc>
          <w:tcPr>
            <w:tcW w:w="1409" w:type="dxa"/>
            <w:vMerge w:val="restart"/>
            <w:tcBorders>
              <w:top w:val="single" w:sz="4" w:space="0" w:color="auto"/>
              <w:left w:val="single" w:sz="4" w:space="0" w:color="auto"/>
              <w:bottom w:val="single" w:sz="4" w:space="0" w:color="auto"/>
              <w:right w:val="single" w:sz="4" w:space="0" w:color="auto"/>
            </w:tcBorders>
          </w:tcPr>
          <w:p w14:paraId="51C94648"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p>
        </w:tc>
        <w:tc>
          <w:tcPr>
            <w:tcW w:w="3779" w:type="dxa"/>
            <w:gridSpan w:val="3"/>
            <w:tcBorders>
              <w:top w:val="single" w:sz="4" w:space="0" w:color="auto"/>
              <w:left w:val="single" w:sz="4" w:space="0" w:color="auto"/>
              <w:bottom w:val="nil"/>
              <w:right w:val="single" w:sz="4" w:space="0" w:color="auto"/>
            </w:tcBorders>
            <w:hideMark/>
          </w:tcPr>
          <w:p w14:paraId="319A2481" w14:textId="77777777" w:rsidR="007677A5" w:rsidRPr="00E87295" w:rsidRDefault="007677A5" w:rsidP="00E87295">
            <w:pPr>
              <w:pStyle w:val="Heading50"/>
              <w:keepNext/>
              <w:keepLines/>
              <w:shd w:val="clear" w:color="auto" w:fill="auto"/>
              <w:spacing w:before="0" w:after="0" w:line="240" w:lineRule="auto"/>
              <w:ind w:firstLine="0"/>
              <w:jc w:val="center"/>
              <w:rPr>
                <w:b/>
                <w:sz w:val="22"/>
                <w:szCs w:val="22"/>
                <w:u w:val="single"/>
                <w:lang w:val="sr-Latn-RS"/>
              </w:rPr>
            </w:pPr>
            <w:r w:rsidRPr="00E87295">
              <w:rPr>
                <w:sz w:val="22"/>
                <w:szCs w:val="22"/>
                <w:u w:val="single"/>
                <w:lang w:val="sr-Latn-RS"/>
              </w:rPr>
              <w:t>VOYAGE1</w:t>
            </w:r>
          </w:p>
        </w:tc>
        <w:tc>
          <w:tcPr>
            <w:tcW w:w="4038" w:type="dxa"/>
            <w:gridSpan w:val="3"/>
            <w:tcBorders>
              <w:top w:val="single" w:sz="4" w:space="0" w:color="auto"/>
              <w:left w:val="single" w:sz="4" w:space="0" w:color="auto"/>
              <w:bottom w:val="nil"/>
              <w:right w:val="single" w:sz="4" w:space="0" w:color="auto"/>
            </w:tcBorders>
            <w:hideMark/>
          </w:tcPr>
          <w:p w14:paraId="0177355F" w14:textId="77777777" w:rsidR="007677A5" w:rsidRPr="00E87295" w:rsidRDefault="007677A5" w:rsidP="00E87295">
            <w:pPr>
              <w:pStyle w:val="Heading50"/>
              <w:keepNext/>
              <w:keepLines/>
              <w:shd w:val="clear" w:color="auto" w:fill="auto"/>
              <w:spacing w:before="0" w:after="0" w:line="240" w:lineRule="auto"/>
              <w:ind w:firstLine="0"/>
              <w:jc w:val="center"/>
              <w:rPr>
                <w:b/>
                <w:sz w:val="22"/>
                <w:szCs w:val="22"/>
                <w:u w:val="single"/>
                <w:lang w:val="sr-Latn-RS"/>
              </w:rPr>
            </w:pPr>
            <w:r w:rsidRPr="00E87295">
              <w:rPr>
                <w:sz w:val="22"/>
                <w:szCs w:val="22"/>
                <w:u w:val="single"/>
                <w:lang w:val="sr-Latn-RS"/>
              </w:rPr>
              <w:t>VOYAGE 2</w:t>
            </w:r>
          </w:p>
        </w:tc>
      </w:tr>
      <w:tr w:rsidR="007677A5" w:rsidRPr="00E87295" w14:paraId="4E437193" w14:textId="77777777" w:rsidTr="007677A5">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D2FAB" w14:textId="77777777" w:rsidR="007677A5" w:rsidRPr="00E87295" w:rsidRDefault="007677A5">
            <w:pPr>
              <w:jc w:val="both"/>
              <w:rPr>
                <w:b/>
                <w:sz w:val="22"/>
                <w:szCs w:val="22"/>
                <w:lang w:val="sr-Latn-RS"/>
              </w:rPr>
            </w:pPr>
          </w:p>
        </w:tc>
        <w:tc>
          <w:tcPr>
            <w:tcW w:w="1022" w:type="dxa"/>
            <w:tcBorders>
              <w:top w:val="nil"/>
              <w:left w:val="single" w:sz="4" w:space="0" w:color="auto"/>
              <w:bottom w:val="single" w:sz="4" w:space="0" w:color="auto"/>
              <w:right w:val="single" w:sz="4" w:space="0" w:color="auto"/>
            </w:tcBorders>
            <w:hideMark/>
          </w:tcPr>
          <w:p w14:paraId="28EA707D"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Placebo</w:t>
            </w:r>
          </w:p>
        </w:tc>
        <w:tc>
          <w:tcPr>
            <w:tcW w:w="1359" w:type="dxa"/>
            <w:tcBorders>
              <w:top w:val="nil"/>
              <w:left w:val="single" w:sz="4" w:space="0" w:color="auto"/>
              <w:bottom w:val="single" w:sz="4" w:space="0" w:color="auto"/>
              <w:right w:val="single" w:sz="4" w:space="0" w:color="auto"/>
            </w:tcBorders>
            <w:hideMark/>
          </w:tcPr>
          <w:p w14:paraId="44EA3C2F"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Guselkumab</w:t>
            </w:r>
          </w:p>
        </w:tc>
        <w:tc>
          <w:tcPr>
            <w:tcW w:w="1396" w:type="dxa"/>
            <w:tcBorders>
              <w:top w:val="nil"/>
              <w:left w:val="single" w:sz="4" w:space="0" w:color="auto"/>
              <w:bottom w:val="single" w:sz="4" w:space="0" w:color="auto"/>
              <w:right w:val="single" w:sz="4" w:space="0" w:color="auto"/>
            </w:tcBorders>
            <w:hideMark/>
          </w:tcPr>
          <w:p w14:paraId="6913A991"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Adalimumab</w:t>
            </w:r>
          </w:p>
        </w:tc>
        <w:tc>
          <w:tcPr>
            <w:tcW w:w="1113" w:type="dxa"/>
            <w:tcBorders>
              <w:top w:val="nil"/>
              <w:left w:val="single" w:sz="4" w:space="0" w:color="auto"/>
              <w:bottom w:val="single" w:sz="4" w:space="0" w:color="auto"/>
              <w:right w:val="single" w:sz="4" w:space="0" w:color="auto"/>
            </w:tcBorders>
            <w:hideMark/>
          </w:tcPr>
          <w:p w14:paraId="325D1F5B"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Placebo</w:t>
            </w:r>
          </w:p>
        </w:tc>
        <w:tc>
          <w:tcPr>
            <w:tcW w:w="1359" w:type="dxa"/>
            <w:tcBorders>
              <w:top w:val="nil"/>
              <w:left w:val="single" w:sz="4" w:space="0" w:color="auto"/>
              <w:bottom w:val="single" w:sz="4" w:space="0" w:color="auto"/>
              <w:right w:val="single" w:sz="4" w:space="0" w:color="auto"/>
            </w:tcBorders>
            <w:hideMark/>
          </w:tcPr>
          <w:p w14:paraId="3988AD51"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Guselkumab</w:t>
            </w:r>
          </w:p>
        </w:tc>
        <w:tc>
          <w:tcPr>
            <w:tcW w:w="1565" w:type="dxa"/>
            <w:tcBorders>
              <w:top w:val="nil"/>
              <w:left w:val="single" w:sz="4" w:space="0" w:color="auto"/>
              <w:bottom w:val="single" w:sz="4" w:space="0" w:color="auto"/>
              <w:right w:val="single" w:sz="4" w:space="0" w:color="auto"/>
            </w:tcBorders>
            <w:hideMark/>
          </w:tcPr>
          <w:p w14:paraId="4B6DCC4D"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Adalimumab</w:t>
            </w:r>
          </w:p>
        </w:tc>
      </w:tr>
      <w:tr w:rsidR="007677A5" w:rsidRPr="00E87295" w14:paraId="24B318CD" w14:textId="77777777" w:rsidTr="007677A5">
        <w:trPr>
          <w:trHeight w:val="228"/>
        </w:trPr>
        <w:tc>
          <w:tcPr>
            <w:tcW w:w="1409" w:type="dxa"/>
            <w:tcBorders>
              <w:top w:val="single" w:sz="4" w:space="0" w:color="auto"/>
              <w:left w:val="single" w:sz="4" w:space="0" w:color="auto"/>
              <w:bottom w:val="nil"/>
              <w:right w:val="single" w:sz="4" w:space="0" w:color="auto"/>
            </w:tcBorders>
            <w:hideMark/>
          </w:tcPr>
          <w:p w14:paraId="0C68F8CF"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b/>
                <w:sz w:val="22"/>
                <w:szCs w:val="22"/>
                <w:lang w:val="sr-Latn-RS"/>
              </w:rPr>
              <w:lastRenderedPageBreak/>
              <w:t>ss-IGA (N)</w:t>
            </w:r>
            <w:r w:rsidRPr="00E87295">
              <w:rPr>
                <w:b/>
                <w:sz w:val="22"/>
                <w:szCs w:val="22"/>
                <w:vertAlign w:val="superscript"/>
                <w:lang w:val="sr-Latn-RS"/>
              </w:rPr>
              <w:t>a</w:t>
            </w:r>
          </w:p>
        </w:tc>
        <w:tc>
          <w:tcPr>
            <w:tcW w:w="1022" w:type="dxa"/>
            <w:tcBorders>
              <w:top w:val="single" w:sz="4" w:space="0" w:color="auto"/>
              <w:left w:val="single" w:sz="4" w:space="0" w:color="auto"/>
              <w:bottom w:val="nil"/>
              <w:right w:val="single" w:sz="4" w:space="0" w:color="auto"/>
            </w:tcBorders>
            <w:hideMark/>
          </w:tcPr>
          <w:p w14:paraId="321DDFF6"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145</w:t>
            </w:r>
          </w:p>
        </w:tc>
        <w:tc>
          <w:tcPr>
            <w:tcW w:w="1359" w:type="dxa"/>
            <w:tcBorders>
              <w:top w:val="single" w:sz="4" w:space="0" w:color="auto"/>
              <w:left w:val="single" w:sz="4" w:space="0" w:color="auto"/>
              <w:bottom w:val="nil"/>
              <w:right w:val="single" w:sz="4" w:space="0" w:color="auto"/>
            </w:tcBorders>
            <w:hideMark/>
          </w:tcPr>
          <w:p w14:paraId="3F25B423"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277</w:t>
            </w:r>
          </w:p>
        </w:tc>
        <w:tc>
          <w:tcPr>
            <w:tcW w:w="1396" w:type="dxa"/>
            <w:tcBorders>
              <w:top w:val="single" w:sz="4" w:space="0" w:color="auto"/>
              <w:left w:val="single" w:sz="4" w:space="0" w:color="auto"/>
              <w:bottom w:val="nil"/>
              <w:right w:val="single" w:sz="4" w:space="0" w:color="auto"/>
            </w:tcBorders>
            <w:hideMark/>
          </w:tcPr>
          <w:p w14:paraId="247C7F67"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286</w:t>
            </w:r>
          </w:p>
        </w:tc>
        <w:tc>
          <w:tcPr>
            <w:tcW w:w="1113" w:type="dxa"/>
            <w:tcBorders>
              <w:top w:val="single" w:sz="4" w:space="0" w:color="auto"/>
              <w:left w:val="single" w:sz="4" w:space="0" w:color="auto"/>
              <w:bottom w:val="nil"/>
              <w:right w:val="single" w:sz="4" w:space="0" w:color="auto"/>
            </w:tcBorders>
            <w:hideMark/>
          </w:tcPr>
          <w:p w14:paraId="57306058"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202</w:t>
            </w:r>
          </w:p>
        </w:tc>
        <w:tc>
          <w:tcPr>
            <w:tcW w:w="1359" w:type="dxa"/>
            <w:tcBorders>
              <w:top w:val="single" w:sz="4" w:space="0" w:color="auto"/>
              <w:left w:val="single" w:sz="4" w:space="0" w:color="auto"/>
              <w:bottom w:val="nil"/>
              <w:right w:val="single" w:sz="4" w:space="0" w:color="auto"/>
            </w:tcBorders>
            <w:hideMark/>
          </w:tcPr>
          <w:p w14:paraId="75ECE635"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408</w:t>
            </w:r>
          </w:p>
        </w:tc>
        <w:tc>
          <w:tcPr>
            <w:tcW w:w="1565" w:type="dxa"/>
            <w:tcBorders>
              <w:top w:val="single" w:sz="4" w:space="0" w:color="auto"/>
              <w:left w:val="single" w:sz="4" w:space="0" w:color="auto"/>
              <w:bottom w:val="nil"/>
              <w:right w:val="single" w:sz="4" w:space="0" w:color="auto"/>
            </w:tcBorders>
            <w:hideMark/>
          </w:tcPr>
          <w:p w14:paraId="1C488215"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194</w:t>
            </w:r>
          </w:p>
        </w:tc>
      </w:tr>
      <w:tr w:rsidR="007677A5" w:rsidRPr="00E87295" w14:paraId="6095EBC3" w14:textId="77777777" w:rsidTr="007677A5">
        <w:trPr>
          <w:trHeight w:val="243"/>
        </w:trPr>
        <w:tc>
          <w:tcPr>
            <w:tcW w:w="9227" w:type="dxa"/>
            <w:gridSpan w:val="7"/>
            <w:tcBorders>
              <w:top w:val="nil"/>
              <w:left w:val="single" w:sz="4" w:space="0" w:color="auto"/>
              <w:bottom w:val="nil"/>
              <w:right w:val="single" w:sz="4" w:space="0" w:color="auto"/>
            </w:tcBorders>
            <w:hideMark/>
          </w:tcPr>
          <w:p w14:paraId="05CB3AA8" w14:textId="77777777" w:rsidR="007677A5" w:rsidRPr="00E87295" w:rsidRDefault="007677A5" w:rsidP="00E87295">
            <w:pPr>
              <w:pStyle w:val="Heading50"/>
              <w:keepNext/>
              <w:keepLines/>
              <w:shd w:val="clear" w:color="auto" w:fill="auto"/>
              <w:spacing w:before="0" w:after="0" w:line="240" w:lineRule="auto"/>
              <w:ind w:firstLine="0"/>
              <w:rPr>
                <w:b/>
                <w:sz w:val="22"/>
                <w:szCs w:val="22"/>
                <w:lang w:val="sr-Latn-RS"/>
              </w:rPr>
            </w:pPr>
            <w:r w:rsidRPr="00E87295">
              <w:rPr>
                <w:sz w:val="22"/>
                <w:szCs w:val="22"/>
                <w:lang w:val="sr-Latn-RS"/>
              </w:rPr>
              <w:t>ss-IGA 0/1</w:t>
            </w:r>
            <w:r w:rsidRPr="00E87295">
              <w:rPr>
                <w:sz w:val="22"/>
                <w:szCs w:val="22"/>
                <w:vertAlign w:val="superscript"/>
                <w:lang w:val="sr-Latn-RS"/>
              </w:rPr>
              <w:t>b</w:t>
            </w:r>
            <w:r w:rsidRPr="00E87295">
              <w:rPr>
                <w:sz w:val="22"/>
                <w:szCs w:val="22"/>
                <w:lang w:val="sr-Latn-RS"/>
              </w:rPr>
              <w:t>, n (%)</w:t>
            </w:r>
          </w:p>
        </w:tc>
      </w:tr>
      <w:tr w:rsidR="007677A5" w:rsidRPr="00E87295" w14:paraId="75E57148" w14:textId="77777777" w:rsidTr="007677A5">
        <w:trPr>
          <w:trHeight w:val="472"/>
        </w:trPr>
        <w:tc>
          <w:tcPr>
            <w:tcW w:w="1409" w:type="dxa"/>
            <w:tcBorders>
              <w:top w:val="nil"/>
              <w:left w:val="single" w:sz="4" w:space="0" w:color="auto"/>
              <w:bottom w:val="single" w:sz="4" w:space="0" w:color="auto"/>
              <w:right w:val="single" w:sz="4" w:space="0" w:color="auto"/>
            </w:tcBorders>
            <w:hideMark/>
          </w:tcPr>
          <w:p w14:paraId="72828289"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16. ned</w:t>
            </w:r>
            <w:r w:rsidR="000102B6" w:rsidRPr="00E87295">
              <w:rPr>
                <w:sz w:val="22"/>
                <w:szCs w:val="22"/>
                <w:lang w:val="sr-Latn-RS"/>
              </w:rPr>
              <w:t>j</w:t>
            </w:r>
            <w:r w:rsidRPr="00E87295">
              <w:rPr>
                <w:sz w:val="22"/>
                <w:szCs w:val="22"/>
                <w:lang w:val="sr-Latn-RS"/>
              </w:rPr>
              <w:t>elja</w:t>
            </w:r>
          </w:p>
        </w:tc>
        <w:tc>
          <w:tcPr>
            <w:tcW w:w="1022" w:type="dxa"/>
            <w:tcBorders>
              <w:top w:val="nil"/>
              <w:left w:val="single" w:sz="4" w:space="0" w:color="auto"/>
              <w:bottom w:val="single" w:sz="4" w:space="0" w:color="auto"/>
              <w:right w:val="single" w:sz="4" w:space="0" w:color="auto"/>
            </w:tcBorders>
            <w:hideMark/>
          </w:tcPr>
          <w:p w14:paraId="13D6B4CA"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21 (14,5)</w:t>
            </w:r>
          </w:p>
        </w:tc>
        <w:tc>
          <w:tcPr>
            <w:tcW w:w="1359" w:type="dxa"/>
            <w:tcBorders>
              <w:top w:val="nil"/>
              <w:left w:val="single" w:sz="4" w:space="0" w:color="auto"/>
              <w:bottom w:val="single" w:sz="4" w:space="0" w:color="auto"/>
              <w:right w:val="single" w:sz="4" w:space="0" w:color="auto"/>
            </w:tcBorders>
            <w:hideMark/>
          </w:tcPr>
          <w:p w14:paraId="2EE255F7"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231 (83,4)</w:t>
            </w:r>
            <w:r w:rsidRPr="00E87295">
              <w:rPr>
                <w:sz w:val="22"/>
                <w:szCs w:val="22"/>
                <w:vertAlign w:val="superscript"/>
                <w:lang w:val="sr-Latn-RS"/>
              </w:rPr>
              <w:t>c</w:t>
            </w:r>
          </w:p>
        </w:tc>
        <w:tc>
          <w:tcPr>
            <w:tcW w:w="1396" w:type="dxa"/>
            <w:tcBorders>
              <w:top w:val="nil"/>
              <w:left w:val="single" w:sz="4" w:space="0" w:color="auto"/>
              <w:bottom w:val="single" w:sz="4" w:space="0" w:color="auto"/>
              <w:right w:val="single" w:sz="4" w:space="0" w:color="auto"/>
            </w:tcBorders>
            <w:hideMark/>
          </w:tcPr>
          <w:p w14:paraId="3C08C17E"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201 (70,3)</w:t>
            </w:r>
            <w:r w:rsidRPr="00E87295">
              <w:rPr>
                <w:sz w:val="22"/>
                <w:szCs w:val="22"/>
                <w:vertAlign w:val="superscript"/>
                <w:lang w:val="sr-Latn-RS"/>
              </w:rPr>
              <w:t>d</w:t>
            </w:r>
          </w:p>
        </w:tc>
        <w:tc>
          <w:tcPr>
            <w:tcW w:w="1113" w:type="dxa"/>
            <w:tcBorders>
              <w:top w:val="nil"/>
              <w:left w:val="single" w:sz="4" w:space="0" w:color="auto"/>
              <w:bottom w:val="single" w:sz="4" w:space="0" w:color="auto"/>
              <w:right w:val="single" w:sz="4" w:space="0" w:color="auto"/>
            </w:tcBorders>
            <w:hideMark/>
          </w:tcPr>
          <w:p w14:paraId="36F3D3AB"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22 (10,9)</w:t>
            </w:r>
          </w:p>
        </w:tc>
        <w:tc>
          <w:tcPr>
            <w:tcW w:w="1359" w:type="dxa"/>
            <w:tcBorders>
              <w:top w:val="nil"/>
              <w:left w:val="single" w:sz="4" w:space="0" w:color="auto"/>
              <w:bottom w:val="single" w:sz="4" w:space="0" w:color="auto"/>
              <w:right w:val="single" w:sz="4" w:space="0" w:color="auto"/>
            </w:tcBorders>
            <w:hideMark/>
          </w:tcPr>
          <w:p w14:paraId="430C193E"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329 (80,6)</w:t>
            </w:r>
            <w:r w:rsidRPr="00E87295">
              <w:rPr>
                <w:sz w:val="22"/>
                <w:szCs w:val="22"/>
                <w:vertAlign w:val="superscript"/>
                <w:lang w:val="sr-Latn-RS"/>
              </w:rPr>
              <w:t>c</w:t>
            </w:r>
          </w:p>
        </w:tc>
        <w:tc>
          <w:tcPr>
            <w:tcW w:w="1565" w:type="dxa"/>
            <w:tcBorders>
              <w:top w:val="nil"/>
              <w:left w:val="single" w:sz="4" w:space="0" w:color="auto"/>
              <w:bottom w:val="single" w:sz="4" w:space="0" w:color="auto"/>
              <w:right w:val="single" w:sz="4" w:space="0" w:color="auto"/>
            </w:tcBorders>
            <w:hideMark/>
          </w:tcPr>
          <w:p w14:paraId="42313C5C"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130 (67,0)</w:t>
            </w:r>
            <w:r w:rsidRPr="00E87295">
              <w:rPr>
                <w:sz w:val="22"/>
                <w:szCs w:val="22"/>
                <w:vertAlign w:val="superscript"/>
                <w:lang w:val="sr-Latn-RS"/>
              </w:rPr>
              <w:t>d</w:t>
            </w:r>
          </w:p>
        </w:tc>
      </w:tr>
      <w:tr w:rsidR="007677A5" w:rsidRPr="00E87295" w14:paraId="49C8852A" w14:textId="77777777" w:rsidTr="007677A5">
        <w:trPr>
          <w:trHeight w:val="472"/>
        </w:trPr>
        <w:tc>
          <w:tcPr>
            <w:tcW w:w="1409" w:type="dxa"/>
            <w:tcBorders>
              <w:top w:val="single" w:sz="4" w:space="0" w:color="auto"/>
              <w:left w:val="single" w:sz="4" w:space="0" w:color="auto"/>
              <w:bottom w:val="nil"/>
              <w:right w:val="single" w:sz="4" w:space="0" w:color="auto"/>
            </w:tcBorders>
            <w:hideMark/>
          </w:tcPr>
          <w:p w14:paraId="7E37CB84"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b/>
                <w:sz w:val="22"/>
                <w:szCs w:val="22"/>
                <w:lang w:val="sr-Latn-RS"/>
              </w:rPr>
              <w:t>hf-PGA (N)</w:t>
            </w:r>
            <w:r w:rsidRPr="00E87295">
              <w:rPr>
                <w:b/>
                <w:sz w:val="22"/>
                <w:szCs w:val="22"/>
                <w:vertAlign w:val="superscript"/>
                <w:lang w:val="sr-Latn-RS"/>
              </w:rPr>
              <w:t>a</w:t>
            </w:r>
          </w:p>
        </w:tc>
        <w:tc>
          <w:tcPr>
            <w:tcW w:w="1022" w:type="dxa"/>
            <w:tcBorders>
              <w:top w:val="single" w:sz="4" w:space="0" w:color="auto"/>
              <w:left w:val="single" w:sz="4" w:space="0" w:color="auto"/>
              <w:bottom w:val="nil"/>
              <w:right w:val="single" w:sz="4" w:space="0" w:color="auto"/>
            </w:tcBorders>
            <w:hideMark/>
          </w:tcPr>
          <w:p w14:paraId="3D878A9A"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43</w:t>
            </w:r>
          </w:p>
        </w:tc>
        <w:tc>
          <w:tcPr>
            <w:tcW w:w="1359" w:type="dxa"/>
            <w:tcBorders>
              <w:top w:val="single" w:sz="4" w:space="0" w:color="auto"/>
              <w:left w:val="single" w:sz="4" w:space="0" w:color="auto"/>
              <w:bottom w:val="nil"/>
              <w:right w:val="single" w:sz="4" w:space="0" w:color="auto"/>
            </w:tcBorders>
            <w:hideMark/>
          </w:tcPr>
          <w:p w14:paraId="13DD1555"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90</w:t>
            </w:r>
          </w:p>
        </w:tc>
        <w:tc>
          <w:tcPr>
            <w:tcW w:w="1396" w:type="dxa"/>
            <w:tcBorders>
              <w:top w:val="single" w:sz="4" w:space="0" w:color="auto"/>
              <w:left w:val="single" w:sz="4" w:space="0" w:color="auto"/>
              <w:bottom w:val="nil"/>
              <w:right w:val="single" w:sz="4" w:space="0" w:color="auto"/>
            </w:tcBorders>
            <w:hideMark/>
          </w:tcPr>
          <w:p w14:paraId="23881A20"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95</w:t>
            </w:r>
          </w:p>
        </w:tc>
        <w:tc>
          <w:tcPr>
            <w:tcW w:w="1113" w:type="dxa"/>
            <w:tcBorders>
              <w:top w:val="single" w:sz="4" w:space="0" w:color="auto"/>
              <w:left w:val="single" w:sz="4" w:space="0" w:color="auto"/>
              <w:bottom w:val="nil"/>
              <w:right w:val="single" w:sz="4" w:space="0" w:color="auto"/>
            </w:tcBorders>
            <w:hideMark/>
          </w:tcPr>
          <w:p w14:paraId="375EF29A"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63</w:t>
            </w:r>
          </w:p>
        </w:tc>
        <w:tc>
          <w:tcPr>
            <w:tcW w:w="1359" w:type="dxa"/>
            <w:tcBorders>
              <w:top w:val="single" w:sz="4" w:space="0" w:color="auto"/>
              <w:left w:val="single" w:sz="4" w:space="0" w:color="auto"/>
              <w:bottom w:val="nil"/>
              <w:right w:val="single" w:sz="4" w:space="0" w:color="auto"/>
            </w:tcBorders>
            <w:hideMark/>
          </w:tcPr>
          <w:p w14:paraId="508DC188"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114</w:t>
            </w:r>
          </w:p>
        </w:tc>
        <w:tc>
          <w:tcPr>
            <w:tcW w:w="1565" w:type="dxa"/>
            <w:tcBorders>
              <w:top w:val="single" w:sz="4" w:space="0" w:color="auto"/>
              <w:left w:val="single" w:sz="4" w:space="0" w:color="auto"/>
              <w:bottom w:val="nil"/>
              <w:right w:val="single" w:sz="4" w:space="0" w:color="auto"/>
            </w:tcBorders>
            <w:hideMark/>
          </w:tcPr>
          <w:p w14:paraId="69465219"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56</w:t>
            </w:r>
          </w:p>
        </w:tc>
      </w:tr>
      <w:tr w:rsidR="007677A5" w:rsidRPr="00E87295" w14:paraId="7AF97C33" w14:textId="77777777" w:rsidTr="007677A5">
        <w:trPr>
          <w:trHeight w:val="243"/>
        </w:trPr>
        <w:tc>
          <w:tcPr>
            <w:tcW w:w="9227" w:type="dxa"/>
            <w:gridSpan w:val="7"/>
            <w:tcBorders>
              <w:top w:val="nil"/>
              <w:left w:val="single" w:sz="4" w:space="0" w:color="auto"/>
              <w:bottom w:val="nil"/>
              <w:right w:val="single" w:sz="4" w:space="0" w:color="auto"/>
            </w:tcBorders>
            <w:hideMark/>
          </w:tcPr>
          <w:p w14:paraId="2CA96E4E"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hf-PGA 0/1</w:t>
            </w:r>
            <w:r w:rsidRPr="00E87295">
              <w:rPr>
                <w:sz w:val="22"/>
                <w:szCs w:val="22"/>
                <w:vertAlign w:val="superscript"/>
                <w:lang w:val="sr-Latn-RS"/>
              </w:rPr>
              <w:t>b</w:t>
            </w:r>
            <w:r w:rsidRPr="00E87295">
              <w:rPr>
                <w:sz w:val="22"/>
                <w:szCs w:val="22"/>
                <w:lang w:val="sr-Latn-RS"/>
              </w:rPr>
              <w:t>, n (%)</w:t>
            </w:r>
          </w:p>
        </w:tc>
      </w:tr>
      <w:tr w:rsidR="007677A5" w:rsidRPr="00E87295" w14:paraId="3B989C99" w14:textId="77777777" w:rsidTr="007677A5">
        <w:trPr>
          <w:trHeight w:val="228"/>
        </w:trPr>
        <w:tc>
          <w:tcPr>
            <w:tcW w:w="1409" w:type="dxa"/>
            <w:tcBorders>
              <w:top w:val="nil"/>
              <w:left w:val="single" w:sz="4" w:space="0" w:color="auto"/>
              <w:bottom w:val="single" w:sz="4" w:space="0" w:color="auto"/>
              <w:right w:val="single" w:sz="4" w:space="0" w:color="auto"/>
            </w:tcBorders>
            <w:hideMark/>
          </w:tcPr>
          <w:p w14:paraId="501EB6E0"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16. ned</w:t>
            </w:r>
            <w:r w:rsidR="000102B6" w:rsidRPr="00E87295">
              <w:rPr>
                <w:sz w:val="22"/>
                <w:szCs w:val="22"/>
                <w:lang w:val="sr-Latn-RS"/>
              </w:rPr>
              <w:t>j</w:t>
            </w:r>
            <w:r w:rsidRPr="00E87295">
              <w:rPr>
                <w:sz w:val="22"/>
                <w:szCs w:val="22"/>
                <w:lang w:val="sr-Latn-RS"/>
              </w:rPr>
              <w:t>elja</w:t>
            </w:r>
          </w:p>
        </w:tc>
        <w:tc>
          <w:tcPr>
            <w:tcW w:w="1022" w:type="dxa"/>
            <w:tcBorders>
              <w:top w:val="nil"/>
              <w:left w:val="single" w:sz="4" w:space="0" w:color="auto"/>
              <w:bottom w:val="single" w:sz="4" w:space="0" w:color="auto"/>
              <w:right w:val="single" w:sz="4" w:space="0" w:color="auto"/>
            </w:tcBorders>
            <w:hideMark/>
          </w:tcPr>
          <w:p w14:paraId="455A7D13"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6 (14,0)</w:t>
            </w:r>
          </w:p>
        </w:tc>
        <w:tc>
          <w:tcPr>
            <w:tcW w:w="1359" w:type="dxa"/>
            <w:tcBorders>
              <w:top w:val="nil"/>
              <w:left w:val="single" w:sz="4" w:space="0" w:color="auto"/>
              <w:bottom w:val="single" w:sz="4" w:space="0" w:color="auto"/>
              <w:right w:val="single" w:sz="4" w:space="0" w:color="auto"/>
            </w:tcBorders>
            <w:hideMark/>
          </w:tcPr>
          <w:p w14:paraId="3B7D299B"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66 (73,3)</w:t>
            </w:r>
            <w:r w:rsidRPr="00E87295">
              <w:rPr>
                <w:sz w:val="22"/>
                <w:szCs w:val="22"/>
                <w:vertAlign w:val="superscript"/>
                <w:lang w:val="sr-Latn-RS"/>
              </w:rPr>
              <w:t>e</w:t>
            </w:r>
          </w:p>
        </w:tc>
        <w:tc>
          <w:tcPr>
            <w:tcW w:w="1396" w:type="dxa"/>
            <w:tcBorders>
              <w:top w:val="nil"/>
              <w:left w:val="single" w:sz="4" w:space="0" w:color="auto"/>
              <w:bottom w:val="single" w:sz="4" w:space="0" w:color="auto"/>
              <w:right w:val="single" w:sz="4" w:space="0" w:color="auto"/>
            </w:tcBorders>
            <w:hideMark/>
          </w:tcPr>
          <w:p w14:paraId="4BB1E1C5"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53 (55,8)</w:t>
            </w:r>
            <w:r w:rsidRPr="00E87295">
              <w:rPr>
                <w:sz w:val="22"/>
                <w:szCs w:val="22"/>
                <w:vertAlign w:val="superscript"/>
                <w:lang w:val="sr-Latn-RS"/>
              </w:rPr>
              <w:t>d</w:t>
            </w:r>
          </w:p>
        </w:tc>
        <w:tc>
          <w:tcPr>
            <w:tcW w:w="1113" w:type="dxa"/>
            <w:tcBorders>
              <w:top w:val="nil"/>
              <w:left w:val="single" w:sz="4" w:space="0" w:color="auto"/>
              <w:bottom w:val="single" w:sz="4" w:space="0" w:color="auto"/>
              <w:right w:val="single" w:sz="4" w:space="0" w:color="auto"/>
            </w:tcBorders>
            <w:hideMark/>
          </w:tcPr>
          <w:p w14:paraId="022F20D5"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9 (14,3)</w:t>
            </w:r>
          </w:p>
        </w:tc>
        <w:tc>
          <w:tcPr>
            <w:tcW w:w="1359" w:type="dxa"/>
            <w:tcBorders>
              <w:top w:val="nil"/>
              <w:left w:val="single" w:sz="4" w:space="0" w:color="auto"/>
              <w:bottom w:val="single" w:sz="4" w:space="0" w:color="auto"/>
              <w:right w:val="single" w:sz="4" w:space="0" w:color="auto"/>
            </w:tcBorders>
            <w:hideMark/>
          </w:tcPr>
          <w:p w14:paraId="650B2BD2"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88 (77,2)</w:t>
            </w:r>
            <w:r w:rsidRPr="00E87295">
              <w:rPr>
                <w:sz w:val="22"/>
                <w:szCs w:val="22"/>
                <w:vertAlign w:val="superscript"/>
                <w:lang w:val="sr-Latn-RS"/>
              </w:rPr>
              <w:t>e</w:t>
            </w:r>
          </w:p>
        </w:tc>
        <w:tc>
          <w:tcPr>
            <w:tcW w:w="1565" w:type="dxa"/>
            <w:tcBorders>
              <w:top w:val="nil"/>
              <w:left w:val="single" w:sz="4" w:space="0" w:color="auto"/>
              <w:bottom w:val="single" w:sz="4" w:space="0" w:color="auto"/>
              <w:right w:val="single" w:sz="4" w:space="0" w:color="auto"/>
            </w:tcBorders>
            <w:hideMark/>
          </w:tcPr>
          <w:p w14:paraId="789D0A14"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40 (71,4)</w:t>
            </w:r>
            <w:r w:rsidRPr="00E87295">
              <w:rPr>
                <w:sz w:val="22"/>
                <w:szCs w:val="22"/>
                <w:vertAlign w:val="superscript"/>
                <w:lang w:val="sr-Latn-RS"/>
              </w:rPr>
              <w:t>d</w:t>
            </w:r>
          </w:p>
        </w:tc>
      </w:tr>
      <w:tr w:rsidR="007677A5" w:rsidRPr="00E87295" w14:paraId="4286A8E2" w14:textId="77777777" w:rsidTr="007677A5">
        <w:trPr>
          <w:trHeight w:val="243"/>
        </w:trPr>
        <w:tc>
          <w:tcPr>
            <w:tcW w:w="1409" w:type="dxa"/>
            <w:tcBorders>
              <w:top w:val="single" w:sz="4" w:space="0" w:color="auto"/>
              <w:left w:val="single" w:sz="4" w:space="0" w:color="auto"/>
              <w:bottom w:val="nil"/>
              <w:right w:val="single" w:sz="4" w:space="0" w:color="auto"/>
            </w:tcBorders>
            <w:hideMark/>
          </w:tcPr>
          <w:p w14:paraId="68BC72D2"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b/>
                <w:sz w:val="22"/>
                <w:szCs w:val="22"/>
                <w:lang w:val="sr-Latn-RS"/>
              </w:rPr>
              <w:t>f-PGA (N)</w:t>
            </w:r>
            <w:r w:rsidRPr="00E87295">
              <w:rPr>
                <w:b/>
                <w:sz w:val="22"/>
                <w:szCs w:val="22"/>
                <w:vertAlign w:val="superscript"/>
                <w:lang w:val="sr-Latn-RS"/>
              </w:rPr>
              <w:t>a</w:t>
            </w:r>
          </w:p>
        </w:tc>
        <w:tc>
          <w:tcPr>
            <w:tcW w:w="1022" w:type="dxa"/>
            <w:tcBorders>
              <w:top w:val="single" w:sz="4" w:space="0" w:color="auto"/>
              <w:left w:val="single" w:sz="4" w:space="0" w:color="auto"/>
              <w:bottom w:val="nil"/>
              <w:right w:val="single" w:sz="4" w:space="0" w:color="auto"/>
            </w:tcBorders>
            <w:hideMark/>
          </w:tcPr>
          <w:p w14:paraId="208DC8F1"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88</w:t>
            </w:r>
          </w:p>
        </w:tc>
        <w:tc>
          <w:tcPr>
            <w:tcW w:w="1359" w:type="dxa"/>
            <w:tcBorders>
              <w:top w:val="single" w:sz="4" w:space="0" w:color="auto"/>
              <w:left w:val="single" w:sz="4" w:space="0" w:color="auto"/>
              <w:bottom w:val="nil"/>
              <w:right w:val="single" w:sz="4" w:space="0" w:color="auto"/>
            </w:tcBorders>
            <w:hideMark/>
          </w:tcPr>
          <w:p w14:paraId="7A62998B"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174</w:t>
            </w:r>
          </w:p>
        </w:tc>
        <w:tc>
          <w:tcPr>
            <w:tcW w:w="1396" w:type="dxa"/>
            <w:tcBorders>
              <w:top w:val="single" w:sz="4" w:space="0" w:color="auto"/>
              <w:left w:val="single" w:sz="4" w:space="0" w:color="auto"/>
              <w:bottom w:val="nil"/>
              <w:right w:val="single" w:sz="4" w:space="0" w:color="auto"/>
            </w:tcBorders>
            <w:hideMark/>
          </w:tcPr>
          <w:p w14:paraId="33A95B17"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173</w:t>
            </w:r>
          </w:p>
        </w:tc>
        <w:tc>
          <w:tcPr>
            <w:tcW w:w="1113" w:type="dxa"/>
            <w:tcBorders>
              <w:top w:val="single" w:sz="4" w:space="0" w:color="auto"/>
              <w:left w:val="single" w:sz="4" w:space="0" w:color="auto"/>
              <w:bottom w:val="nil"/>
              <w:right w:val="single" w:sz="4" w:space="0" w:color="auto"/>
            </w:tcBorders>
            <w:hideMark/>
          </w:tcPr>
          <w:p w14:paraId="031842EC"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123</w:t>
            </w:r>
          </w:p>
        </w:tc>
        <w:tc>
          <w:tcPr>
            <w:tcW w:w="1359" w:type="dxa"/>
            <w:tcBorders>
              <w:top w:val="single" w:sz="4" w:space="0" w:color="auto"/>
              <w:left w:val="single" w:sz="4" w:space="0" w:color="auto"/>
              <w:bottom w:val="nil"/>
              <w:right w:val="single" w:sz="4" w:space="0" w:color="auto"/>
            </w:tcBorders>
            <w:hideMark/>
          </w:tcPr>
          <w:p w14:paraId="54CC08BD"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246</w:t>
            </w:r>
          </w:p>
        </w:tc>
        <w:tc>
          <w:tcPr>
            <w:tcW w:w="1565" w:type="dxa"/>
            <w:tcBorders>
              <w:top w:val="single" w:sz="4" w:space="0" w:color="auto"/>
              <w:left w:val="single" w:sz="4" w:space="0" w:color="auto"/>
              <w:bottom w:val="nil"/>
              <w:right w:val="single" w:sz="4" w:space="0" w:color="auto"/>
            </w:tcBorders>
            <w:hideMark/>
          </w:tcPr>
          <w:p w14:paraId="32780C8F"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124</w:t>
            </w:r>
          </w:p>
        </w:tc>
      </w:tr>
      <w:tr w:rsidR="007677A5" w:rsidRPr="00E87295" w14:paraId="68E1690A" w14:textId="77777777" w:rsidTr="007677A5">
        <w:trPr>
          <w:trHeight w:val="228"/>
        </w:trPr>
        <w:tc>
          <w:tcPr>
            <w:tcW w:w="9227" w:type="dxa"/>
            <w:gridSpan w:val="7"/>
            <w:tcBorders>
              <w:top w:val="nil"/>
              <w:left w:val="single" w:sz="4" w:space="0" w:color="auto"/>
              <w:bottom w:val="nil"/>
              <w:right w:val="single" w:sz="4" w:space="0" w:color="auto"/>
            </w:tcBorders>
            <w:hideMark/>
          </w:tcPr>
          <w:p w14:paraId="4309C543"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f-PGA 0/1, n (%)</w:t>
            </w:r>
          </w:p>
        </w:tc>
      </w:tr>
      <w:tr w:rsidR="007677A5" w:rsidRPr="00E87295" w14:paraId="02E8DB1C" w14:textId="77777777" w:rsidTr="007677A5">
        <w:trPr>
          <w:trHeight w:val="487"/>
        </w:trPr>
        <w:tc>
          <w:tcPr>
            <w:tcW w:w="1409" w:type="dxa"/>
            <w:tcBorders>
              <w:top w:val="nil"/>
              <w:left w:val="single" w:sz="4" w:space="0" w:color="auto"/>
              <w:bottom w:val="single" w:sz="4" w:space="0" w:color="auto"/>
              <w:right w:val="single" w:sz="4" w:space="0" w:color="auto"/>
            </w:tcBorders>
            <w:hideMark/>
          </w:tcPr>
          <w:p w14:paraId="2A878C56"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16. ned</w:t>
            </w:r>
            <w:r w:rsidR="000102B6" w:rsidRPr="00E87295">
              <w:rPr>
                <w:sz w:val="22"/>
                <w:szCs w:val="22"/>
                <w:lang w:val="sr-Latn-RS"/>
              </w:rPr>
              <w:t>j</w:t>
            </w:r>
            <w:r w:rsidRPr="00E87295">
              <w:rPr>
                <w:sz w:val="22"/>
                <w:szCs w:val="22"/>
                <w:lang w:val="sr-Latn-RS"/>
              </w:rPr>
              <w:t>elja</w:t>
            </w:r>
          </w:p>
        </w:tc>
        <w:tc>
          <w:tcPr>
            <w:tcW w:w="1022" w:type="dxa"/>
            <w:tcBorders>
              <w:top w:val="nil"/>
              <w:left w:val="single" w:sz="4" w:space="0" w:color="auto"/>
              <w:bottom w:val="single" w:sz="4" w:space="0" w:color="auto"/>
              <w:right w:val="single" w:sz="4" w:space="0" w:color="auto"/>
            </w:tcBorders>
            <w:hideMark/>
          </w:tcPr>
          <w:p w14:paraId="2D1F81B4"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14 (15,9)</w:t>
            </w:r>
          </w:p>
        </w:tc>
        <w:tc>
          <w:tcPr>
            <w:tcW w:w="1359" w:type="dxa"/>
            <w:tcBorders>
              <w:top w:val="nil"/>
              <w:left w:val="single" w:sz="4" w:space="0" w:color="auto"/>
              <w:bottom w:val="single" w:sz="4" w:space="0" w:color="auto"/>
              <w:right w:val="single" w:sz="4" w:space="0" w:color="auto"/>
            </w:tcBorders>
            <w:hideMark/>
          </w:tcPr>
          <w:p w14:paraId="2CBFB4A7"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68 (39,1)</w:t>
            </w:r>
            <w:r w:rsidRPr="00E87295">
              <w:rPr>
                <w:sz w:val="22"/>
                <w:szCs w:val="22"/>
                <w:vertAlign w:val="superscript"/>
                <w:lang w:val="sr-Latn-RS"/>
              </w:rPr>
              <w:t>e</w:t>
            </w:r>
          </w:p>
        </w:tc>
        <w:tc>
          <w:tcPr>
            <w:tcW w:w="1396" w:type="dxa"/>
            <w:tcBorders>
              <w:top w:val="nil"/>
              <w:left w:val="single" w:sz="4" w:space="0" w:color="auto"/>
              <w:bottom w:val="single" w:sz="4" w:space="0" w:color="auto"/>
              <w:right w:val="single" w:sz="4" w:space="0" w:color="auto"/>
            </w:tcBorders>
            <w:hideMark/>
          </w:tcPr>
          <w:p w14:paraId="51823179"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88 (50,9)</w:t>
            </w:r>
            <w:r w:rsidRPr="00E87295">
              <w:rPr>
                <w:sz w:val="22"/>
                <w:szCs w:val="22"/>
                <w:vertAlign w:val="superscript"/>
                <w:lang w:val="sr-Latn-RS"/>
              </w:rPr>
              <w:t>d</w:t>
            </w:r>
          </w:p>
        </w:tc>
        <w:tc>
          <w:tcPr>
            <w:tcW w:w="1113" w:type="dxa"/>
            <w:tcBorders>
              <w:top w:val="nil"/>
              <w:left w:val="single" w:sz="4" w:space="0" w:color="auto"/>
              <w:bottom w:val="single" w:sz="4" w:space="0" w:color="auto"/>
              <w:right w:val="single" w:sz="4" w:space="0" w:color="auto"/>
            </w:tcBorders>
            <w:hideMark/>
          </w:tcPr>
          <w:p w14:paraId="0AB0E1C0"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18 (14,6)</w:t>
            </w:r>
          </w:p>
        </w:tc>
        <w:tc>
          <w:tcPr>
            <w:tcW w:w="1359" w:type="dxa"/>
            <w:tcBorders>
              <w:top w:val="nil"/>
              <w:left w:val="single" w:sz="4" w:space="0" w:color="auto"/>
              <w:bottom w:val="single" w:sz="4" w:space="0" w:color="auto"/>
              <w:right w:val="single" w:sz="4" w:space="0" w:color="auto"/>
            </w:tcBorders>
            <w:hideMark/>
          </w:tcPr>
          <w:p w14:paraId="3ED140B7"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128 (52,0)</w:t>
            </w:r>
            <w:r w:rsidRPr="00E87295">
              <w:rPr>
                <w:sz w:val="22"/>
                <w:szCs w:val="22"/>
                <w:vertAlign w:val="superscript"/>
                <w:lang w:val="sr-Latn-RS"/>
              </w:rPr>
              <w:t>e</w:t>
            </w:r>
          </w:p>
        </w:tc>
        <w:tc>
          <w:tcPr>
            <w:tcW w:w="1565" w:type="dxa"/>
            <w:tcBorders>
              <w:top w:val="nil"/>
              <w:left w:val="single" w:sz="4" w:space="0" w:color="auto"/>
              <w:bottom w:val="single" w:sz="4" w:space="0" w:color="auto"/>
              <w:right w:val="single" w:sz="4" w:space="0" w:color="auto"/>
            </w:tcBorders>
            <w:hideMark/>
          </w:tcPr>
          <w:p w14:paraId="7CAC8EA2"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74 (59,7)</w:t>
            </w:r>
            <w:r w:rsidRPr="00E87295">
              <w:rPr>
                <w:sz w:val="22"/>
                <w:szCs w:val="22"/>
                <w:vertAlign w:val="superscript"/>
                <w:lang w:val="sr-Latn-RS"/>
              </w:rPr>
              <w:t>d</w:t>
            </w:r>
          </w:p>
        </w:tc>
      </w:tr>
      <w:tr w:rsidR="007677A5" w:rsidRPr="00E87295" w14:paraId="6D222CAF" w14:textId="77777777" w:rsidTr="007677A5">
        <w:trPr>
          <w:trHeight w:val="228"/>
        </w:trPr>
        <w:tc>
          <w:tcPr>
            <w:tcW w:w="1409" w:type="dxa"/>
            <w:tcBorders>
              <w:top w:val="single" w:sz="4" w:space="0" w:color="auto"/>
              <w:left w:val="single" w:sz="4" w:space="0" w:color="auto"/>
              <w:bottom w:val="nil"/>
              <w:right w:val="single" w:sz="4" w:space="0" w:color="auto"/>
            </w:tcBorders>
            <w:hideMark/>
          </w:tcPr>
          <w:p w14:paraId="3A2A7732"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b/>
                <w:sz w:val="22"/>
                <w:szCs w:val="22"/>
                <w:lang w:val="sr-Latn-RS"/>
              </w:rPr>
              <w:t>NAPSI (N)</w:t>
            </w:r>
            <w:r w:rsidRPr="00E87295">
              <w:rPr>
                <w:b/>
                <w:sz w:val="22"/>
                <w:szCs w:val="22"/>
                <w:vertAlign w:val="superscript"/>
                <w:lang w:val="sr-Latn-RS"/>
              </w:rPr>
              <w:t>a</w:t>
            </w:r>
          </w:p>
        </w:tc>
        <w:tc>
          <w:tcPr>
            <w:tcW w:w="1022" w:type="dxa"/>
            <w:tcBorders>
              <w:top w:val="single" w:sz="4" w:space="0" w:color="auto"/>
              <w:left w:val="single" w:sz="4" w:space="0" w:color="auto"/>
              <w:bottom w:val="nil"/>
              <w:right w:val="single" w:sz="4" w:space="0" w:color="auto"/>
            </w:tcBorders>
            <w:hideMark/>
          </w:tcPr>
          <w:p w14:paraId="0A2B9196"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99</w:t>
            </w:r>
          </w:p>
        </w:tc>
        <w:tc>
          <w:tcPr>
            <w:tcW w:w="1359" w:type="dxa"/>
            <w:tcBorders>
              <w:top w:val="single" w:sz="4" w:space="0" w:color="auto"/>
              <w:left w:val="single" w:sz="4" w:space="0" w:color="auto"/>
              <w:bottom w:val="nil"/>
              <w:right w:val="single" w:sz="4" w:space="0" w:color="auto"/>
            </w:tcBorders>
            <w:hideMark/>
          </w:tcPr>
          <w:p w14:paraId="447CD87F"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194</w:t>
            </w:r>
          </w:p>
        </w:tc>
        <w:tc>
          <w:tcPr>
            <w:tcW w:w="1396" w:type="dxa"/>
            <w:tcBorders>
              <w:top w:val="single" w:sz="4" w:space="0" w:color="auto"/>
              <w:left w:val="single" w:sz="4" w:space="0" w:color="auto"/>
              <w:bottom w:val="nil"/>
              <w:right w:val="single" w:sz="4" w:space="0" w:color="auto"/>
            </w:tcBorders>
            <w:hideMark/>
          </w:tcPr>
          <w:p w14:paraId="048A520A"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191</w:t>
            </w:r>
          </w:p>
        </w:tc>
        <w:tc>
          <w:tcPr>
            <w:tcW w:w="1113" w:type="dxa"/>
            <w:tcBorders>
              <w:top w:val="single" w:sz="4" w:space="0" w:color="auto"/>
              <w:left w:val="single" w:sz="4" w:space="0" w:color="auto"/>
              <w:bottom w:val="nil"/>
              <w:right w:val="single" w:sz="4" w:space="0" w:color="auto"/>
            </w:tcBorders>
            <w:hideMark/>
          </w:tcPr>
          <w:p w14:paraId="4979EB33"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140</w:t>
            </w:r>
          </w:p>
        </w:tc>
        <w:tc>
          <w:tcPr>
            <w:tcW w:w="1359" w:type="dxa"/>
            <w:tcBorders>
              <w:top w:val="single" w:sz="4" w:space="0" w:color="auto"/>
              <w:left w:val="single" w:sz="4" w:space="0" w:color="auto"/>
              <w:bottom w:val="nil"/>
              <w:right w:val="single" w:sz="4" w:space="0" w:color="auto"/>
            </w:tcBorders>
            <w:hideMark/>
          </w:tcPr>
          <w:p w14:paraId="6540EBC0"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280</w:t>
            </w:r>
          </w:p>
        </w:tc>
        <w:tc>
          <w:tcPr>
            <w:tcW w:w="1565" w:type="dxa"/>
            <w:tcBorders>
              <w:top w:val="single" w:sz="4" w:space="0" w:color="auto"/>
              <w:left w:val="single" w:sz="4" w:space="0" w:color="auto"/>
              <w:bottom w:val="nil"/>
              <w:right w:val="single" w:sz="4" w:space="0" w:color="auto"/>
            </w:tcBorders>
            <w:hideMark/>
          </w:tcPr>
          <w:p w14:paraId="06A117FE" w14:textId="77777777"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140</w:t>
            </w:r>
          </w:p>
        </w:tc>
      </w:tr>
      <w:tr w:rsidR="007677A5" w:rsidRPr="00E87295" w14:paraId="5D901B10" w14:textId="77777777" w:rsidTr="007677A5">
        <w:trPr>
          <w:trHeight w:val="472"/>
        </w:trPr>
        <w:tc>
          <w:tcPr>
            <w:tcW w:w="9227" w:type="dxa"/>
            <w:gridSpan w:val="7"/>
            <w:tcBorders>
              <w:top w:val="nil"/>
              <w:left w:val="single" w:sz="4" w:space="0" w:color="auto"/>
              <w:bottom w:val="nil"/>
              <w:right w:val="single" w:sz="4" w:space="0" w:color="auto"/>
            </w:tcBorders>
            <w:hideMark/>
          </w:tcPr>
          <w:p w14:paraId="06BB614A" w14:textId="4D8EC588" w:rsidR="007677A5" w:rsidRPr="00E87295" w:rsidRDefault="007677A5">
            <w:pPr>
              <w:pStyle w:val="Heading50"/>
              <w:keepNext/>
              <w:keepLines/>
              <w:shd w:val="clear" w:color="auto" w:fill="auto"/>
              <w:spacing w:before="0" w:after="0" w:line="240" w:lineRule="auto"/>
              <w:ind w:firstLine="0"/>
              <w:jc w:val="both"/>
              <w:rPr>
                <w:b/>
                <w:sz w:val="22"/>
                <w:szCs w:val="22"/>
                <w:lang w:val="sr-Latn-RS"/>
              </w:rPr>
            </w:pPr>
            <w:r w:rsidRPr="00E87295">
              <w:rPr>
                <w:sz w:val="22"/>
                <w:szCs w:val="22"/>
                <w:lang w:val="sr-Latn-RS"/>
              </w:rPr>
              <w:t>Procentualno poboljšanje,</w:t>
            </w:r>
            <w:r w:rsidR="00B113B3" w:rsidRPr="00E87295">
              <w:rPr>
                <w:sz w:val="22"/>
                <w:szCs w:val="22"/>
                <w:lang w:val="sr-Latn-RS"/>
              </w:rPr>
              <w:t xml:space="preserve"> </w:t>
            </w:r>
            <w:r w:rsidRPr="00E87295">
              <w:rPr>
                <w:sz w:val="22"/>
                <w:szCs w:val="22"/>
                <w:lang w:val="sr-Latn-RS"/>
              </w:rPr>
              <w:t>srednja vr</w:t>
            </w:r>
            <w:r w:rsidR="000102B6" w:rsidRPr="00E87295">
              <w:rPr>
                <w:sz w:val="22"/>
                <w:szCs w:val="22"/>
                <w:lang w:val="sr-Latn-RS"/>
              </w:rPr>
              <w:t>ij</w:t>
            </w:r>
            <w:r w:rsidRPr="00E87295">
              <w:rPr>
                <w:sz w:val="22"/>
                <w:szCs w:val="22"/>
                <w:lang w:val="sr-Latn-RS"/>
              </w:rPr>
              <w:t>ednost (SD)</w:t>
            </w:r>
          </w:p>
        </w:tc>
      </w:tr>
      <w:tr w:rsidR="007677A5" w:rsidRPr="00E87295" w14:paraId="7B230447" w14:textId="77777777" w:rsidTr="007677A5">
        <w:trPr>
          <w:trHeight w:val="196"/>
        </w:trPr>
        <w:tc>
          <w:tcPr>
            <w:tcW w:w="1409" w:type="dxa"/>
            <w:tcBorders>
              <w:top w:val="nil"/>
              <w:left w:val="single" w:sz="4" w:space="0" w:color="auto"/>
              <w:bottom w:val="single" w:sz="4" w:space="0" w:color="auto"/>
              <w:right w:val="single" w:sz="4" w:space="0" w:color="auto"/>
            </w:tcBorders>
            <w:hideMark/>
          </w:tcPr>
          <w:p w14:paraId="7C6B2414"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16. ned</w:t>
            </w:r>
            <w:r w:rsidR="000102B6" w:rsidRPr="00E87295">
              <w:rPr>
                <w:sz w:val="22"/>
                <w:szCs w:val="22"/>
                <w:lang w:val="sr-Latn-RS"/>
              </w:rPr>
              <w:t>j</w:t>
            </w:r>
            <w:r w:rsidRPr="00E87295">
              <w:rPr>
                <w:sz w:val="22"/>
                <w:szCs w:val="22"/>
                <w:lang w:val="sr-Latn-RS"/>
              </w:rPr>
              <w:t>elja</w:t>
            </w:r>
          </w:p>
        </w:tc>
        <w:tc>
          <w:tcPr>
            <w:tcW w:w="1022" w:type="dxa"/>
            <w:tcBorders>
              <w:top w:val="nil"/>
              <w:left w:val="single" w:sz="4" w:space="0" w:color="auto"/>
              <w:bottom w:val="single" w:sz="4" w:space="0" w:color="auto"/>
              <w:right w:val="single" w:sz="4" w:space="0" w:color="auto"/>
            </w:tcBorders>
            <w:hideMark/>
          </w:tcPr>
          <w:p w14:paraId="3554095B"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-0,9 (57,9)</w:t>
            </w:r>
          </w:p>
        </w:tc>
        <w:tc>
          <w:tcPr>
            <w:tcW w:w="1359" w:type="dxa"/>
            <w:tcBorders>
              <w:top w:val="nil"/>
              <w:left w:val="single" w:sz="4" w:space="0" w:color="auto"/>
              <w:bottom w:val="single" w:sz="4" w:space="0" w:color="auto"/>
              <w:right w:val="single" w:sz="4" w:space="0" w:color="auto"/>
            </w:tcBorders>
            <w:hideMark/>
          </w:tcPr>
          <w:p w14:paraId="73F7A5B9"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34,4 (42,4)</w:t>
            </w:r>
            <w:r w:rsidRPr="00E87295">
              <w:rPr>
                <w:sz w:val="22"/>
                <w:szCs w:val="22"/>
                <w:vertAlign w:val="superscript"/>
                <w:lang w:val="sr-Latn-RS"/>
              </w:rPr>
              <w:t>e</w:t>
            </w:r>
          </w:p>
        </w:tc>
        <w:tc>
          <w:tcPr>
            <w:tcW w:w="1396" w:type="dxa"/>
            <w:tcBorders>
              <w:top w:val="nil"/>
              <w:left w:val="single" w:sz="4" w:space="0" w:color="auto"/>
              <w:bottom w:val="single" w:sz="4" w:space="0" w:color="auto"/>
              <w:right w:val="single" w:sz="4" w:space="0" w:color="auto"/>
            </w:tcBorders>
            <w:hideMark/>
          </w:tcPr>
          <w:p w14:paraId="7E9D96D9"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38,0 (53,9)</w:t>
            </w:r>
            <w:r w:rsidRPr="00E87295">
              <w:rPr>
                <w:sz w:val="22"/>
                <w:szCs w:val="22"/>
                <w:vertAlign w:val="superscript"/>
                <w:lang w:val="sr-Latn-RS"/>
              </w:rPr>
              <w:t>d</w:t>
            </w:r>
          </w:p>
        </w:tc>
        <w:tc>
          <w:tcPr>
            <w:tcW w:w="1113" w:type="dxa"/>
            <w:tcBorders>
              <w:top w:val="nil"/>
              <w:left w:val="single" w:sz="4" w:space="0" w:color="auto"/>
              <w:bottom w:val="single" w:sz="4" w:space="0" w:color="auto"/>
              <w:right w:val="single" w:sz="4" w:space="0" w:color="auto"/>
            </w:tcBorders>
            <w:hideMark/>
          </w:tcPr>
          <w:p w14:paraId="7EB111B7"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1,8(53,8)</w:t>
            </w:r>
          </w:p>
        </w:tc>
        <w:tc>
          <w:tcPr>
            <w:tcW w:w="1359" w:type="dxa"/>
            <w:tcBorders>
              <w:top w:val="nil"/>
              <w:left w:val="single" w:sz="4" w:space="0" w:color="auto"/>
              <w:bottom w:val="single" w:sz="4" w:space="0" w:color="auto"/>
              <w:right w:val="single" w:sz="4" w:space="0" w:color="auto"/>
            </w:tcBorders>
            <w:hideMark/>
          </w:tcPr>
          <w:p w14:paraId="6A01A8AB"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39,6 (45,6)</w:t>
            </w:r>
            <w:r w:rsidRPr="00E87295">
              <w:rPr>
                <w:sz w:val="22"/>
                <w:szCs w:val="22"/>
                <w:vertAlign w:val="superscript"/>
                <w:lang w:val="sr-Latn-RS"/>
              </w:rPr>
              <w:t>e</w:t>
            </w:r>
          </w:p>
        </w:tc>
        <w:tc>
          <w:tcPr>
            <w:tcW w:w="1565" w:type="dxa"/>
            <w:tcBorders>
              <w:top w:val="nil"/>
              <w:left w:val="single" w:sz="4" w:space="0" w:color="auto"/>
              <w:bottom w:val="single" w:sz="4" w:space="0" w:color="auto"/>
              <w:right w:val="single" w:sz="4" w:space="0" w:color="auto"/>
            </w:tcBorders>
            <w:hideMark/>
          </w:tcPr>
          <w:p w14:paraId="5CB08674" w14:textId="77777777" w:rsidR="007677A5" w:rsidRPr="00E87295" w:rsidRDefault="007677A5">
            <w:pPr>
              <w:pStyle w:val="Heading50"/>
              <w:keepNext/>
              <w:keepLines/>
              <w:shd w:val="clear" w:color="auto" w:fill="auto"/>
              <w:spacing w:before="0" w:after="0" w:line="240" w:lineRule="auto"/>
              <w:ind w:firstLine="0"/>
              <w:jc w:val="both"/>
              <w:rPr>
                <w:sz w:val="22"/>
                <w:szCs w:val="22"/>
                <w:lang w:val="sr-Latn-RS"/>
              </w:rPr>
            </w:pPr>
            <w:r w:rsidRPr="00E87295">
              <w:rPr>
                <w:sz w:val="22"/>
                <w:szCs w:val="22"/>
                <w:lang w:val="sr-Latn-RS"/>
              </w:rPr>
              <w:t>46,9 (48,1)</w:t>
            </w:r>
            <w:r w:rsidRPr="00E87295">
              <w:rPr>
                <w:sz w:val="22"/>
                <w:szCs w:val="22"/>
                <w:vertAlign w:val="superscript"/>
                <w:lang w:val="sr-Latn-RS"/>
              </w:rPr>
              <w:t>d</w:t>
            </w:r>
          </w:p>
        </w:tc>
      </w:tr>
    </w:tbl>
    <w:p w14:paraId="09680677" w14:textId="77777777" w:rsidR="007677A5" w:rsidRPr="00E87295" w:rsidRDefault="007677A5">
      <w:pPr>
        <w:pStyle w:val="Header"/>
        <w:tabs>
          <w:tab w:val="left" w:pos="284"/>
        </w:tabs>
        <w:jc w:val="both"/>
        <w:rPr>
          <w:sz w:val="22"/>
          <w:szCs w:val="22"/>
          <w:lang w:val="sr-Latn-RS"/>
        </w:rPr>
      </w:pPr>
    </w:p>
    <w:p w14:paraId="76CCC1A5" w14:textId="00F37566"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a</w:t>
      </w:r>
      <w:r w:rsidRPr="00E87295">
        <w:rPr>
          <w:sz w:val="22"/>
          <w:szCs w:val="22"/>
          <w:lang w:val="sr-Latn-RS"/>
        </w:rPr>
        <w:t xml:space="preserve"> Uključuje samo ispitanike koji su na početku ispitivanja imali ss-IGA, f-PGA ili hf-PGA rezultat ≥ 2 ili NAPSI rezultat &gt;</w:t>
      </w:r>
      <w:r w:rsidR="00B113B3" w:rsidRPr="00E87295">
        <w:rPr>
          <w:sz w:val="22"/>
          <w:szCs w:val="22"/>
          <w:lang w:val="sr-Latn-RS"/>
        </w:rPr>
        <w:t xml:space="preserve"> </w:t>
      </w:r>
      <w:r w:rsidRPr="00E87295">
        <w:rPr>
          <w:sz w:val="22"/>
          <w:szCs w:val="22"/>
          <w:lang w:val="sr-Latn-RS"/>
        </w:rPr>
        <w:t xml:space="preserve">0 </w:t>
      </w:r>
    </w:p>
    <w:p w14:paraId="282DBC8C" w14:textId="7777777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b</w:t>
      </w:r>
      <w:r w:rsidRPr="00E87295">
        <w:rPr>
          <w:sz w:val="22"/>
          <w:szCs w:val="22"/>
          <w:lang w:val="sr-Latn-RS"/>
        </w:rPr>
        <w:t xml:space="preserve"> Uključuje samo ispitanike koji su ostvarili poboljšanje početnog ss-IGA i/ili hf-PGA rezultata za ≥ 2 stepena. </w:t>
      </w:r>
    </w:p>
    <w:p w14:paraId="7DA70605" w14:textId="793CDAC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c</w:t>
      </w:r>
      <w:r w:rsidRPr="00E87295">
        <w:rPr>
          <w:sz w:val="22"/>
          <w:szCs w:val="22"/>
          <w:lang w:val="sr-Latn-RS"/>
        </w:rPr>
        <w:t xml:space="preserve"> p &lt; 0,001 za poređenje guselkumaba i placeba kod glavn</w:t>
      </w:r>
      <w:r w:rsidR="00B113B3" w:rsidRPr="00E87295">
        <w:rPr>
          <w:sz w:val="22"/>
          <w:szCs w:val="22"/>
          <w:lang w:val="sr-Latn-RS"/>
        </w:rPr>
        <w:t>og sekundarnog parametra praćenja</w:t>
      </w:r>
      <w:r w:rsidRPr="00E87295">
        <w:rPr>
          <w:sz w:val="22"/>
          <w:szCs w:val="22"/>
          <w:lang w:val="sr-Latn-RS"/>
        </w:rPr>
        <w:t xml:space="preserve">. </w:t>
      </w:r>
    </w:p>
    <w:p w14:paraId="0B9EF2BE" w14:textId="7777777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d</w:t>
      </w:r>
      <w:r w:rsidRPr="00E87295">
        <w:rPr>
          <w:sz w:val="22"/>
          <w:szCs w:val="22"/>
          <w:lang w:val="sr-Latn-RS"/>
        </w:rPr>
        <w:t xml:space="preserve"> Ni</w:t>
      </w:r>
      <w:r w:rsidR="000102B6" w:rsidRPr="00E87295">
        <w:rPr>
          <w:sz w:val="22"/>
          <w:szCs w:val="22"/>
          <w:lang w:val="sr-Latn-RS"/>
        </w:rPr>
        <w:t>je</w:t>
      </w:r>
      <w:r w:rsidRPr="00E87295">
        <w:rPr>
          <w:sz w:val="22"/>
          <w:szCs w:val="22"/>
          <w:lang w:val="sr-Latn-RS"/>
        </w:rPr>
        <w:t xml:space="preserve">su sprovedena poređenja guselkumaba i adalimumaba. </w:t>
      </w:r>
    </w:p>
    <w:p w14:paraId="6BD31F7D" w14:textId="77777777"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e</w:t>
      </w:r>
      <w:r w:rsidRPr="00E87295">
        <w:rPr>
          <w:sz w:val="22"/>
          <w:szCs w:val="22"/>
          <w:lang w:val="sr-Latn-RS"/>
        </w:rPr>
        <w:t xml:space="preserve"> p &lt; 0,001 za poređenje guselkumaba i placeba.</w:t>
      </w:r>
    </w:p>
    <w:p w14:paraId="50AF5A67" w14:textId="7566A4CB" w:rsidR="00B96121" w:rsidRPr="00E87295" w:rsidRDefault="007677A5">
      <w:pPr>
        <w:pStyle w:val="Bodytext30"/>
        <w:shd w:val="clear" w:color="auto" w:fill="auto"/>
        <w:spacing w:before="224" w:line="240" w:lineRule="auto"/>
        <w:ind w:firstLine="0"/>
        <w:jc w:val="both"/>
        <w:rPr>
          <w:i/>
          <w:sz w:val="22"/>
          <w:szCs w:val="22"/>
          <w:u w:val="single"/>
          <w:lang w:val="sr-Latn-RS"/>
        </w:rPr>
      </w:pPr>
      <w:r w:rsidRPr="00E87295">
        <w:rPr>
          <w:i/>
          <w:sz w:val="22"/>
          <w:szCs w:val="22"/>
          <w:u w:val="single"/>
          <w:lang w:val="sr-Latn-RS"/>
        </w:rPr>
        <w:t>Kvalitet života povezan sa zdravljem /</w:t>
      </w:r>
      <w:r w:rsidR="00B113B3" w:rsidRPr="00E87295">
        <w:rPr>
          <w:i/>
          <w:sz w:val="22"/>
          <w:szCs w:val="22"/>
          <w:u w:val="single"/>
          <w:lang w:val="sr-Latn-RS"/>
        </w:rPr>
        <w:t xml:space="preserve"> </w:t>
      </w:r>
      <w:r w:rsidRPr="00E87295">
        <w:rPr>
          <w:i/>
          <w:sz w:val="22"/>
          <w:szCs w:val="22"/>
          <w:u w:val="single"/>
          <w:lang w:val="sr-Latn-RS"/>
        </w:rPr>
        <w:t>Ishodi po ocjeni samih pacijenata</w:t>
      </w:r>
    </w:p>
    <w:p w14:paraId="722C042C" w14:textId="7FB0382A" w:rsidR="007677A5" w:rsidRPr="00E87295" w:rsidRDefault="007677A5">
      <w:pPr>
        <w:pStyle w:val="Header"/>
        <w:tabs>
          <w:tab w:val="left" w:pos="284"/>
        </w:tabs>
        <w:jc w:val="both"/>
        <w:rPr>
          <w:sz w:val="22"/>
          <w:szCs w:val="22"/>
          <w:lang w:val="sr-Latn-RS"/>
        </w:rPr>
      </w:pPr>
      <w:r w:rsidRPr="00E87295">
        <w:rPr>
          <w:sz w:val="22"/>
          <w:szCs w:val="22"/>
          <w:lang w:val="sr-Latn-RS"/>
        </w:rPr>
        <w:t xml:space="preserve">U oba klinička ispitivanja (VOYAGE 1 i 2), u 16. nedelji, zabilježena su značajno veća poboljšanja kvaliteta života povezanog sa zdravljem, mjereno indeksom kvaliteta života </w:t>
      </w:r>
      <w:r w:rsidR="000102B6" w:rsidRPr="00E87295">
        <w:rPr>
          <w:sz w:val="22"/>
          <w:szCs w:val="22"/>
          <w:lang w:val="sr-Latn-RS"/>
        </w:rPr>
        <w:t xml:space="preserve">kod dermatoloških bolesti </w:t>
      </w:r>
      <w:r w:rsidRPr="00E87295">
        <w:rPr>
          <w:sz w:val="22"/>
          <w:szCs w:val="22"/>
          <w:lang w:val="sr-Latn-RS"/>
        </w:rPr>
        <w:t>(DLQI) i simptomima psorijaze prijavljenih od strane pacijenta  (svrab, bol, osećaj pečenja, peckanje i zatezanje kože) odnosno znakova psorijaze prijavljenih od strane pacijenta (suvoća kože, pucanje, ljuspanje, ljuštenje ili perutanje, crvenilo i krvarenje kože)</w:t>
      </w:r>
      <w:r w:rsidR="000102B6" w:rsidRPr="00E87295">
        <w:rPr>
          <w:sz w:val="22"/>
          <w:szCs w:val="22"/>
          <w:lang w:val="sr-Latn-RS"/>
        </w:rPr>
        <w:t xml:space="preserve"> </w:t>
      </w:r>
      <w:r w:rsidRPr="00E87295">
        <w:rPr>
          <w:sz w:val="22"/>
          <w:szCs w:val="22"/>
          <w:lang w:val="sr-Latn-RS"/>
        </w:rPr>
        <w:t>mjerenih na osnovu praćenja simptoma i znakova psorijaze (engl.</w:t>
      </w:r>
      <w:r w:rsidRPr="00E87295">
        <w:rPr>
          <w:rStyle w:val="BodytextItalic"/>
          <w:sz w:val="22"/>
          <w:szCs w:val="22"/>
          <w:lang w:val="sr-Latn-RS"/>
        </w:rPr>
        <w:t xml:space="preserve"> Psoriasis Symptoms and Signs Diary,</w:t>
      </w:r>
      <w:r w:rsidRPr="00E87295">
        <w:rPr>
          <w:sz w:val="22"/>
          <w:szCs w:val="22"/>
          <w:lang w:val="sr-Latn-RS"/>
        </w:rPr>
        <w:t xml:space="preserve"> PSSD) kod pacijenata liječenih guselkumabom u poređenju sa pacijentima koji su primali placebo (Tabela </w:t>
      </w:r>
      <w:r w:rsidR="001A5B54" w:rsidRPr="00E87295">
        <w:rPr>
          <w:sz w:val="22"/>
          <w:szCs w:val="22"/>
          <w:lang w:val="sr-Latn-RS"/>
        </w:rPr>
        <w:t>5</w:t>
      </w:r>
      <w:r w:rsidRPr="00E87295">
        <w:rPr>
          <w:sz w:val="22"/>
          <w:szCs w:val="22"/>
          <w:lang w:val="sr-Latn-RS"/>
        </w:rPr>
        <w:t xml:space="preserve">). Znaci poboljšanja ishoda po ocjeni samih pacijenata održali su se </w:t>
      </w:r>
      <w:r w:rsidR="000166BC" w:rsidRPr="00E87295">
        <w:rPr>
          <w:sz w:val="22"/>
          <w:szCs w:val="22"/>
          <w:lang w:val="sr-Latn-RS"/>
        </w:rPr>
        <w:t>do</w:t>
      </w:r>
      <w:r w:rsidRPr="00E87295">
        <w:rPr>
          <w:sz w:val="22"/>
          <w:szCs w:val="22"/>
          <w:lang w:val="sr-Latn-RS"/>
        </w:rPr>
        <w:t xml:space="preserve"> 24. ned</w:t>
      </w:r>
      <w:r w:rsidR="000102B6" w:rsidRPr="00E87295">
        <w:rPr>
          <w:sz w:val="22"/>
          <w:szCs w:val="22"/>
          <w:lang w:val="sr-Latn-RS"/>
        </w:rPr>
        <w:t>j</w:t>
      </w:r>
      <w:r w:rsidRPr="00E87295">
        <w:rPr>
          <w:sz w:val="22"/>
          <w:szCs w:val="22"/>
          <w:lang w:val="sr-Latn-RS"/>
        </w:rPr>
        <w:t>elje (VOYAGE 1 i 2) i 48. ned</w:t>
      </w:r>
      <w:r w:rsidR="000102B6" w:rsidRPr="00E87295">
        <w:rPr>
          <w:sz w:val="22"/>
          <w:szCs w:val="22"/>
          <w:lang w:val="sr-Latn-RS"/>
        </w:rPr>
        <w:t>j</w:t>
      </w:r>
      <w:r w:rsidRPr="00E87295">
        <w:rPr>
          <w:sz w:val="22"/>
          <w:szCs w:val="22"/>
          <w:lang w:val="sr-Latn-RS"/>
        </w:rPr>
        <w:t>elj</w:t>
      </w:r>
      <w:r w:rsidR="000166BC" w:rsidRPr="00E87295">
        <w:rPr>
          <w:sz w:val="22"/>
          <w:szCs w:val="22"/>
          <w:lang w:val="sr-Latn-RS"/>
        </w:rPr>
        <w:t>e</w:t>
      </w:r>
      <w:r w:rsidRPr="00E87295">
        <w:rPr>
          <w:sz w:val="22"/>
          <w:szCs w:val="22"/>
          <w:lang w:val="sr-Latn-RS"/>
        </w:rPr>
        <w:t xml:space="preserve"> (VOYAGE 1).</w:t>
      </w:r>
      <w:r w:rsidR="0006393B" w:rsidRPr="00C929E2">
        <w:rPr>
          <w:sz w:val="22"/>
          <w:szCs w:val="22"/>
          <w:lang w:val="sr-Latn-RS"/>
        </w:rPr>
        <w:t xml:space="preserve"> Kod pacijenata koji su kontinuirano primali guselkumab u ispitivanju VOYAGE 1, ova poboljšanja su se održala u otvorenoj fazi ispitivanja </w:t>
      </w:r>
      <w:r w:rsidR="000166BC" w:rsidRPr="00C929E2">
        <w:rPr>
          <w:sz w:val="22"/>
          <w:szCs w:val="22"/>
          <w:lang w:val="sr-Latn-RS"/>
        </w:rPr>
        <w:t>do</w:t>
      </w:r>
      <w:r w:rsidR="0006393B" w:rsidRPr="00C929E2">
        <w:rPr>
          <w:sz w:val="22"/>
          <w:szCs w:val="22"/>
          <w:lang w:val="sr-Latn-RS"/>
        </w:rPr>
        <w:t xml:space="preserve"> </w:t>
      </w:r>
      <w:r w:rsidR="00681A8E" w:rsidRPr="00C929E2">
        <w:rPr>
          <w:sz w:val="22"/>
          <w:szCs w:val="22"/>
          <w:lang w:val="sr-Latn-RS"/>
        </w:rPr>
        <w:t>252</w:t>
      </w:r>
      <w:r w:rsidR="0006393B" w:rsidRPr="00C929E2">
        <w:rPr>
          <w:sz w:val="22"/>
          <w:szCs w:val="22"/>
          <w:lang w:val="sr-Latn-RS"/>
        </w:rPr>
        <w:t>. ned</w:t>
      </w:r>
      <w:r w:rsidR="004C56CA" w:rsidRPr="00C929E2">
        <w:rPr>
          <w:sz w:val="22"/>
          <w:szCs w:val="22"/>
          <w:lang w:val="sr-Latn-RS"/>
        </w:rPr>
        <w:t>j</w:t>
      </w:r>
      <w:r w:rsidR="0006393B" w:rsidRPr="00C929E2">
        <w:rPr>
          <w:sz w:val="22"/>
          <w:szCs w:val="22"/>
          <w:lang w:val="sr-Latn-RS"/>
        </w:rPr>
        <w:t xml:space="preserve">elje (Tabela </w:t>
      </w:r>
      <w:r w:rsidR="001A5B54" w:rsidRPr="00C929E2">
        <w:rPr>
          <w:sz w:val="22"/>
          <w:szCs w:val="22"/>
          <w:lang w:val="sr-Latn-RS"/>
        </w:rPr>
        <w:t>6</w:t>
      </w:r>
      <w:r w:rsidR="0006393B" w:rsidRPr="00C929E2">
        <w:rPr>
          <w:sz w:val="22"/>
          <w:szCs w:val="22"/>
          <w:lang w:val="sr-Latn-RS"/>
        </w:rPr>
        <w:t>).</w:t>
      </w:r>
    </w:p>
    <w:p w14:paraId="1DA8F543" w14:textId="77777777" w:rsidR="007677A5" w:rsidRPr="00E87295" w:rsidRDefault="007677A5">
      <w:pPr>
        <w:pStyle w:val="Header"/>
        <w:tabs>
          <w:tab w:val="left" w:pos="284"/>
        </w:tabs>
        <w:jc w:val="both"/>
        <w:rPr>
          <w:sz w:val="22"/>
          <w:szCs w:val="22"/>
          <w:lang w:val="sr-Latn-RS"/>
        </w:rPr>
      </w:pPr>
    </w:p>
    <w:p w14:paraId="75D5C6C1" w14:textId="77777777" w:rsidR="007677A5" w:rsidRPr="00E87295" w:rsidRDefault="007677A5">
      <w:pPr>
        <w:tabs>
          <w:tab w:val="left" w:pos="720"/>
        </w:tabs>
        <w:jc w:val="both"/>
        <w:rPr>
          <w:sz w:val="22"/>
          <w:szCs w:val="22"/>
          <w:lang w:val="sr-Latn-RS"/>
        </w:rPr>
      </w:pPr>
      <w:r w:rsidRPr="00E87295">
        <w:rPr>
          <w:sz w:val="22"/>
          <w:szCs w:val="22"/>
          <w:lang w:val="sr-Latn-RS"/>
        </w:rPr>
        <w:br w:type="page"/>
      </w:r>
    </w:p>
    <w:p w14:paraId="2536DBE4" w14:textId="57E225D1" w:rsidR="007677A5" w:rsidRPr="00E87295" w:rsidRDefault="007677A5">
      <w:pPr>
        <w:pStyle w:val="Header"/>
        <w:tabs>
          <w:tab w:val="left" w:pos="284"/>
        </w:tabs>
        <w:jc w:val="both"/>
        <w:rPr>
          <w:b/>
          <w:sz w:val="22"/>
          <w:szCs w:val="22"/>
          <w:lang w:val="sr-Latn-RS"/>
        </w:rPr>
      </w:pPr>
      <w:r w:rsidRPr="00E87295">
        <w:rPr>
          <w:b/>
          <w:sz w:val="22"/>
          <w:szCs w:val="22"/>
          <w:lang w:val="sr-Latn-RS"/>
        </w:rPr>
        <w:lastRenderedPageBreak/>
        <w:t xml:space="preserve">Tabela </w:t>
      </w:r>
      <w:r w:rsidR="001A5B54" w:rsidRPr="00E87295">
        <w:rPr>
          <w:b/>
          <w:sz w:val="22"/>
          <w:szCs w:val="22"/>
          <w:lang w:val="sr-Latn-RS"/>
        </w:rPr>
        <w:t>5</w:t>
      </w:r>
      <w:r w:rsidRPr="00E87295">
        <w:rPr>
          <w:b/>
          <w:sz w:val="22"/>
          <w:szCs w:val="22"/>
          <w:lang w:val="sr-Latn-RS"/>
        </w:rPr>
        <w:t xml:space="preserve">: Sažeti prikaz ishoda prijavljenih od strane pacijenta </w:t>
      </w:r>
      <w:r w:rsidR="0006393B" w:rsidRPr="00C929E2">
        <w:rPr>
          <w:b/>
          <w:sz w:val="22"/>
          <w:szCs w:val="22"/>
          <w:lang w:val="sr-Latn-RS"/>
        </w:rPr>
        <w:t>u 16. ned</w:t>
      </w:r>
      <w:r w:rsidR="004C56CA" w:rsidRPr="00C929E2">
        <w:rPr>
          <w:b/>
          <w:sz w:val="22"/>
          <w:szCs w:val="22"/>
          <w:lang w:val="sr-Latn-RS"/>
        </w:rPr>
        <w:t>j</w:t>
      </w:r>
      <w:r w:rsidR="0006393B" w:rsidRPr="00C929E2">
        <w:rPr>
          <w:b/>
          <w:sz w:val="22"/>
          <w:szCs w:val="22"/>
          <w:lang w:val="sr-Latn-RS"/>
        </w:rPr>
        <w:t xml:space="preserve">elji </w:t>
      </w:r>
      <w:r w:rsidRPr="00E87295">
        <w:rPr>
          <w:b/>
          <w:sz w:val="22"/>
          <w:szCs w:val="22"/>
          <w:lang w:val="sr-Latn-RS"/>
        </w:rPr>
        <w:t>u kliničkim ispitivanjima VOYAGE 1 i VOYAGE 2</w:t>
      </w:r>
    </w:p>
    <w:tbl>
      <w:tblPr>
        <w:tblW w:w="0" w:type="auto"/>
        <w:tblInd w:w="10" w:type="dxa"/>
        <w:tblCellMar>
          <w:left w:w="10" w:type="dxa"/>
          <w:right w:w="10" w:type="dxa"/>
        </w:tblCellMar>
        <w:tblLook w:val="04A0" w:firstRow="1" w:lastRow="0" w:firstColumn="1" w:lastColumn="0" w:noHBand="0" w:noVBand="1"/>
      </w:tblPr>
      <w:tblGrid>
        <w:gridCol w:w="2941"/>
        <w:gridCol w:w="760"/>
        <w:gridCol w:w="1133"/>
        <w:gridCol w:w="1169"/>
        <w:gridCol w:w="760"/>
        <w:gridCol w:w="1133"/>
        <w:gridCol w:w="1169"/>
      </w:tblGrid>
      <w:tr w:rsidR="007677A5" w:rsidRPr="00E87295" w14:paraId="29C4CC94" w14:textId="77777777" w:rsidTr="007677A5">
        <w:trPr>
          <w:trHeight w:val="206"/>
        </w:trPr>
        <w:tc>
          <w:tcPr>
            <w:tcW w:w="0" w:type="auto"/>
            <w:tcBorders>
              <w:top w:val="single" w:sz="4" w:space="0" w:color="auto"/>
              <w:left w:val="single" w:sz="4" w:space="0" w:color="auto"/>
              <w:bottom w:val="nil"/>
              <w:right w:val="single" w:sz="4" w:space="0" w:color="auto"/>
            </w:tcBorders>
            <w:shd w:val="clear" w:color="auto" w:fill="FFFFFF"/>
          </w:tcPr>
          <w:p w14:paraId="449E8462" w14:textId="77777777" w:rsidR="007677A5" w:rsidRPr="00E87295" w:rsidRDefault="007677A5">
            <w:pPr>
              <w:jc w:val="both"/>
              <w:rPr>
                <w:sz w:val="22"/>
                <w:szCs w:val="22"/>
                <w:lang w:val="sr-Latn-R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hideMark/>
          </w:tcPr>
          <w:p w14:paraId="1049732E" w14:textId="77777777" w:rsidR="007677A5" w:rsidRPr="00E87295" w:rsidRDefault="007677A5">
            <w:pPr>
              <w:jc w:val="both"/>
              <w:rPr>
                <w:sz w:val="22"/>
                <w:szCs w:val="22"/>
                <w:lang w:val="sr-Latn-RS"/>
              </w:rPr>
            </w:pPr>
            <w:r w:rsidRPr="00E87295">
              <w:rPr>
                <w:sz w:val="22"/>
                <w:szCs w:val="22"/>
                <w:lang w:val="sr-Latn-RS"/>
              </w:rPr>
              <w:t>VOYAGE1</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hideMark/>
          </w:tcPr>
          <w:p w14:paraId="6CD45B70" w14:textId="77777777" w:rsidR="007677A5" w:rsidRPr="00E87295" w:rsidRDefault="007677A5">
            <w:pPr>
              <w:jc w:val="both"/>
              <w:rPr>
                <w:sz w:val="22"/>
                <w:szCs w:val="22"/>
                <w:lang w:val="sr-Latn-RS"/>
              </w:rPr>
            </w:pPr>
            <w:r w:rsidRPr="00E87295">
              <w:rPr>
                <w:sz w:val="22"/>
                <w:szCs w:val="22"/>
                <w:lang w:val="sr-Latn-RS"/>
              </w:rPr>
              <w:t>VOYAGE 2</w:t>
            </w:r>
          </w:p>
        </w:tc>
      </w:tr>
      <w:tr w:rsidR="007677A5" w:rsidRPr="00E87295" w14:paraId="2BE4BC87" w14:textId="77777777" w:rsidTr="007677A5">
        <w:trPr>
          <w:trHeight w:val="240"/>
        </w:trPr>
        <w:tc>
          <w:tcPr>
            <w:tcW w:w="0" w:type="auto"/>
            <w:tcBorders>
              <w:top w:val="nil"/>
              <w:left w:val="single" w:sz="4" w:space="0" w:color="auto"/>
              <w:bottom w:val="single" w:sz="4" w:space="0" w:color="auto"/>
              <w:right w:val="single" w:sz="4" w:space="0" w:color="auto"/>
            </w:tcBorders>
            <w:shd w:val="clear" w:color="auto" w:fill="FFFFFF"/>
          </w:tcPr>
          <w:p w14:paraId="7DE90B06" w14:textId="77777777" w:rsidR="007677A5" w:rsidRPr="00E87295" w:rsidRDefault="007677A5">
            <w:pPr>
              <w:jc w:val="both"/>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058ED6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Placebo</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984496"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Guselkumab</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28C02F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Adalimumab</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0597FD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Placebo</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48B107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Guselkumab</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6043EA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Adalimumab</w:t>
            </w:r>
          </w:p>
        </w:tc>
      </w:tr>
      <w:tr w:rsidR="007677A5" w:rsidRPr="00E87295" w14:paraId="45CC4430" w14:textId="77777777" w:rsidTr="007677A5">
        <w:trPr>
          <w:trHeight w:val="226"/>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1214670" w14:textId="77777777" w:rsidR="007677A5" w:rsidRPr="00E87295" w:rsidRDefault="007677A5">
            <w:pPr>
              <w:pStyle w:val="Bodytext50"/>
              <w:shd w:val="clear" w:color="auto" w:fill="auto"/>
              <w:spacing w:line="240" w:lineRule="auto"/>
              <w:jc w:val="both"/>
              <w:rPr>
                <w:sz w:val="22"/>
                <w:szCs w:val="22"/>
                <w:lang w:val="sr-Latn-RS"/>
              </w:rPr>
            </w:pPr>
            <w:r w:rsidRPr="00E87295">
              <w:rPr>
                <w:rStyle w:val="Bodytext95pt"/>
                <w:sz w:val="22"/>
                <w:szCs w:val="22"/>
                <w:lang w:val="sr-Latn-RS"/>
              </w:rPr>
              <w:t>DLQI,</w:t>
            </w:r>
            <w:r w:rsidRPr="00E87295">
              <w:rPr>
                <w:sz w:val="22"/>
                <w:szCs w:val="22"/>
                <w:lang w:val="sr-Latn-RS"/>
              </w:rPr>
              <w:t xml:space="preserve"> ispitanici sa početnim rezultatom </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497DD6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170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11674E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322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59023F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328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5C1080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95E1AE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495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A3A333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247</w:t>
            </w:r>
          </w:p>
        </w:tc>
      </w:tr>
      <w:tr w:rsidR="007677A5" w:rsidRPr="00E87295" w14:paraId="6913E11D" w14:textId="77777777" w:rsidTr="007677A5">
        <w:trPr>
          <w:trHeight w:val="226"/>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860B28A" w14:textId="77777777" w:rsidR="007677A5" w:rsidRPr="00E87295" w:rsidRDefault="007677A5">
            <w:pPr>
              <w:pStyle w:val="Bodytext50"/>
              <w:shd w:val="clear" w:color="auto" w:fill="auto"/>
              <w:spacing w:line="240" w:lineRule="auto"/>
              <w:jc w:val="both"/>
              <w:rPr>
                <w:sz w:val="22"/>
                <w:szCs w:val="22"/>
                <w:lang w:val="sr-Latn-RS"/>
              </w:rPr>
            </w:pPr>
            <w:r w:rsidRPr="00E87295">
              <w:rPr>
                <w:sz w:val="22"/>
                <w:szCs w:val="22"/>
                <w:lang w:val="sr-Latn-RS"/>
              </w:rPr>
              <w:t>Promjena od početne vrijednosti, srednja vrijednost (standardna devijacija)</w:t>
            </w:r>
          </w:p>
          <w:p w14:paraId="40AE2E73" w14:textId="77777777" w:rsidR="007677A5" w:rsidRPr="00E87295" w:rsidRDefault="007677A5">
            <w:pPr>
              <w:pStyle w:val="Bodytext50"/>
              <w:shd w:val="clear" w:color="auto" w:fill="auto"/>
              <w:spacing w:line="240" w:lineRule="auto"/>
              <w:jc w:val="both"/>
              <w:rPr>
                <w:sz w:val="22"/>
                <w:szCs w:val="22"/>
                <w:lang w:val="sr-Latn-RS"/>
              </w:rPr>
            </w:pPr>
            <w:r w:rsidRPr="00E87295">
              <w:rPr>
                <w:sz w:val="22"/>
                <w:szCs w:val="22"/>
                <w:lang w:val="sr-Latn-RS"/>
              </w:rPr>
              <w:t>16. ned</w:t>
            </w:r>
            <w:r w:rsidR="000102B6" w:rsidRPr="00E87295">
              <w:rPr>
                <w:sz w:val="22"/>
                <w:szCs w:val="22"/>
                <w:lang w:val="sr-Latn-RS"/>
              </w:rPr>
              <w:t>j</w:t>
            </w:r>
            <w:r w:rsidRPr="00E87295">
              <w:rPr>
                <w:sz w:val="22"/>
                <w:szCs w:val="22"/>
                <w:lang w:val="sr-Latn-RS"/>
              </w:rPr>
              <w:t>elja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538D534"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-0,6 (6,4)</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0582D8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-11,2 (7,2)</w:t>
            </w:r>
            <w:r w:rsidRPr="00E87295">
              <w:rPr>
                <w:sz w:val="22"/>
                <w:szCs w:val="22"/>
                <w:vertAlign w:val="superscript"/>
                <w:lang w:val="sr-Latn-RS"/>
              </w:rPr>
              <w:t>c</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1D7041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-9,3 (7,8)</w:t>
            </w:r>
            <w:r w:rsidRPr="00E87295">
              <w:rPr>
                <w:sz w:val="22"/>
                <w:szCs w:val="22"/>
                <w:vertAlign w:val="superscript"/>
                <w:lang w:val="sr-Latn-RS"/>
              </w:rPr>
              <w:t>b</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0C47F61"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-2,6 (6,9)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D579FD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-11,3 (6,8)</w:t>
            </w:r>
            <w:r w:rsidRPr="00E87295">
              <w:rPr>
                <w:sz w:val="22"/>
                <w:szCs w:val="22"/>
                <w:vertAlign w:val="superscript"/>
                <w:lang w:val="sr-Latn-RS"/>
              </w:rPr>
              <w:t>c</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59C527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-9,7 (6,8)</w:t>
            </w:r>
            <w:r w:rsidRPr="00E87295">
              <w:rPr>
                <w:sz w:val="22"/>
                <w:szCs w:val="22"/>
                <w:vertAlign w:val="superscript"/>
                <w:lang w:val="sr-Latn-RS"/>
              </w:rPr>
              <w:t>b</w:t>
            </w:r>
          </w:p>
        </w:tc>
      </w:tr>
      <w:tr w:rsidR="007677A5" w:rsidRPr="00E87295" w14:paraId="6BF48CEA" w14:textId="77777777" w:rsidTr="007677A5">
        <w:trPr>
          <w:trHeight w:val="226"/>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AAFFF7C" w14:textId="77777777" w:rsidR="007677A5" w:rsidRPr="00E87295" w:rsidRDefault="007677A5">
            <w:pPr>
              <w:pStyle w:val="Bodytext50"/>
              <w:shd w:val="clear" w:color="auto" w:fill="auto"/>
              <w:spacing w:line="240" w:lineRule="auto"/>
              <w:jc w:val="both"/>
              <w:rPr>
                <w:sz w:val="22"/>
                <w:szCs w:val="22"/>
                <w:lang w:val="sr-Latn-RS"/>
              </w:rPr>
            </w:pPr>
            <w:r w:rsidRPr="00E87295">
              <w:rPr>
                <w:rStyle w:val="Bodytext95pt"/>
                <w:sz w:val="22"/>
                <w:szCs w:val="22"/>
                <w:lang w:val="sr-Latn-RS"/>
              </w:rPr>
              <w:t>PSSD rezultat za simptome,</w:t>
            </w:r>
            <w:r w:rsidRPr="00E87295">
              <w:rPr>
                <w:sz w:val="22"/>
                <w:szCs w:val="22"/>
                <w:lang w:val="sr-Latn-RS"/>
              </w:rPr>
              <w:t xml:space="preserve"> ispitanici sa početnim rezultatom &gt; 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CE90BBF"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129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3744DBD"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FD74411"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273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005B3C6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198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72941EA"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410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4D2899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200</w:t>
            </w:r>
          </w:p>
        </w:tc>
      </w:tr>
      <w:tr w:rsidR="007677A5" w:rsidRPr="00E87295" w14:paraId="621239C0" w14:textId="77777777" w:rsidTr="007677A5">
        <w:trPr>
          <w:trHeight w:val="226"/>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FCED5E9" w14:textId="77777777" w:rsidR="007677A5" w:rsidRPr="00E87295" w:rsidRDefault="007677A5">
            <w:pPr>
              <w:pStyle w:val="Bodytext50"/>
              <w:shd w:val="clear" w:color="auto" w:fill="auto"/>
              <w:spacing w:line="240" w:lineRule="auto"/>
              <w:jc w:val="both"/>
              <w:rPr>
                <w:sz w:val="22"/>
                <w:szCs w:val="22"/>
                <w:lang w:val="sr-Latn-RS"/>
              </w:rPr>
            </w:pPr>
            <w:r w:rsidRPr="00E87295">
              <w:rPr>
                <w:sz w:val="22"/>
                <w:szCs w:val="22"/>
                <w:lang w:val="sr-Latn-RS"/>
              </w:rPr>
              <w:t>Rezultat za simptome = 0, n (%) 16. ned</w:t>
            </w:r>
            <w:r w:rsidR="000102B6" w:rsidRPr="00E87295">
              <w:rPr>
                <w:sz w:val="22"/>
                <w:szCs w:val="22"/>
                <w:lang w:val="sr-Latn-RS"/>
              </w:rPr>
              <w:t>j</w:t>
            </w:r>
            <w:r w:rsidRPr="00E87295">
              <w:rPr>
                <w:sz w:val="22"/>
                <w:szCs w:val="22"/>
                <w:lang w:val="sr-Latn-RS"/>
              </w:rPr>
              <w:t>elja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CF10A82"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 (0,8)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62D064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67 (27,0)</w:t>
            </w:r>
            <w:r w:rsidRPr="00E87295">
              <w:rPr>
                <w:sz w:val="22"/>
                <w:szCs w:val="22"/>
                <w:vertAlign w:val="superscript"/>
                <w:lang w:val="sr-Latn-RS"/>
              </w:rPr>
              <w:t>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8569E99"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45 (16,5)</w:t>
            </w:r>
            <w:r w:rsidRPr="00E87295">
              <w:rPr>
                <w:sz w:val="22"/>
                <w:szCs w:val="22"/>
                <w:vertAlign w:val="superscript"/>
                <w:lang w:val="sr-Latn-RS"/>
              </w:rPr>
              <w:t>b</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0F0E0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299F01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112 (27,3)</w:t>
            </w:r>
            <w:r w:rsidRPr="00E87295">
              <w:rPr>
                <w:sz w:val="22"/>
                <w:szCs w:val="22"/>
                <w:vertAlign w:val="superscript"/>
                <w:lang w:val="sr-Latn-RS"/>
              </w:rPr>
              <w:t>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69CA27C"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30 (15,0)</w:t>
            </w:r>
            <w:r w:rsidRPr="00E87295">
              <w:rPr>
                <w:sz w:val="22"/>
                <w:szCs w:val="22"/>
                <w:vertAlign w:val="superscript"/>
                <w:lang w:val="sr-Latn-RS"/>
              </w:rPr>
              <w:t>b</w:t>
            </w:r>
          </w:p>
        </w:tc>
      </w:tr>
      <w:tr w:rsidR="007677A5" w:rsidRPr="00E87295" w14:paraId="6C0E12EE" w14:textId="77777777" w:rsidTr="007677A5">
        <w:trPr>
          <w:trHeight w:val="226"/>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03E5842" w14:textId="77777777" w:rsidR="007677A5" w:rsidRPr="00E87295" w:rsidRDefault="007677A5">
            <w:pPr>
              <w:pStyle w:val="Bodytext40"/>
              <w:shd w:val="clear" w:color="auto" w:fill="auto"/>
              <w:spacing w:line="240" w:lineRule="auto"/>
              <w:rPr>
                <w:sz w:val="22"/>
                <w:szCs w:val="22"/>
                <w:lang w:val="sr-Latn-RS"/>
              </w:rPr>
            </w:pPr>
            <w:r w:rsidRPr="00E87295">
              <w:rPr>
                <w:rStyle w:val="Bodytext95pt"/>
                <w:sz w:val="22"/>
                <w:szCs w:val="22"/>
                <w:lang w:val="sr-Latn-RS"/>
              </w:rPr>
              <w:t>PSSD rezultat za znakove,</w:t>
            </w:r>
            <w:r w:rsidRPr="00E87295">
              <w:rPr>
                <w:sz w:val="22"/>
                <w:szCs w:val="22"/>
                <w:lang w:val="sr-Latn-RS"/>
              </w:rPr>
              <w:t xml:space="preserve"> ispitanici sa početnim rezultatom &gt; 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2CCD031"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129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65BB727"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248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78E145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274</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0AFC1F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198</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1B0476B"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411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22B099EE"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201</w:t>
            </w:r>
          </w:p>
        </w:tc>
      </w:tr>
      <w:tr w:rsidR="007677A5" w:rsidRPr="00E87295" w14:paraId="13A95C19" w14:textId="77777777" w:rsidTr="007677A5">
        <w:trPr>
          <w:trHeight w:val="226"/>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2F91BA2" w14:textId="77777777" w:rsidR="007677A5" w:rsidRPr="00E87295" w:rsidRDefault="007677A5">
            <w:pPr>
              <w:pStyle w:val="Bodytext50"/>
              <w:shd w:val="clear" w:color="auto" w:fill="auto"/>
              <w:spacing w:line="240" w:lineRule="auto"/>
              <w:jc w:val="both"/>
              <w:rPr>
                <w:sz w:val="22"/>
                <w:szCs w:val="22"/>
                <w:lang w:val="sr-Latn-RS"/>
              </w:rPr>
            </w:pPr>
            <w:r w:rsidRPr="00E87295">
              <w:rPr>
                <w:sz w:val="22"/>
                <w:szCs w:val="22"/>
                <w:lang w:val="sr-Latn-RS"/>
              </w:rPr>
              <w:t>Rezultat za znakove = 0, n (%) 16. ned</w:t>
            </w:r>
            <w:r w:rsidR="000102B6" w:rsidRPr="00E87295">
              <w:rPr>
                <w:sz w:val="22"/>
                <w:szCs w:val="22"/>
                <w:lang w:val="sr-Latn-RS"/>
              </w:rPr>
              <w:t>j</w:t>
            </w:r>
            <w:r w:rsidRPr="00E87295">
              <w:rPr>
                <w:sz w:val="22"/>
                <w:szCs w:val="22"/>
                <w:lang w:val="sr-Latn-RS"/>
              </w:rPr>
              <w:t>elja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9A61AB3"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45B20D0"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50 (20,2)</w:t>
            </w:r>
            <w:r w:rsidRPr="00E87295">
              <w:rPr>
                <w:sz w:val="22"/>
                <w:szCs w:val="22"/>
                <w:vertAlign w:val="superscript"/>
                <w:lang w:val="sr-Latn-RS"/>
              </w:rPr>
              <w:t>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706B8F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32 (11,7)</w:t>
            </w:r>
            <w:r w:rsidRPr="00E87295">
              <w:rPr>
                <w:sz w:val="22"/>
                <w:szCs w:val="22"/>
                <w:vertAlign w:val="superscript"/>
                <w:lang w:val="sr-Latn-RS"/>
              </w:rPr>
              <w:t>b</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7F2705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0</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ACC6B35"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86 (20,9)</w:t>
            </w:r>
            <w:r w:rsidRPr="00E87295">
              <w:rPr>
                <w:sz w:val="22"/>
                <w:szCs w:val="22"/>
                <w:vertAlign w:val="superscript"/>
                <w:lang w:val="sr-Latn-RS"/>
              </w:rPr>
              <w:t>a</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6F39B388" w14:textId="77777777" w:rsidR="007677A5" w:rsidRPr="00E87295" w:rsidRDefault="007677A5">
            <w:pPr>
              <w:pStyle w:val="Bodytext40"/>
              <w:shd w:val="clear" w:color="auto" w:fill="auto"/>
              <w:spacing w:line="240" w:lineRule="auto"/>
              <w:rPr>
                <w:sz w:val="22"/>
                <w:szCs w:val="22"/>
                <w:lang w:val="sr-Latn-RS"/>
              </w:rPr>
            </w:pPr>
            <w:r w:rsidRPr="00E87295">
              <w:rPr>
                <w:sz w:val="22"/>
                <w:szCs w:val="22"/>
                <w:lang w:val="sr-Latn-RS"/>
              </w:rPr>
              <w:t>21 (10,4)</w:t>
            </w:r>
            <w:r w:rsidRPr="00E87295">
              <w:rPr>
                <w:sz w:val="22"/>
                <w:szCs w:val="22"/>
                <w:vertAlign w:val="superscript"/>
                <w:lang w:val="sr-Latn-RS"/>
              </w:rPr>
              <w:t>b</w:t>
            </w:r>
          </w:p>
        </w:tc>
      </w:tr>
    </w:tbl>
    <w:p w14:paraId="633EEFF0" w14:textId="77777777" w:rsidR="007677A5" w:rsidRPr="00E87295" w:rsidRDefault="007677A5">
      <w:pPr>
        <w:pStyle w:val="Header"/>
        <w:tabs>
          <w:tab w:val="left" w:pos="284"/>
        </w:tabs>
        <w:jc w:val="both"/>
        <w:rPr>
          <w:sz w:val="22"/>
          <w:szCs w:val="22"/>
          <w:lang w:val="sr-Latn-RS"/>
        </w:rPr>
      </w:pPr>
    </w:p>
    <w:p w14:paraId="0087C79F" w14:textId="77777777" w:rsidR="007677A5" w:rsidRPr="00E87295" w:rsidRDefault="007677A5">
      <w:pPr>
        <w:pStyle w:val="Bodytext90"/>
        <w:shd w:val="clear" w:color="auto" w:fill="auto"/>
        <w:spacing w:line="240" w:lineRule="auto"/>
        <w:jc w:val="both"/>
        <w:rPr>
          <w:sz w:val="22"/>
          <w:szCs w:val="22"/>
          <w:lang w:val="sr-Latn-RS"/>
        </w:rPr>
      </w:pPr>
      <w:r w:rsidRPr="00E87295">
        <w:rPr>
          <w:sz w:val="22"/>
          <w:szCs w:val="22"/>
          <w:vertAlign w:val="superscript"/>
          <w:lang w:val="sr-Latn-RS"/>
        </w:rPr>
        <w:t>a</w:t>
      </w:r>
      <w:r w:rsidRPr="00E87295">
        <w:rPr>
          <w:sz w:val="22"/>
          <w:szCs w:val="22"/>
          <w:lang w:val="sr-Latn-RS"/>
        </w:rPr>
        <w:t xml:space="preserve"> p &lt; 0,001 za poređenje guselkumaba i placeba. </w:t>
      </w:r>
    </w:p>
    <w:p w14:paraId="7401D4C8" w14:textId="77777777" w:rsidR="007677A5" w:rsidRPr="00E87295" w:rsidRDefault="007677A5">
      <w:pPr>
        <w:pStyle w:val="Bodytext90"/>
        <w:shd w:val="clear" w:color="auto" w:fill="auto"/>
        <w:spacing w:line="240" w:lineRule="auto"/>
        <w:jc w:val="both"/>
        <w:rPr>
          <w:sz w:val="22"/>
          <w:szCs w:val="22"/>
          <w:lang w:val="sr-Latn-RS"/>
        </w:rPr>
      </w:pPr>
      <w:r w:rsidRPr="00E87295">
        <w:rPr>
          <w:sz w:val="22"/>
          <w:szCs w:val="22"/>
          <w:vertAlign w:val="superscript"/>
          <w:lang w:val="sr-Latn-RS"/>
        </w:rPr>
        <w:t>b</w:t>
      </w:r>
      <w:r w:rsidRPr="00E87295">
        <w:rPr>
          <w:sz w:val="22"/>
          <w:szCs w:val="22"/>
          <w:lang w:val="sr-Latn-RS"/>
        </w:rPr>
        <w:t xml:space="preserve"> Ni</w:t>
      </w:r>
      <w:r w:rsidR="000102B6" w:rsidRPr="00E87295">
        <w:rPr>
          <w:sz w:val="22"/>
          <w:szCs w:val="22"/>
          <w:lang w:val="sr-Latn-RS"/>
        </w:rPr>
        <w:t>je</w:t>
      </w:r>
      <w:r w:rsidRPr="00E87295">
        <w:rPr>
          <w:sz w:val="22"/>
          <w:szCs w:val="22"/>
          <w:lang w:val="sr-Latn-RS"/>
        </w:rPr>
        <w:t>su sprovedena poređenja guselkumaba i adalimumaba.</w:t>
      </w:r>
    </w:p>
    <w:p w14:paraId="054CFB71" w14:textId="6FF40340" w:rsidR="007677A5" w:rsidRPr="00E87295" w:rsidRDefault="007677A5">
      <w:pPr>
        <w:pStyle w:val="Header"/>
        <w:tabs>
          <w:tab w:val="left" w:pos="284"/>
        </w:tabs>
        <w:jc w:val="both"/>
        <w:rPr>
          <w:sz w:val="22"/>
          <w:szCs w:val="22"/>
          <w:lang w:val="sr-Latn-RS"/>
        </w:rPr>
      </w:pPr>
      <w:r w:rsidRPr="00E87295">
        <w:rPr>
          <w:sz w:val="22"/>
          <w:szCs w:val="22"/>
          <w:vertAlign w:val="superscript"/>
          <w:lang w:val="sr-Latn-RS"/>
        </w:rPr>
        <w:t>c</w:t>
      </w:r>
      <w:r w:rsidRPr="00E87295">
        <w:rPr>
          <w:sz w:val="22"/>
          <w:szCs w:val="22"/>
          <w:lang w:val="sr-Latn-RS"/>
        </w:rPr>
        <w:t xml:space="preserve"> p &lt; 0,001 za poređenje guselkumaba i placeba kod glavnih sekundarnih </w:t>
      </w:r>
      <w:r w:rsidR="000166BC" w:rsidRPr="00E87295">
        <w:rPr>
          <w:sz w:val="22"/>
          <w:szCs w:val="22"/>
          <w:lang w:val="sr-Latn-RS"/>
        </w:rPr>
        <w:t>par</w:t>
      </w:r>
      <w:r w:rsidR="00234228" w:rsidRPr="00E87295">
        <w:rPr>
          <w:sz w:val="22"/>
          <w:szCs w:val="22"/>
          <w:lang w:val="sr-Latn-RS"/>
        </w:rPr>
        <w:t>a</w:t>
      </w:r>
      <w:r w:rsidR="000166BC" w:rsidRPr="00E87295">
        <w:rPr>
          <w:sz w:val="22"/>
          <w:szCs w:val="22"/>
          <w:lang w:val="sr-Latn-RS"/>
        </w:rPr>
        <w:t>metara praćenja</w:t>
      </w:r>
    </w:p>
    <w:p w14:paraId="7556C396" w14:textId="77777777" w:rsidR="007677A5" w:rsidRPr="00E87295" w:rsidRDefault="007677A5">
      <w:pPr>
        <w:pStyle w:val="Header"/>
        <w:tabs>
          <w:tab w:val="left" w:pos="284"/>
        </w:tabs>
        <w:jc w:val="both"/>
        <w:rPr>
          <w:sz w:val="22"/>
          <w:szCs w:val="22"/>
          <w:lang w:val="sr-Latn-RS"/>
        </w:rPr>
      </w:pPr>
    </w:p>
    <w:p w14:paraId="1C9A51C6" w14:textId="19D1AE00" w:rsidR="0006393B" w:rsidRPr="00C929E2" w:rsidRDefault="0006393B">
      <w:pPr>
        <w:jc w:val="both"/>
        <w:rPr>
          <w:b/>
          <w:sz w:val="22"/>
          <w:szCs w:val="22"/>
          <w:lang w:val="sr-Latn-RS"/>
        </w:rPr>
      </w:pPr>
      <w:r w:rsidRPr="00C929E2">
        <w:rPr>
          <w:b/>
          <w:sz w:val="22"/>
          <w:szCs w:val="22"/>
          <w:lang w:val="sr-Latn-RS"/>
        </w:rPr>
        <w:t>Tabela </w:t>
      </w:r>
      <w:r w:rsidR="001A5B54" w:rsidRPr="00C929E2">
        <w:rPr>
          <w:b/>
          <w:sz w:val="22"/>
          <w:szCs w:val="22"/>
          <w:lang w:val="sr-Latn-RS"/>
        </w:rPr>
        <w:t>6</w:t>
      </w:r>
      <w:r w:rsidRPr="00C929E2">
        <w:rPr>
          <w:b/>
          <w:sz w:val="22"/>
          <w:szCs w:val="22"/>
          <w:lang w:val="sr-Latn-RS"/>
        </w:rPr>
        <w:t>: Sažeti prikaz ishoda prijavljenih od strane pacijenta u otvorenoj fazi kliničkog ispitivanja VOYAGE 1</w:t>
      </w:r>
    </w:p>
    <w:tbl>
      <w:tblPr>
        <w:tblStyle w:val="TableGrid"/>
        <w:tblW w:w="9075" w:type="dxa"/>
        <w:tblInd w:w="0" w:type="dxa"/>
        <w:tblLook w:val="04A0" w:firstRow="1" w:lastRow="0" w:firstColumn="1" w:lastColumn="0" w:noHBand="0" w:noVBand="1"/>
      </w:tblPr>
      <w:tblGrid>
        <w:gridCol w:w="1702"/>
        <w:gridCol w:w="1120"/>
        <w:gridCol w:w="1261"/>
        <w:gridCol w:w="1107"/>
        <w:gridCol w:w="1120"/>
        <w:gridCol w:w="1261"/>
        <w:gridCol w:w="1504"/>
      </w:tblGrid>
      <w:tr w:rsidR="0097212D" w:rsidRPr="00E87295" w14:paraId="57107663" w14:textId="6589FB86" w:rsidTr="00E87295">
        <w:tc>
          <w:tcPr>
            <w:tcW w:w="1702" w:type="dxa"/>
            <w:vMerge w:val="restart"/>
          </w:tcPr>
          <w:p w14:paraId="673FCB34" w14:textId="77777777" w:rsidR="0097212D" w:rsidRPr="00C929E2" w:rsidRDefault="0097212D">
            <w:pPr>
              <w:keepNext/>
              <w:adjustRightInd w:val="0"/>
              <w:snapToGrid w:val="0"/>
              <w:jc w:val="both"/>
              <w:rPr>
                <w:sz w:val="22"/>
                <w:szCs w:val="22"/>
                <w:lang w:val="sr-Latn-RS"/>
              </w:rPr>
            </w:pPr>
            <w:bookmarkStart w:id="3" w:name="_Hlk12975027"/>
          </w:p>
        </w:tc>
        <w:tc>
          <w:tcPr>
            <w:tcW w:w="3488" w:type="dxa"/>
            <w:gridSpan w:val="3"/>
          </w:tcPr>
          <w:p w14:paraId="2392DC1B" w14:textId="09658288" w:rsidR="0097212D" w:rsidRPr="00E87295" w:rsidRDefault="0097212D" w:rsidP="00E87295">
            <w:pPr>
              <w:keepNext/>
              <w:adjustRightInd w:val="0"/>
              <w:snapToGrid w:val="0"/>
              <w:jc w:val="center"/>
              <w:rPr>
                <w:sz w:val="22"/>
                <w:szCs w:val="22"/>
              </w:rPr>
            </w:pPr>
            <w:proofErr w:type="spellStart"/>
            <w:r w:rsidRPr="00E87295">
              <w:rPr>
                <w:sz w:val="22"/>
                <w:szCs w:val="22"/>
              </w:rPr>
              <w:t>Guselkumab</w:t>
            </w:r>
            <w:r w:rsidRPr="00E87295">
              <w:rPr>
                <w:sz w:val="22"/>
                <w:szCs w:val="22"/>
                <w:vertAlign w:val="superscript"/>
              </w:rPr>
              <w:t>a</w:t>
            </w:r>
            <w:proofErr w:type="spellEnd"/>
          </w:p>
        </w:tc>
        <w:tc>
          <w:tcPr>
            <w:tcW w:w="3885" w:type="dxa"/>
            <w:gridSpan w:val="3"/>
          </w:tcPr>
          <w:p w14:paraId="798336B1" w14:textId="4CBB39C3" w:rsidR="0097212D" w:rsidRPr="00E87295" w:rsidRDefault="0097212D" w:rsidP="00E87295">
            <w:pPr>
              <w:keepNext/>
              <w:adjustRightInd w:val="0"/>
              <w:snapToGrid w:val="0"/>
              <w:jc w:val="center"/>
              <w:rPr>
                <w:sz w:val="22"/>
                <w:szCs w:val="22"/>
              </w:rPr>
            </w:pPr>
            <w:proofErr w:type="spellStart"/>
            <w:r w:rsidRPr="00E87295">
              <w:rPr>
                <w:sz w:val="22"/>
                <w:szCs w:val="22"/>
              </w:rPr>
              <w:t>Adalimumab-Guselkumab</w:t>
            </w:r>
            <w:r w:rsidRPr="00E87295">
              <w:rPr>
                <w:sz w:val="22"/>
                <w:szCs w:val="22"/>
                <w:vertAlign w:val="superscript"/>
              </w:rPr>
              <w:t>a</w:t>
            </w:r>
            <w:proofErr w:type="spellEnd"/>
          </w:p>
        </w:tc>
      </w:tr>
      <w:tr w:rsidR="0097212D" w:rsidRPr="00E87295" w14:paraId="7A5E1BD9" w14:textId="39D61D89" w:rsidTr="00E87295">
        <w:tc>
          <w:tcPr>
            <w:tcW w:w="1702" w:type="dxa"/>
            <w:vMerge/>
          </w:tcPr>
          <w:p w14:paraId="2D9A91B4" w14:textId="77777777" w:rsidR="0097212D" w:rsidRPr="00E87295" w:rsidRDefault="0097212D">
            <w:pPr>
              <w:keepNext/>
              <w:autoSpaceDE w:val="0"/>
              <w:autoSpaceDN w:val="0"/>
              <w:adjustRightInd w:val="0"/>
              <w:snapToGrid w:val="0"/>
              <w:jc w:val="both"/>
              <w:rPr>
                <w:sz w:val="22"/>
                <w:szCs w:val="22"/>
              </w:rPr>
            </w:pPr>
          </w:p>
        </w:tc>
        <w:tc>
          <w:tcPr>
            <w:tcW w:w="1120" w:type="dxa"/>
          </w:tcPr>
          <w:p w14:paraId="1DD462C9" w14:textId="77777777" w:rsidR="0097212D" w:rsidRPr="00E87295" w:rsidRDefault="0097212D">
            <w:pPr>
              <w:keepNext/>
              <w:adjustRightInd w:val="0"/>
              <w:snapToGrid w:val="0"/>
              <w:jc w:val="both"/>
              <w:rPr>
                <w:sz w:val="22"/>
                <w:szCs w:val="22"/>
              </w:rPr>
            </w:pPr>
            <w:r w:rsidRPr="00E87295">
              <w:rPr>
                <w:sz w:val="22"/>
                <w:szCs w:val="22"/>
              </w:rPr>
              <w:t xml:space="preserve">76. </w:t>
            </w:r>
            <w:proofErr w:type="spellStart"/>
            <w:r w:rsidRPr="00E87295">
              <w:rPr>
                <w:sz w:val="22"/>
                <w:szCs w:val="22"/>
              </w:rPr>
              <w:t>nedjelja</w:t>
            </w:r>
            <w:proofErr w:type="spellEnd"/>
          </w:p>
        </w:tc>
        <w:tc>
          <w:tcPr>
            <w:tcW w:w="1261" w:type="dxa"/>
          </w:tcPr>
          <w:p w14:paraId="77DE7BED" w14:textId="77777777" w:rsidR="0097212D" w:rsidRPr="00E87295" w:rsidRDefault="0097212D">
            <w:pPr>
              <w:keepNext/>
              <w:adjustRightInd w:val="0"/>
              <w:snapToGrid w:val="0"/>
              <w:jc w:val="both"/>
              <w:rPr>
                <w:sz w:val="22"/>
                <w:szCs w:val="22"/>
              </w:rPr>
            </w:pPr>
            <w:r w:rsidRPr="00E87295">
              <w:rPr>
                <w:sz w:val="22"/>
                <w:szCs w:val="22"/>
              </w:rPr>
              <w:t xml:space="preserve">156. </w:t>
            </w:r>
            <w:proofErr w:type="spellStart"/>
            <w:r w:rsidRPr="00E87295">
              <w:rPr>
                <w:sz w:val="22"/>
                <w:szCs w:val="22"/>
              </w:rPr>
              <w:t>nedjelja</w:t>
            </w:r>
            <w:proofErr w:type="spellEnd"/>
          </w:p>
        </w:tc>
        <w:tc>
          <w:tcPr>
            <w:tcW w:w="1107" w:type="dxa"/>
          </w:tcPr>
          <w:p w14:paraId="6E38BF0C" w14:textId="45606A79" w:rsidR="0097212D" w:rsidRPr="00E87295" w:rsidRDefault="0097212D">
            <w:pPr>
              <w:keepNext/>
              <w:adjustRightInd w:val="0"/>
              <w:snapToGrid w:val="0"/>
              <w:jc w:val="both"/>
              <w:rPr>
                <w:sz w:val="22"/>
                <w:szCs w:val="22"/>
              </w:rPr>
            </w:pPr>
            <w:r w:rsidRPr="00E87295">
              <w:rPr>
                <w:sz w:val="22"/>
                <w:szCs w:val="22"/>
                <w:lang w:val="sr-Latn-RS"/>
              </w:rPr>
              <w:t>252. nedelja</w:t>
            </w:r>
          </w:p>
        </w:tc>
        <w:tc>
          <w:tcPr>
            <w:tcW w:w="1120" w:type="dxa"/>
          </w:tcPr>
          <w:p w14:paraId="2D453B2B" w14:textId="5412BF11" w:rsidR="0097212D" w:rsidRPr="00E87295" w:rsidRDefault="0097212D">
            <w:pPr>
              <w:keepNext/>
              <w:adjustRightInd w:val="0"/>
              <w:snapToGrid w:val="0"/>
              <w:jc w:val="both"/>
              <w:rPr>
                <w:sz w:val="22"/>
                <w:szCs w:val="22"/>
              </w:rPr>
            </w:pPr>
            <w:r w:rsidRPr="00E87295">
              <w:rPr>
                <w:sz w:val="22"/>
                <w:szCs w:val="22"/>
              </w:rPr>
              <w:t xml:space="preserve">76. </w:t>
            </w:r>
            <w:proofErr w:type="spellStart"/>
            <w:r w:rsidRPr="00E87295">
              <w:rPr>
                <w:sz w:val="22"/>
                <w:szCs w:val="22"/>
              </w:rPr>
              <w:t>nedjelja</w:t>
            </w:r>
            <w:proofErr w:type="spellEnd"/>
          </w:p>
        </w:tc>
        <w:tc>
          <w:tcPr>
            <w:tcW w:w="1261" w:type="dxa"/>
          </w:tcPr>
          <w:p w14:paraId="53FBB510" w14:textId="77777777" w:rsidR="0097212D" w:rsidRPr="00E87295" w:rsidRDefault="0097212D">
            <w:pPr>
              <w:keepNext/>
              <w:adjustRightInd w:val="0"/>
              <w:snapToGrid w:val="0"/>
              <w:jc w:val="both"/>
              <w:rPr>
                <w:sz w:val="22"/>
                <w:szCs w:val="22"/>
              </w:rPr>
            </w:pPr>
            <w:r w:rsidRPr="00E87295">
              <w:rPr>
                <w:sz w:val="22"/>
                <w:szCs w:val="22"/>
              </w:rPr>
              <w:t xml:space="preserve">156. </w:t>
            </w:r>
            <w:proofErr w:type="spellStart"/>
            <w:r w:rsidRPr="00E87295">
              <w:rPr>
                <w:sz w:val="22"/>
                <w:szCs w:val="22"/>
              </w:rPr>
              <w:t>nedjelja</w:t>
            </w:r>
            <w:proofErr w:type="spellEnd"/>
          </w:p>
        </w:tc>
        <w:tc>
          <w:tcPr>
            <w:tcW w:w="1504" w:type="dxa"/>
          </w:tcPr>
          <w:p w14:paraId="6637E6B6" w14:textId="4E706FBA" w:rsidR="0097212D" w:rsidRPr="00E87295" w:rsidRDefault="0097212D">
            <w:pPr>
              <w:keepNext/>
              <w:adjustRightInd w:val="0"/>
              <w:snapToGrid w:val="0"/>
              <w:jc w:val="both"/>
              <w:rPr>
                <w:sz w:val="22"/>
                <w:szCs w:val="22"/>
              </w:rPr>
            </w:pPr>
            <w:r w:rsidRPr="00E87295">
              <w:rPr>
                <w:sz w:val="22"/>
                <w:szCs w:val="22"/>
                <w:lang w:val="sr-Latn-RS"/>
              </w:rPr>
              <w:t>252. nedelja</w:t>
            </w:r>
          </w:p>
        </w:tc>
      </w:tr>
      <w:tr w:rsidR="0097212D" w:rsidRPr="00E87295" w14:paraId="775917FD" w14:textId="099ABB13" w:rsidTr="00E87295">
        <w:tc>
          <w:tcPr>
            <w:tcW w:w="1702" w:type="dxa"/>
          </w:tcPr>
          <w:p w14:paraId="075F4966" w14:textId="77777777" w:rsidR="0097212D" w:rsidRPr="00E87295" w:rsidRDefault="0097212D">
            <w:pPr>
              <w:autoSpaceDE w:val="0"/>
              <w:autoSpaceDN w:val="0"/>
              <w:adjustRightInd w:val="0"/>
              <w:snapToGrid w:val="0"/>
              <w:jc w:val="both"/>
              <w:rPr>
                <w:sz w:val="22"/>
                <w:szCs w:val="22"/>
              </w:rPr>
            </w:pPr>
            <w:proofErr w:type="spellStart"/>
            <w:r w:rsidRPr="00E87295">
              <w:rPr>
                <w:sz w:val="22"/>
                <w:szCs w:val="22"/>
              </w:rPr>
              <w:t>Početni</w:t>
            </w:r>
            <w:proofErr w:type="spellEnd"/>
            <w:r w:rsidRPr="00E87295">
              <w:rPr>
                <w:sz w:val="22"/>
                <w:szCs w:val="22"/>
              </w:rPr>
              <w:t xml:space="preserve"> </w:t>
            </w:r>
            <w:proofErr w:type="spellStart"/>
            <w:r w:rsidRPr="00E87295">
              <w:rPr>
                <w:sz w:val="22"/>
                <w:szCs w:val="22"/>
              </w:rPr>
              <w:t>rezultat</w:t>
            </w:r>
            <w:proofErr w:type="spellEnd"/>
            <w:r w:rsidRPr="00E87295">
              <w:rPr>
                <w:sz w:val="22"/>
                <w:szCs w:val="22"/>
              </w:rPr>
              <w:t xml:space="preserve"> </w:t>
            </w:r>
            <w:r w:rsidRPr="00E87295">
              <w:rPr>
                <w:b/>
                <w:bCs/>
                <w:sz w:val="22"/>
                <w:szCs w:val="22"/>
              </w:rPr>
              <w:t>DLQI</w:t>
            </w:r>
            <w:r w:rsidRPr="00E87295">
              <w:rPr>
                <w:sz w:val="22"/>
                <w:szCs w:val="22"/>
              </w:rPr>
              <w:t xml:space="preserve"> &gt; 1, n</w:t>
            </w:r>
          </w:p>
        </w:tc>
        <w:tc>
          <w:tcPr>
            <w:tcW w:w="1120" w:type="dxa"/>
          </w:tcPr>
          <w:p w14:paraId="6D8F8161" w14:textId="77777777" w:rsidR="0097212D" w:rsidRPr="00E87295" w:rsidRDefault="0097212D">
            <w:pPr>
              <w:adjustRightInd w:val="0"/>
              <w:snapToGrid w:val="0"/>
              <w:jc w:val="both"/>
              <w:rPr>
                <w:sz w:val="22"/>
                <w:szCs w:val="22"/>
              </w:rPr>
            </w:pPr>
            <w:r w:rsidRPr="00E87295">
              <w:rPr>
                <w:sz w:val="22"/>
                <w:szCs w:val="22"/>
              </w:rPr>
              <w:t>445</w:t>
            </w:r>
          </w:p>
        </w:tc>
        <w:tc>
          <w:tcPr>
            <w:tcW w:w="1261" w:type="dxa"/>
          </w:tcPr>
          <w:p w14:paraId="35635056" w14:textId="1AC15132" w:rsidR="0097212D" w:rsidRPr="00E87295" w:rsidRDefault="0097212D">
            <w:pPr>
              <w:adjustRightInd w:val="0"/>
              <w:snapToGrid w:val="0"/>
              <w:jc w:val="both"/>
              <w:rPr>
                <w:sz w:val="22"/>
                <w:szCs w:val="22"/>
              </w:rPr>
            </w:pPr>
            <w:r w:rsidRPr="00E87295">
              <w:rPr>
                <w:sz w:val="22"/>
                <w:szCs w:val="22"/>
              </w:rPr>
              <w:t>420</w:t>
            </w:r>
          </w:p>
        </w:tc>
        <w:tc>
          <w:tcPr>
            <w:tcW w:w="1107" w:type="dxa"/>
          </w:tcPr>
          <w:p w14:paraId="103951A2" w14:textId="1EE1758E" w:rsidR="0097212D" w:rsidRPr="00E87295" w:rsidRDefault="0097212D">
            <w:pPr>
              <w:adjustRightInd w:val="0"/>
              <w:snapToGrid w:val="0"/>
              <w:jc w:val="both"/>
              <w:rPr>
                <w:sz w:val="22"/>
                <w:szCs w:val="22"/>
              </w:rPr>
            </w:pPr>
            <w:r w:rsidRPr="00E87295">
              <w:rPr>
                <w:sz w:val="22"/>
                <w:szCs w:val="22"/>
                <w:lang w:val="sr-Latn-RS"/>
              </w:rPr>
              <w:t>374</w:t>
            </w:r>
          </w:p>
        </w:tc>
        <w:tc>
          <w:tcPr>
            <w:tcW w:w="1120" w:type="dxa"/>
          </w:tcPr>
          <w:p w14:paraId="3E0DD4E0" w14:textId="12062154" w:rsidR="0097212D" w:rsidRPr="00E87295" w:rsidRDefault="0097212D">
            <w:pPr>
              <w:adjustRightInd w:val="0"/>
              <w:snapToGrid w:val="0"/>
              <w:jc w:val="both"/>
              <w:rPr>
                <w:sz w:val="22"/>
                <w:szCs w:val="22"/>
              </w:rPr>
            </w:pPr>
            <w:r w:rsidRPr="00E87295">
              <w:rPr>
                <w:sz w:val="22"/>
                <w:szCs w:val="22"/>
              </w:rPr>
              <w:t>264</w:t>
            </w:r>
          </w:p>
        </w:tc>
        <w:tc>
          <w:tcPr>
            <w:tcW w:w="1261" w:type="dxa"/>
          </w:tcPr>
          <w:p w14:paraId="33AC62DA" w14:textId="05549880" w:rsidR="0097212D" w:rsidRPr="00E87295" w:rsidRDefault="0097212D">
            <w:pPr>
              <w:adjustRightInd w:val="0"/>
              <w:snapToGrid w:val="0"/>
              <w:jc w:val="both"/>
              <w:rPr>
                <w:sz w:val="22"/>
                <w:szCs w:val="22"/>
              </w:rPr>
            </w:pPr>
            <w:r w:rsidRPr="00E87295">
              <w:rPr>
                <w:sz w:val="22"/>
                <w:szCs w:val="22"/>
              </w:rPr>
              <w:t>255</w:t>
            </w:r>
          </w:p>
        </w:tc>
        <w:tc>
          <w:tcPr>
            <w:tcW w:w="1504" w:type="dxa"/>
          </w:tcPr>
          <w:p w14:paraId="10076B0C" w14:textId="4A7B1DF1" w:rsidR="0097212D" w:rsidRPr="00E87295" w:rsidRDefault="0097212D">
            <w:pPr>
              <w:adjustRightInd w:val="0"/>
              <w:snapToGrid w:val="0"/>
              <w:jc w:val="both"/>
              <w:rPr>
                <w:sz w:val="22"/>
                <w:szCs w:val="22"/>
              </w:rPr>
            </w:pPr>
            <w:r w:rsidRPr="00E87295">
              <w:rPr>
                <w:sz w:val="22"/>
                <w:szCs w:val="22"/>
                <w:lang w:val="sr-Latn-RS"/>
              </w:rPr>
              <w:t>235</w:t>
            </w:r>
          </w:p>
        </w:tc>
      </w:tr>
      <w:tr w:rsidR="0097212D" w:rsidRPr="00E87295" w14:paraId="56CCD19B" w14:textId="07A2661B" w:rsidTr="00E87295">
        <w:tc>
          <w:tcPr>
            <w:tcW w:w="1702" w:type="dxa"/>
          </w:tcPr>
          <w:p w14:paraId="2FFA3A19" w14:textId="77777777" w:rsidR="0097212D" w:rsidRPr="00E87295" w:rsidRDefault="0097212D">
            <w:pPr>
              <w:adjustRightInd w:val="0"/>
              <w:snapToGrid w:val="0"/>
              <w:jc w:val="both"/>
              <w:rPr>
                <w:sz w:val="22"/>
                <w:szCs w:val="22"/>
              </w:rPr>
            </w:pPr>
            <w:proofErr w:type="spellStart"/>
            <w:r w:rsidRPr="00E87295">
              <w:rPr>
                <w:sz w:val="22"/>
                <w:szCs w:val="22"/>
              </w:rPr>
              <w:t>Ispitanici</w:t>
            </w:r>
            <w:proofErr w:type="spellEnd"/>
            <w:r w:rsidRPr="00E87295">
              <w:rPr>
                <w:sz w:val="22"/>
                <w:szCs w:val="22"/>
              </w:rPr>
              <w:t xml:space="preserve"> </w:t>
            </w:r>
            <w:proofErr w:type="spellStart"/>
            <w:r w:rsidRPr="00E87295">
              <w:rPr>
                <w:sz w:val="22"/>
                <w:szCs w:val="22"/>
              </w:rPr>
              <w:t>sa</w:t>
            </w:r>
            <w:proofErr w:type="spellEnd"/>
            <w:r w:rsidRPr="00E87295">
              <w:rPr>
                <w:sz w:val="22"/>
                <w:szCs w:val="22"/>
              </w:rPr>
              <w:t xml:space="preserve"> DLQI 0/1</w:t>
            </w:r>
          </w:p>
        </w:tc>
        <w:tc>
          <w:tcPr>
            <w:tcW w:w="1120" w:type="dxa"/>
          </w:tcPr>
          <w:p w14:paraId="2D93AE38" w14:textId="77777777" w:rsidR="0097212D" w:rsidRPr="00E87295" w:rsidRDefault="0097212D">
            <w:pPr>
              <w:adjustRightInd w:val="0"/>
              <w:snapToGrid w:val="0"/>
              <w:jc w:val="both"/>
              <w:rPr>
                <w:sz w:val="22"/>
                <w:szCs w:val="22"/>
              </w:rPr>
            </w:pPr>
            <w:r w:rsidRPr="00E87295">
              <w:rPr>
                <w:sz w:val="22"/>
                <w:szCs w:val="22"/>
              </w:rPr>
              <w:t>337 (75,7%)</w:t>
            </w:r>
          </w:p>
        </w:tc>
        <w:tc>
          <w:tcPr>
            <w:tcW w:w="1261" w:type="dxa"/>
          </w:tcPr>
          <w:p w14:paraId="158F6BB8" w14:textId="196B15DB" w:rsidR="0097212D" w:rsidRPr="00E87295" w:rsidRDefault="0097212D">
            <w:pPr>
              <w:adjustRightInd w:val="0"/>
              <w:snapToGrid w:val="0"/>
              <w:jc w:val="both"/>
              <w:rPr>
                <w:sz w:val="22"/>
                <w:szCs w:val="22"/>
              </w:rPr>
            </w:pPr>
            <w:r w:rsidRPr="00E87295">
              <w:rPr>
                <w:rFonts w:eastAsia="TimesNewRoman"/>
                <w:sz w:val="22"/>
                <w:szCs w:val="22"/>
              </w:rPr>
              <w:t>308 (73.3%)</w:t>
            </w:r>
          </w:p>
        </w:tc>
        <w:tc>
          <w:tcPr>
            <w:tcW w:w="1107" w:type="dxa"/>
          </w:tcPr>
          <w:p w14:paraId="4A679B02" w14:textId="77777777" w:rsidR="0097212D" w:rsidRPr="00E87295" w:rsidDel="009F5708" w:rsidRDefault="0097212D" w:rsidP="00E87295">
            <w:pPr>
              <w:adjustRightInd w:val="0"/>
              <w:snapToGrid w:val="0"/>
              <w:jc w:val="both"/>
              <w:rPr>
                <w:sz w:val="22"/>
                <w:szCs w:val="22"/>
                <w:lang w:val="sr-Latn-RS"/>
              </w:rPr>
            </w:pPr>
            <w:r w:rsidRPr="00E87295">
              <w:rPr>
                <w:sz w:val="22"/>
                <w:szCs w:val="22"/>
                <w:lang w:val="sr-Latn-RS"/>
              </w:rPr>
              <w:t>272</w:t>
            </w:r>
          </w:p>
          <w:p w14:paraId="74C78CC6" w14:textId="03B26E14" w:rsidR="0097212D" w:rsidRPr="00E87295" w:rsidRDefault="0097212D">
            <w:pPr>
              <w:adjustRightInd w:val="0"/>
              <w:snapToGrid w:val="0"/>
              <w:jc w:val="both"/>
              <w:rPr>
                <w:sz w:val="22"/>
                <w:szCs w:val="22"/>
              </w:rPr>
            </w:pPr>
            <w:r w:rsidRPr="00E87295">
              <w:rPr>
                <w:sz w:val="22"/>
                <w:szCs w:val="22"/>
                <w:lang w:val="sr-Latn-RS"/>
              </w:rPr>
              <w:t>(72.7%)</w:t>
            </w:r>
          </w:p>
        </w:tc>
        <w:tc>
          <w:tcPr>
            <w:tcW w:w="1120" w:type="dxa"/>
          </w:tcPr>
          <w:p w14:paraId="3A242F5C" w14:textId="01FD7D96" w:rsidR="0097212D" w:rsidRPr="00E87295" w:rsidRDefault="0097212D">
            <w:pPr>
              <w:adjustRightInd w:val="0"/>
              <w:snapToGrid w:val="0"/>
              <w:jc w:val="both"/>
              <w:rPr>
                <w:sz w:val="22"/>
                <w:szCs w:val="22"/>
              </w:rPr>
            </w:pPr>
            <w:r w:rsidRPr="00E87295">
              <w:rPr>
                <w:sz w:val="22"/>
                <w:szCs w:val="22"/>
              </w:rPr>
              <w:t>198 (75,0%)</w:t>
            </w:r>
          </w:p>
        </w:tc>
        <w:tc>
          <w:tcPr>
            <w:tcW w:w="1261" w:type="dxa"/>
          </w:tcPr>
          <w:p w14:paraId="1939BB22" w14:textId="3C32449B" w:rsidR="0097212D" w:rsidRPr="00E87295" w:rsidRDefault="0097212D">
            <w:pPr>
              <w:adjustRightInd w:val="0"/>
              <w:snapToGrid w:val="0"/>
              <w:jc w:val="both"/>
              <w:rPr>
                <w:sz w:val="22"/>
                <w:szCs w:val="22"/>
              </w:rPr>
            </w:pPr>
            <w:r w:rsidRPr="00E87295">
              <w:rPr>
                <w:rFonts w:eastAsia="TimesNewRoman"/>
                <w:sz w:val="22"/>
                <w:szCs w:val="22"/>
              </w:rPr>
              <w:t>190 (74.5%)</w:t>
            </w:r>
          </w:p>
        </w:tc>
        <w:tc>
          <w:tcPr>
            <w:tcW w:w="1504" w:type="dxa"/>
          </w:tcPr>
          <w:p w14:paraId="62302F85" w14:textId="77777777" w:rsidR="000166BC" w:rsidRPr="00E87295" w:rsidRDefault="0097212D">
            <w:pPr>
              <w:adjustRightInd w:val="0"/>
              <w:snapToGrid w:val="0"/>
              <w:jc w:val="both"/>
              <w:rPr>
                <w:sz w:val="22"/>
                <w:szCs w:val="22"/>
                <w:lang w:val="sr-Latn-RS"/>
              </w:rPr>
            </w:pPr>
            <w:r w:rsidRPr="00E87295">
              <w:rPr>
                <w:sz w:val="22"/>
                <w:szCs w:val="22"/>
                <w:lang w:val="sr-Latn-RS"/>
              </w:rPr>
              <w:t xml:space="preserve">174 </w:t>
            </w:r>
          </w:p>
          <w:p w14:paraId="7C33DCDE" w14:textId="464BBA20" w:rsidR="0097212D" w:rsidRPr="00E87295" w:rsidRDefault="0097212D">
            <w:pPr>
              <w:adjustRightInd w:val="0"/>
              <w:snapToGrid w:val="0"/>
              <w:jc w:val="both"/>
              <w:rPr>
                <w:sz w:val="22"/>
                <w:szCs w:val="22"/>
              </w:rPr>
            </w:pPr>
            <w:r w:rsidRPr="00E87295">
              <w:rPr>
                <w:sz w:val="22"/>
                <w:szCs w:val="22"/>
                <w:lang w:val="sr-Latn-RS"/>
              </w:rPr>
              <w:t>(74.0%)</w:t>
            </w:r>
          </w:p>
        </w:tc>
      </w:tr>
      <w:tr w:rsidR="0097212D" w:rsidRPr="00E87295" w14:paraId="2665B5E8" w14:textId="6CAD204A" w:rsidTr="00E87295">
        <w:tc>
          <w:tcPr>
            <w:tcW w:w="1702" w:type="dxa"/>
          </w:tcPr>
          <w:p w14:paraId="0A920160" w14:textId="03246DB1" w:rsidR="000166BC" w:rsidRPr="00C929E2" w:rsidRDefault="0097212D">
            <w:pPr>
              <w:autoSpaceDE w:val="0"/>
              <w:autoSpaceDN w:val="0"/>
              <w:adjustRightInd w:val="0"/>
              <w:snapToGrid w:val="0"/>
              <w:jc w:val="both"/>
              <w:rPr>
                <w:sz w:val="22"/>
                <w:szCs w:val="22"/>
                <w:lang w:val="de-DE"/>
              </w:rPr>
            </w:pPr>
            <w:r w:rsidRPr="00C929E2">
              <w:rPr>
                <w:b/>
                <w:bCs/>
                <w:sz w:val="22"/>
                <w:szCs w:val="22"/>
                <w:lang w:val="de-DE"/>
              </w:rPr>
              <w:t>PSSD rezultat za simptome,</w:t>
            </w:r>
            <w:r w:rsidRPr="00C929E2">
              <w:rPr>
                <w:sz w:val="22"/>
                <w:szCs w:val="22"/>
                <w:lang w:val="de-DE"/>
              </w:rPr>
              <w:t xml:space="preserve"> ispitanici sa početnim rezultatom &gt; 0</w:t>
            </w:r>
          </w:p>
        </w:tc>
        <w:tc>
          <w:tcPr>
            <w:tcW w:w="1120" w:type="dxa"/>
          </w:tcPr>
          <w:p w14:paraId="1E4B8017" w14:textId="77777777" w:rsidR="0097212D" w:rsidRPr="00E87295" w:rsidRDefault="0097212D">
            <w:pPr>
              <w:adjustRightInd w:val="0"/>
              <w:snapToGrid w:val="0"/>
              <w:jc w:val="both"/>
              <w:rPr>
                <w:sz w:val="22"/>
                <w:szCs w:val="22"/>
              </w:rPr>
            </w:pPr>
            <w:r w:rsidRPr="00E87295">
              <w:rPr>
                <w:sz w:val="22"/>
                <w:szCs w:val="22"/>
              </w:rPr>
              <w:t>347</w:t>
            </w:r>
          </w:p>
        </w:tc>
        <w:tc>
          <w:tcPr>
            <w:tcW w:w="1261" w:type="dxa"/>
          </w:tcPr>
          <w:p w14:paraId="517DBF62" w14:textId="6F7EC42D" w:rsidR="0097212D" w:rsidRPr="00E87295" w:rsidRDefault="0097212D">
            <w:pPr>
              <w:adjustRightInd w:val="0"/>
              <w:snapToGrid w:val="0"/>
              <w:jc w:val="both"/>
              <w:rPr>
                <w:sz w:val="22"/>
                <w:szCs w:val="22"/>
              </w:rPr>
            </w:pPr>
            <w:r w:rsidRPr="00E87295">
              <w:rPr>
                <w:rFonts w:eastAsia="TimesNewRoman"/>
                <w:sz w:val="22"/>
                <w:szCs w:val="22"/>
              </w:rPr>
              <w:t>327</w:t>
            </w:r>
          </w:p>
        </w:tc>
        <w:tc>
          <w:tcPr>
            <w:tcW w:w="1107" w:type="dxa"/>
          </w:tcPr>
          <w:p w14:paraId="469F038A" w14:textId="6F359A47" w:rsidR="0097212D" w:rsidRPr="00E87295" w:rsidRDefault="0097212D">
            <w:pPr>
              <w:adjustRightInd w:val="0"/>
              <w:snapToGrid w:val="0"/>
              <w:jc w:val="both"/>
              <w:rPr>
                <w:sz w:val="22"/>
                <w:szCs w:val="22"/>
              </w:rPr>
            </w:pPr>
            <w:r w:rsidRPr="00E87295">
              <w:rPr>
                <w:sz w:val="22"/>
                <w:szCs w:val="22"/>
                <w:lang w:val="sr-Latn-RS"/>
              </w:rPr>
              <w:t>297</w:t>
            </w:r>
          </w:p>
        </w:tc>
        <w:tc>
          <w:tcPr>
            <w:tcW w:w="1120" w:type="dxa"/>
          </w:tcPr>
          <w:p w14:paraId="6023E1F3" w14:textId="26708B5C" w:rsidR="0097212D" w:rsidRPr="00E87295" w:rsidRDefault="0097212D">
            <w:pPr>
              <w:adjustRightInd w:val="0"/>
              <w:snapToGrid w:val="0"/>
              <w:jc w:val="both"/>
              <w:rPr>
                <w:sz w:val="22"/>
                <w:szCs w:val="22"/>
              </w:rPr>
            </w:pPr>
            <w:r w:rsidRPr="00E87295">
              <w:rPr>
                <w:sz w:val="22"/>
                <w:szCs w:val="22"/>
              </w:rPr>
              <w:t>227</w:t>
            </w:r>
          </w:p>
        </w:tc>
        <w:tc>
          <w:tcPr>
            <w:tcW w:w="1261" w:type="dxa"/>
          </w:tcPr>
          <w:p w14:paraId="5BA00ED4" w14:textId="6D38D254" w:rsidR="0097212D" w:rsidRPr="00E87295" w:rsidRDefault="0097212D">
            <w:pPr>
              <w:adjustRightInd w:val="0"/>
              <w:snapToGrid w:val="0"/>
              <w:jc w:val="both"/>
              <w:rPr>
                <w:sz w:val="22"/>
                <w:szCs w:val="22"/>
              </w:rPr>
            </w:pPr>
            <w:r w:rsidRPr="00E87295">
              <w:rPr>
                <w:rFonts w:eastAsia="TimesNewRoman"/>
                <w:sz w:val="22"/>
                <w:szCs w:val="22"/>
              </w:rPr>
              <w:t>218</w:t>
            </w:r>
          </w:p>
        </w:tc>
        <w:tc>
          <w:tcPr>
            <w:tcW w:w="1504" w:type="dxa"/>
          </w:tcPr>
          <w:p w14:paraId="48BCA999" w14:textId="16B1855C" w:rsidR="0097212D" w:rsidRPr="00E87295" w:rsidRDefault="0097212D">
            <w:pPr>
              <w:adjustRightInd w:val="0"/>
              <w:snapToGrid w:val="0"/>
              <w:jc w:val="both"/>
              <w:rPr>
                <w:sz w:val="22"/>
                <w:szCs w:val="22"/>
              </w:rPr>
            </w:pPr>
            <w:r w:rsidRPr="00E87295">
              <w:rPr>
                <w:sz w:val="22"/>
                <w:szCs w:val="22"/>
                <w:lang w:val="sr-Latn-RS"/>
              </w:rPr>
              <w:t>200</w:t>
            </w:r>
          </w:p>
        </w:tc>
      </w:tr>
      <w:tr w:rsidR="0097212D" w:rsidRPr="00E87295" w14:paraId="439D23CB" w14:textId="08C33005" w:rsidTr="00E87295">
        <w:tc>
          <w:tcPr>
            <w:tcW w:w="1702" w:type="dxa"/>
          </w:tcPr>
          <w:p w14:paraId="2700456C" w14:textId="77777777" w:rsidR="0097212D" w:rsidRPr="00E87295" w:rsidRDefault="0097212D">
            <w:pPr>
              <w:adjustRightInd w:val="0"/>
              <w:snapToGrid w:val="0"/>
              <w:jc w:val="both"/>
              <w:rPr>
                <w:sz w:val="22"/>
                <w:szCs w:val="22"/>
              </w:rPr>
            </w:pPr>
            <w:proofErr w:type="spellStart"/>
            <w:r w:rsidRPr="00E87295">
              <w:rPr>
                <w:sz w:val="22"/>
                <w:szCs w:val="22"/>
              </w:rPr>
              <w:t>Rezultat</w:t>
            </w:r>
            <w:proofErr w:type="spellEnd"/>
            <w:r w:rsidRPr="00E87295">
              <w:rPr>
                <w:sz w:val="22"/>
                <w:szCs w:val="22"/>
              </w:rPr>
              <w:t xml:space="preserve"> </w:t>
            </w:r>
            <w:proofErr w:type="spellStart"/>
            <w:r w:rsidRPr="00E87295">
              <w:rPr>
                <w:sz w:val="22"/>
                <w:szCs w:val="22"/>
              </w:rPr>
              <w:t>za</w:t>
            </w:r>
            <w:proofErr w:type="spellEnd"/>
            <w:r w:rsidRPr="00E87295">
              <w:rPr>
                <w:sz w:val="22"/>
                <w:szCs w:val="22"/>
              </w:rPr>
              <w:t xml:space="preserve"> </w:t>
            </w:r>
            <w:proofErr w:type="spellStart"/>
            <w:r w:rsidRPr="00E87295">
              <w:rPr>
                <w:sz w:val="22"/>
                <w:szCs w:val="22"/>
              </w:rPr>
              <w:t>simptome</w:t>
            </w:r>
            <w:proofErr w:type="spellEnd"/>
            <w:r w:rsidRPr="00E87295">
              <w:rPr>
                <w:sz w:val="22"/>
                <w:szCs w:val="22"/>
              </w:rPr>
              <w:t xml:space="preserve"> = 0, n (%) </w:t>
            </w:r>
          </w:p>
        </w:tc>
        <w:tc>
          <w:tcPr>
            <w:tcW w:w="1120" w:type="dxa"/>
          </w:tcPr>
          <w:p w14:paraId="5074064B" w14:textId="77777777" w:rsidR="0097212D" w:rsidRPr="00E87295" w:rsidRDefault="0097212D">
            <w:pPr>
              <w:adjustRightInd w:val="0"/>
              <w:snapToGrid w:val="0"/>
              <w:jc w:val="both"/>
              <w:rPr>
                <w:sz w:val="22"/>
                <w:szCs w:val="22"/>
              </w:rPr>
            </w:pPr>
            <w:r w:rsidRPr="00E87295">
              <w:rPr>
                <w:sz w:val="22"/>
                <w:szCs w:val="22"/>
              </w:rPr>
              <w:t>136 (39.2%)</w:t>
            </w:r>
          </w:p>
        </w:tc>
        <w:tc>
          <w:tcPr>
            <w:tcW w:w="1261" w:type="dxa"/>
          </w:tcPr>
          <w:p w14:paraId="0E223EB8" w14:textId="37E9D495" w:rsidR="0097212D" w:rsidRPr="00E87295" w:rsidRDefault="0097212D">
            <w:pPr>
              <w:adjustRightInd w:val="0"/>
              <w:snapToGrid w:val="0"/>
              <w:jc w:val="both"/>
              <w:rPr>
                <w:sz w:val="22"/>
                <w:szCs w:val="22"/>
              </w:rPr>
            </w:pPr>
            <w:r w:rsidRPr="00E87295">
              <w:rPr>
                <w:rFonts w:eastAsia="TimesNewRoman"/>
                <w:sz w:val="22"/>
                <w:szCs w:val="22"/>
              </w:rPr>
              <w:t>130 (39.8%)</w:t>
            </w:r>
          </w:p>
        </w:tc>
        <w:tc>
          <w:tcPr>
            <w:tcW w:w="1107" w:type="dxa"/>
          </w:tcPr>
          <w:p w14:paraId="07495350" w14:textId="766C8BA7" w:rsidR="0097212D" w:rsidRPr="00E87295" w:rsidRDefault="0097212D">
            <w:pPr>
              <w:adjustRightInd w:val="0"/>
              <w:snapToGrid w:val="0"/>
              <w:jc w:val="both"/>
              <w:rPr>
                <w:sz w:val="22"/>
                <w:szCs w:val="22"/>
              </w:rPr>
            </w:pPr>
            <w:r w:rsidRPr="00E87295">
              <w:rPr>
                <w:sz w:val="22"/>
                <w:szCs w:val="22"/>
                <w:lang w:val="sr-Latn-RS"/>
              </w:rPr>
              <w:t>126 (42.4%)</w:t>
            </w:r>
          </w:p>
        </w:tc>
        <w:tc>
          <w:tcPr>
            <w:tcW w:w="1120" w:type="dxa"/>
          </w:tcPr>
          <w:p w14:paraId="52CCD9A8" w14:textId="5D57AB09" w:rsidR="0097212D" w:rsidRPr="00E87295" w:rsidRDefault="0097212D">
            <w:pPr>
              <w:adjustRightInd w:val="0"/>
              <w:snapToGrid w:val="0"/>
              <w:jc w:val="both"/>
              <w:rPr>
                <w:sz w:val="22"/>
                <w:szCs w:val="22"/>
              </w:rPr>
            </w:pPr>
            <w:r w:rsidRPr="00E87295">
              <w:rPr>
                <w:sz w:val="22"/>
                <w:szCs w:val="22"/>
              </w:rPr>
              <w:t>99 (43.6%)</w:t>
            </w:r>
          </w:p>
        </w:tc>
        <w:tc>
          <w:tcPr>
            <w:tcW w:w="1261" w:type="dxa"/>
          </w:tcPr>
          <w:p w14:paraId="679AFE5D" w14:textId="77777777" w:rsidR="000166BC" w:rsidRPr="00E87295" w:rsidRDefault="0097212D">
            <w:pPr>
              <w:adjustRightInd w:val="0"/>
              <w:snapToGrid w:val="0"/>
              <w:jc w:val="both"/>
              <w:rPr>
                <w:rFonts w:eastAsia="TimesNewRoman"/>
                <w:sz w:val="22"/>
                <w:szCs w:val="22"/>
              </w:rPr>
            </w:pPr>
            <w:r w:rsidRPr="00E87295">
              <w:rPr>
                <w:rFonts w:eastAsia="TimesNewRoman"/>
                <w:sz w:val="22"/>
                <w:szCs w:val="22"/>
              </w:rPr>
              <w:t xml:space="preserve">96 </w:t>
            </w:r>
          </w:p>
          <w:p w14:paraId="17C6E072" w14:textId="71731935" w:rsidR="0097212D" w:rsidRPr="00E87295" w:rsidRDefault="0097212D">
            <w:pPr>
              <w:adjustRightInd w:val="0"/>
              <w:snapToGrid w:val="0"/>
              <w:jc w:val="both"/>
              <w:rPr>
                <w:sz w:val="22"/>
                <w:szCs w:val="22"/>
              </w:rPr>
            </w:pPr>
            <w:r w:rsidRPr="00E87295">
              <w:rPr>
                <w:rFonts w:eastAsia="TimesNewRoman"/>
                <w:sz w:val="22"/>
                <w:szCs w:val="22"/>
              </w:rPr>
              <w:t>(44.0%)</w:t>
            </w:r>
          </w:p>
        </w:tc>
        <w:tc>
          <w:tcPr>
            <w:tcW w:w="1504" w:type="dxa"/>
          </w:tcPr>
          <w:p w14:paraId="12701BC8" w14:textId="77777777" w:rsidR="000166BC" w:rsidRPr="00E87295" w:rsidRDefault="000166BC">
            <w:pPr>
              <w:adjustRightInd w:val="0"/>
              <w:snapToGrid w:val="0"/>
              <w:jc w:val="both"/>
              <w:rPr>
                <w:sz w:val="22"/>
                <w:szCs w:val="22"/>
                <w:lang w:val="sr-Latn-RS"/>
              </w:rPr>
            </w:pPr>
          </w:p>
          <w:p w14:paraId="25F26A60" w14:textId="77777777" w:rsidR="000166BC" w:rsidRPr="00E87295" w:rsidRDefault="0097212D">
            <w:pPr>
              <w:adjustRightInd w:val="0"/>
              <w:snapToGrid w:val="0"/>
              <w:jc w:val="both"/>
              <w:rPr>
                <w:sz w:val="22"/>
                <w:szCs w:val="22"/>
                <w:lang w:val="sr-Latn-RS"/>
              </w:rPr>
            </w:pPr>
            <w:r w:rsidRPr="00E87295">
              <w:rPr>
                <w:sz w:val="22"/>
                <w:szCs w:val="22"/>
                <w:lang w:val="sr-Latn-RS"/>
              </w:rPr>
              <w:t xml:space="preserve">96 </w:t>
            </w:r>
          </w:p>
          <w:p w14:paraId="4315F6B3" w14:textId="1E9DC745" w:rsidR="0097212D" w:rsidRPr="00E87295" w:rsidRDefault="0097212D">
            <w:pPr>
              <w:adjustRightInd w:val="0"/>
              <w:snapToGrid w:val="0"/>
              <w:jc w:val="both"/>
              <w:rPr>
                <w:sz w:val="22"/>
                <w:szCs w:val="22"/>
              </w:rPr>
            </w:pPr>
            <w:r w:rsidRPr="00E87295">
              <w:rPr>
                <w:sz w:val="22"/>
                <w:szCs w:val="22"/>
                <w:lang w:val="sr-Latn-RS"/>
              </w:rPr>
              <w:t>(48.0%)</w:t>
            </w:r>
          </w:p>
        </w:tc>
      </w:tr>
      <w:tr w:rsidR="0097212D" w:rsidRPr="00E87295" w14:paraId="37A28C36" w14:textId="3CA6046C" w:rsidTr="00E87295">
        <w:tc>
          <w:tcPr>
            <w:tcW w:w="1702" w:type="dxa"/>
          </w:tcPr>
          <w:p w14:paraId="7E730D4A" w14:textId="77777777" w:rsidR="0097212D" w:rsidRPr="00C929E2" w:rsidRDefault="0097212D">
            <w:pPr>
              <w:autoSpaceDE w:val="0"/>
              <w:autoSpaceDN w:val="0"/>
              <w:adjustRightInd w:val="0"/>
              <w:snapToGrid w:val="0"/>
              <w:jc w:val="both"/>
              <w:rPr>
                <w:sz w:val="22"/>
                <w:szCs w:val="22"/>
                <w:lang w:val="de-DE"/>
              </w:rPr>
            </w:pPr>
            <w:r w:rsidRPr="00C929E2">
              <w:rPr>
                <w:b/>
                <w:bCs/>
                <w:sz w:val="22"/>
                <w:szCs w:val="22"/>
                <w:lang w:val="de-DE"/>
              </w:rPr>
              <w:t>PSSD rezultat za znakove,</w:t>
            </w:r>
            <w:r w:rsidRPr="00C929E2">
              <w:rPr>
                <w:sz w:val="22"/>
                <w:szCs w:val="22"/>
                <w:lang w:val="de-DE"/>
              </w:rPr>
              <w:t xml:space="preserve"> ispitanici sa početnim rezultatom &gt; 0</w:t>
            </w:r>
          </w:p>
        </w:tc>
        <w:tc>
          <w:tcPr>
            <w:tcW w:w="1120" w:type="dxa"/>
          </w:tcPr>
          <w:p w14:paraId="1ED1DB54" w14:textId="77777777" w:rsidR="0097212D" w:rsidRPr="00E87295" w:rsidRDefault="0097212D">
            <w:pPr>
              <w:adjustRightInd w:val="0"/>
              <w:snapToGrid w:val="0"/>
              <w:jc w:val="both"/>
              <w:rPr>
                <w:sz w:val="22"/>
                <w:szCs w:val="22"/>
              </w:rPr>
            </w:pPr>
            <w:r w:rsidRPr="00E87295">
              <w:rPr>
                <w:sz w:val="22"/>
                <w:szCs w:val="22"/>
              </w:rPr>
              <w:t>347</w:t>
            </w:r>
          </w:p>
        </w:tc>
        <w:tc>
          <w:tcPr>
            <w:tcW w:w="1261" w:type="dxa"/>
          </w:tcPr>
          <w:p w14:paraId="73D7DA56" w14:textId="6019B2ED" w:rsidR="0097212D" w:rsidRPr="00E87295" w:rsidRDefault="0097212D">
            <w:pPr>
              <w:adjustRightInd w:val="0"/>
              <w:snapToGrid w:val="0"/>
              <w:jc w:val="both"/>
              <w:rPr>
                <w:sz w:val="22"/>
                <w:szCs w:val="22"/>
              </w:rPr>
            </w:pPr>
            <w:r w:rsidRPr="00E87295">
              <w:rPr>
                <w:rFonts w:eastAsia="TimesNewRoman"/>
                <w:sz w:val="22"/>
                <w:szCs w:val="22"/>
              </w:rPr>
              <w:t>327</w:t>
            </w:r>
          </w:p>
        </w:tc>
        <w:tc>
          <w:tcPr>
            <w:tcW w:w="1107" w:type="dxa"/>
          </w:tcPr>
          <w:p w14:paraId="634F4F1B" w14:textId="3D367B3B" w:rsidR="0097212D" w:rsidRPr="00E87295" w:rsidRDefault="0097212D">
            <w:pPr>
              <w:adjustRightInd w:val="0"/>
              <w:snapToGrid w:val="0"/>
              <w:jc w:val="both"/>
              <w:rPr>
                <w:sz w:val="22"/>
                <w:szCs w:val="22"/>
              </w:rPr>
            </w:pPr>
            <w:r w:rsidRPr="00E87295">
              <w:rPr>
                <w:sz w:val="22"/>
                <w:szCs w:val="22"/>
                <w:lang w:val="sr-Latn-RS"/>
              </w:rPr>
              <w:t>297</w:t>
            </w:r>
          </w:p>
        </w:tc>
        <w:tc>
          <w:tcPr>
            <w:tcW w:w="1120" w:type="dxa"/>
          </w:tcPr>
          <w:p w14:paraId="3AE0179E" w14:textId="230DCBC7" w:rsidR="0097212D" w:rsidRPr="00E87295" w:rsidRDefault="0097212D">
            <w:pPr>
              <w:adjustRightInd w:val="0"/>
              <w:snapToGrid w:val="0"/>
              <w:jc w:val="both"/>
              <w:rPr>
                <w:sz w:val="22"/>
                <w:szCs w:val="22"/>
              </w:rPr>
            </w:pPr>
            <w:r w:rsidRPr="00E87295">
              <w:rPr>
                <w:sz w:val="22"/>
                <w:szCs w:val="22"/>
              </w:rPr>
              <w:t>228</w:t>
            </w:r>
          </w:p>
        </w:tc>
        <w:tc>
          <w:tcPr>
            <w:tcW w:w="1261" w:type="dxa"/>
          </w:tcPr>
          <w:p w14:paraId="41F6E456" w14:textId="54F2083C" w:rsidR="0097212D" w:rsidRPr="00E87295" w:rsidRDefault="0097212D">
            <w:pPr>
              <w:adjustRightInd w:val="0"/>
              <w:snapToGrid w:val="0"/>
              <w:jc w:val="both"/>
              <w:rPr>
                <w:sz w:val="22"/>
                <w:szCs w:val="22"/>
              </w:rPr>
            </w:pPr>
            <w:r w:rsidRPr="00E87295">
              <w:rPr>
                <w:rFonts w:eastAsia="TimesNewRoman"/>
                <w:sz w:val="22"/>
                <w:szCs w:val="22"/>
              </w:rPr>
              <w:t>219</w:t>
            </w:r>
          </w:p>
        </w:tc>
        <w:tc>
          <w:tcPr>
            <w:tcW w:w="1504" w:type="dxa"/>
          </w:tcPr>
          <w:p w14:paraId="48048371" w14:textId="6934E510" w:rsidR="0097212D" w:rsidRPr="00E87295" w:rsidRDefault="0097212D">
            <w:pPr>
              <w:adjustRightInd w:val="0"/>
              <w:snapToGrid w:val="0"/>
              <w:jc w:val="both"/>
              <w:rPr>
                <w:sz w:val="22"/>
                <w:szCs w:val="22"/>
              </w:rPr>
            </w:pPr>
            <w:r w:rsidRPr="00E87295">
              <w:rPr>
                <w:sz w:val="22"/>
                <w:szCs w:val="22"/>
                <w:lang w:val="sr-Latn-RS"/>
              </w:rPr>
              <w:t>201</w:t>
            </w:r>
          </w:p>
        </w:tc>
      </w:tr>
      <w:tr w:rsidR="0097212D" w:rsidRPr="00E87295" w14:paraId="0C387943" w14:textId="70336894" w:rsidTr="00E87295">
        <w:tc>
          <w:tcPr>
            <w:tcW w:w="1702" w:type="dxa"/>
          </w:tcPr>
          <w:p w14:paraId="71E9CCB4" w14:textId="77777777" w:rsidR="0097212D" w:rsidRPr="00E87295" w:rsidRDefault="0097212D">
            <w:pPr>
              <w:adjustRightInd w:val="0"/>
              <w:snapToGrid w:val="0"/>
              <w:jc w:val="both"/>
              <w:rPr>
                <w:sz w:val="22"/>
                <w:szCs w:val="22"/>
              </w:rPr>
            </w:pPr>
            <w:proofErr w:type="spellStart"/>
            <w:r w:rsidRPr="00E87295">
              <w:rPr>
                <w:sz w:val="22"/>
                <w:szCs w:val="22"/>
              </w:rPr>
              <w:t>Rezultat</w:t>
            </w:r>
            <w:proofErr w:type="spellEnd"/>
            <w:r w:rsidRPr="00E87295">
              <w:rPr>
                <w:sz w:val="22"/>
                <w:szCs w:val="22"/>
              </w:rPr>
              <w:t xml:space="preserve"> </w:t>
            </w:r>
            <w:proofErr w:type="spellStart"/>
            <w:r w:rsidRPr="00E87295">
              <w:rPr>
                <w:sz w:val="22"/>
                <w:szCs w:val="22"/>
              </w:rPr>
              <w:t>za</w:t>
            </w:r>
            <w:proofErr w:type="spellEnd"/>
            <w:r w:rsidRPr="00E87295">
              <w:rPr>
                <w:sz w:val="22"/>
                <w:szCs w:val="22"/>
              </w:rPr>
              <w:t xml:space="preserve"> </w:t>
            </w:r>
            <w:proofErr w:type="spellStart"/>
            <w:r w:rsidRPr="00E87295">
              <w:rPr>
                <w:sz w:val="22"/>
                <w:szCs w:val="22"/>
              </w:rPr>
              <w:t>znakove</w:t>
            </w:r>
            <w:proofErr w:type="spellEnd"/>
            <w:r w:rsidRPr="00E87295">
              <w:rPr>
                <w:sz w:val="22"/>
                <w:szCs w:val="22"/>
              </w:rPr>
              <w:t xml:space="preserve"> = 0, n (%)</w:t>
            </w:r>
          </w:p>
        </w:tc>
        <w:tc>
          <w:tcPr>
            <w:tcW w:w="1120" w:type="dxa"/>
          </w:tcPr>
          <w:p w14:paraId="315F1478" w14:textId="77777777" w:rsidR="0097212D" w:rsidRPr="00E87295" w:rsidRDefault="0097212D">
            <w:pPr>
              <w:adjustRightInd w:val="0"/>
              <w:snapToGrid w:val="0"/>
              <w:jc w:val="both"/>
              <w:rPr>
                <w:sz w:val="22"/>
                <w:szCs w:val="22"/>
              </w:rPr>
            </w:pPr>
            <w:r w:rsidRPr="00E87295">
              <w:rPr>
                <w:sz w:val="22"/>
                <w:szCs w:val="22"/>
              </w:rPr>
              <w:t>102 (29.4%)</w:t>
            </w:r>
          </w:p>
        </w:tc>
        <w:tc>
          <w:tcPr>
            <w:tcW w:w="1261" w:type="dxa"/>
          </w:tcPr>
          <w:p w14:paraId="40E9BC91" w14:textId="77777777" w:rsidR="000166BC" w:rsidRPr="00E87295" w:rsidRDefault="0097212D">
            <w:pPr>
              <w:adjustRightInd w:val="0"/>
              <w:snapToGrid w:val="0"/>
              <w:jc w:val="both"/>
              <w:rPr>
                <w:rFonts w:eastAsia="TimesNewRoman"/>
                <w:sz w:val="22"/>
                <w:szCs w:val="22"/>
              </w:rPr>
            </w:pPr>
            <w:r w:rsidRPr="00E87295">
              <w:rPr>
                <w:rFonts w:eastAsia="TimesNewRoman"/>
                <w:sz w:val="22"/>
                <w:szCs w:val="22"/>
              </w:rPr>
              <w:t xml:space="preserve">94 </w:t>
            </w:r>
          </w:p>
          <w:p w14:paraId="27A11BD5" w14:textId="41965FE5" w:rsidR="0097212D" w:rsidRPr="00E87295" w:rsidRDefault="0097212D">
            <w:pPr>
              <w:adjustRightInd w:val="0"/>
              <w:snapToGrid w:val="0"/>
              <w:jc w:val="both"/>
              <w:rPr>
                <w:sz w:val="22"/>
                <w:szCs w:val="22"/>
              </w:rPr>
            </w:pPr>
            <w:r w:rsidRPr="00E87295">
              <w:rPr>
                <w:rFonts w:eastAsia="TimesNewRoman"/>
                <w:sz w:val="22"/>
                <w:szCs w:val="22"/>
              </w:rPr>
              <w:t>(28.7%)</w:t>
            </w:r>
          </w:p>
        </w:tc>
        <w:tc>
          <w:tcPr>
            <w:tcW w:w="1107" w:type="dxa"/>
          </w:tcPr>
          <w:p w14:paraId="6EC71175" w14:textId="6E22601F" w:rsidR="0097212D" w:rsidRPr="00E87295" w:rsidRDefault="0097212D">
            <w:pPr>
              <w:adjustRightInd w:val="0"/>
              <w:snapToGrid w:val="0"/>
              <w:jc w:val="both"/>
              <w:rPr>
                <w:sz w:val="22"/>
                <w:szCs w:val="22"/>
              </w:rPr>
            </w:pPr>
            <w:r w:rsidRPr="00E87295">
              <w:rPr>
                <w:sz w:val="22"/>
                <w:szCs w:val="22"/>
                <w:lang w:val="sr-Latn-RS"/>
              </w:rPr>
              <w:t>98 (33.0%)</w:t>
            </w:r>
          </w:p>
        </w:tc>
        <w:tc>
          <w:tcPr>
            <w:tcW w:w="1120" w:type="dxa"/>
          </w:tcPr>
          <w:p w14:paraId="6AB584DB" w14:textId="749AB963" w:rsidR="0097212D" w:rsidRPr="00E87295" w:rsidRDefault="0097212D">
            <w:pPr>
              <w:adjustRightInd w:val="0"/>
              <w:snapToGrid w:val="0"/>
              <w:jc w:val="both"/>
              <w:rPr>
                <w:sz w:val="22"/>
                <w:szCs w:val="22"/>
              </w:rPr>
            </w:pPr>
            <w:r w:rsidRPr="00E87295">
              <w:rPr>
                <w:sz w:val="22"/>
                <w:szCs w:val="22"/>
              </w:rPr>
              <w:t>71 (31.1%)</w:t>
            </w:r>
          </w:p>
        </w:tc>
        <w:tc>
          <w:tcPr>
            <w:tcW w:w="1261" w:type="dxa"/>
          </w:tcPr>
          <w:p w14:paraId="239E5587" w14:textId="77777777" w:rsidR="000166BC" w:rsidRPr="00E87295" w:rsidRDefault="0097212D">
            <w:pPr>
              <w:adjustRightInd w:val="0"/>
              <w:snapToGrid w:val="0"/>
              <w:jc w:val="both"/>
              <w:rPr>
                <w:rFonts w:eastAsia="TimesNewRoman"/>
                <w:sz w:val="22"/>
                <w:szCs w:val="22"/>
              </w:rPr>
            </w:pPr>
            <w:r w:rsidRPr="00E87295">
              <w:rPr>
                <w:rFonts w:eastAsia="TimesNewRoman"/>
                <w:sz w:val="22"/>
                <w:szCs w:val="22"/>
              </w:rPr>
              <w:t>69</w:t>
            </w:r>
          </w:p>
          <w:p w14:paraId="50B6B487" w14:textId="5734E768" w:rsidR="0097212D" w:rsidRPr="00E87295" w:rsidRDefault="0097212D">
            <w:pPr>
              <w:adjustRightInd w:val="0"/>
              <w:snapToGrid w:val="0"/>
              <w:jc w:val="both"/>
              <w:rPr>
                <w:sz w:val="22"/>
                <w:szCs w:val="22"/>
              </w:rPr>
            </w:pPr>
            <w:r w:rsidRPr="00E87295">
              <w:rPr>
                <w:rFonts w:eastAsia="TimesNewRoman"/>
                <w:sz w:val="22"/>
                <w:szCs w:val="22"/>
              </w:rPr>
              <w:t xml:space="preserve"> (31.5%)</w:t>
            </w:r>
          </w:p>
        </w:tc>
        <w:tc>
          <w:tcPr>
            <w:tcW w:w="1504" w:type="dxa"/>
          </w:tcPr>
          <w:p w14:paraId="6509872E" w14:textId="1A38394A" w:rsidR="000166BC" w:rsidRPr="00E87295" w:rsidRDefault="0097212D">
            <w:pPr>
              <w:adjustRightInd w:val="0"/>
              <w:snapToGrid w:val="0"/>
              <w:jc w:val="both"/>
              <w:rPr>
                <w:sz w:val="22"/>
                <w:szCs w:val="22"/>
                <w:lang w:val="sr-Latn-RS"/>
              </w:rPr>
            </w:pPr>
            <w:r w:rsidRPr="00E87295">
              <w:rPr>
                <w:sz w:val="22"/>
                <w:szCs w:val="22"/>
                <w:lang w:val="sr-Latn-RS"/>
              </w:rPr>
              <w:t>76</w:t>
            </w:r>
          </w:p>
          <w:p w14:paraId="7F3FF07F" w14:textId="7F2DA83B" w:rsidR="0097212D" w:rsidRPr="00E87295" w:rsidRDefault="0097212D">
            <w:pPr>
              <w:adjustRightInd w:val="0"/>
              <w:snapToGrid w:val="0"/>
              <w:jc w:val="both"/>
              <w:rPr>
                <w:sz w:val="22"/>
                <w:szCs w:val="22"/>
                <w:lang w:val="sr-Latn-RS"/>
              </w:rPr>
            </w:pPr>
            <w:r w:rsidRPr="00E87295">
              <w:rPr>
                <w:sz w:val="22"/>
                <w:szCs w:val="22"/>
                <w:lang w:val="sr-Latn-RS"/>
              </w:rPr>
              <w:t>(37.8%)</w:t>
            </w:r>
          </w:p>
        </w:tc>
      </w:tr>
      <w:bookmarkEnd w:id="3"/>
    </w:tbl>
    <w:p w14:paraId="616861C5" w14:textId="77777777" w:rsidR="0006393B" w:rsidRPr="00E87295" w:rsidRDefault="0006393B">
      <w:pPr>
        <w:pStyle w:val="Header"/>
        <w:tabs>
          <w:tab w:val="left" w:pos="284"/>
        </w:tabs>
        <w:jc w:val="both"/>
        <w:rPr>
          <w:sz w:val="22"/>
          <w:szCs w:val="22"/>
          <w:lang w:val="sr-Latn-RS"/>
        </w:rPr>
      </w:pPr>
    </w:p>
    <w:p w14:paraId="7C7BB92D" w14:textId="77777777" w:rsidR="0006393B" w:rsidRPr="00E87295" w:rsidRDefault="0006393B">
      <w:pPr>
        <w:pStyle w:val="Header"/>
        <w:tabs>
          <w:tab w:val="left" w:pos="284"/>
        </w:tabs>
        <w:jc w:val="both"/>
        <w:rPr>
          <w:sz w:val="22"/>
          <w:szCs w:val="22"/>
          <w:lang w:val="sr-Latn-RS"/>
        </w:rPr>
      </w:pPr>
    </w:p>
    <w:p w14:paraId="317BE1CB" w14:textId="0670FDAB" w:rsidR="007677A5" w:rsidRPr="00E87295" w:rsidRDefault="007677A5">
      <w:pPr>
        <w:jc w:val="both"/>
        <w:rPr>
          <w:sz w:val="22"/>
          <w:szCs w:val="22"/>
          <w:lang w:val="sr-Latn-RS"/>
        </w:rPr>
      </w:pPr>
      <w:r w:rsidRPr="00E87295">
        <w:rPr>
          <w:sz w:val="22"/>
          <w:szCs w:val="22"/>
          <w:lang w:val="sr-Latn-RS"/>
        </w:rPr>
        <w:t>U kliničkom ispitivanju VOYAGE 2, pacijenti liječeni guselkumabom ostvarili su, u poređenju sa placebom, značajno veće poboljšanje rezultata za kvalitet života povezan sa zdravljem, za anksioznost i depresiju, kao i mjerila ograničenja pri radu od početka ispitivanja do 16. ned</w:t>
      </w:r>
      <w:r w:rsidR="000102B6" w:rsidRPr="00E87295">
        <w:rPr>
          <w:sz w:val="22"/>
          <w:szCs w:val="22"/>
          <w:lang w:val="sr-Latn-RS"/>
        </w:rPr>
        <w:t>j</w:t>
      </w:r>
      <w:r w:rsidRPr="00E87295">
        <w:rPr>
          <w:sz w:val="22"/>
          <w:szCs w:val="22"/>
          <w:lang w:val="sr-Latn-RS"/>
        </w:rPr>
        <w:t>elje, što se mjerilo kratkim upitnikom o zdravstvenom stanju od 36 pitanja (engl.</w:t>
      </w:r>
      <w:r w:rsidRPr="00E87295">
        <w:rPr>
          <w:rStyle w:val="BodytextItalic"/>
          <w:sz w:val="22"/>
          <w:szCs w:val="22"/>
          <w:lang w:val="sr-Latn-RS"/>
        </w:rPr>
        <w:t xml:space="preserve"> 36-item Short Form,</w:t>
      </w:r>
      <w:r w:rsidRPr="00E87295">
        <w:rPr>
          <w:sz w:val="22"/>
          <w:szCs w:val="22"/>
          <w:lang w:val="sr-Latn-RS"/>
        </w:rPr>
        <w:t xml:space="preserve"> SF-36), Skalom bolničke </w:t>
      </w:r>
      <w:r w:rsidRPr="00E87295">
        <w:rPr>
          <w:sz w:val="22"/>
          <w:szCs w:val="22"/>
          <w:lang w:val="sr-Latn-RS"/>
        </w:rPr>
        <w:lastRenderedPageBreak/>
        <w:t>anksioznosti i depresije (engl.</w:t>
      </w:r>
      <w:r w:rsidRPr="00E87295">
        <w:rPr>
          <w:rStyle w:val="BodytextItalic"/>
          <w:sz w:val="22"/>
          <w:szCs w:val="22"/>
          <w:lang w:val="sr-Latn-RS"/>
        </w:rPr>
        <w:t xml:space="preserve"> Hospital Anxiety and Depression Scale,</w:t>
      </w:r>
      <w:r w:rsidRPr="00E87295">
        <w:rPr>
          <w:sz w:val="22"/>
          <w:szCs w:val="22"/>
          <w:lang w:val="sr-Latn-RS"/>
        </w:rPr>
        <w:t xml:space="preserve"> HADS) odnosno Upitnikom o </w:t>
      </w:r>
      <w:r w:rsidR="00933F88" w:rsidRPr="00E87295">
        <w:rPr>
          <w:sz w:val="22"/>
          <w:szCs w:val="22"/>
          <w:lang w:val="sr-Latn-RS"/>
        </w:rPr>
        <w:t>ograničenjima pri radu</w:t>
      </w:r>
      <w:r w:rsidRPr="00E87295">
        <w:rPr>
          <w:sz w:val="22"/>
          <w:szCs w:val="22"/>
          <w:lang w:val="sr-Latn-RS"/>
        </w:rPr>
        <w:t xml:space="preserve"> (engl.</w:t>
      </w:r>
      <w:r w:rsidRPr="00E87295">
        <w:rPr>
          <w:rStyle w:val="BodytextItalic"/>
          <w:sz w:val="22"/>
          <w:szCs w:val="22"/>
          <w:lang w:val="sr-Latn-RS"/>
        </w:rPr>
        <w:t xml:space="preserve"> Work Limitations Questionnaire,</w:t>
      </w:r>
      <w:r w:rsidRPr="00E87295">
        <w:rPr>
          <w:sz w:val="22"/>
          <w:szCs w:val="22"/>
          <w:lang w:val="sr-Latn-RS"/>
        </w:rPr>
        <w:t xml:space="preserve"> WLQ). Poboljšanja rezultata po SF-36, HADS i WLQ održala su se tokom 48. ned</w:t>
      </w:r>
      <w:r w:rsidR="000102B6" w:rsidRPr="00E87295">
        <w:rPr>
          <w:sz w:val="22"/>
          <w:szCs w:val="22"/>
          <w:lang w:val="sr-Latn-RS"/>
        </w:rPr>
        <w:t>j</w:t>
      </w:r>
      <w:r w:rsidRPr="00E87295">
        <w:rPr>
          <w:sz w:val="22"/>
          <w:szCs w:val="22"/>
          <w:lang w:val="sr-Latn-RS"/>
        </w:rPr>
        <w:t xml:space="preserve">elja </w:t>
      </w:r>
      <w:r w:rsidR="0006393B" w:rsidRPr="00C929E2">
        <w:rPr>
          <w:sz w:val="22"/>
          <w:szCs w:val="22"/>
          <w:lang w:val="sr-Latn-RS"/>
        </w:rPr>
        <w:t>i u otvorenoj fazi tokom</w:t>
      </w:r>
      <w:r w:rsidR="0097212D" w:rsidRPr="00C929E2">
        <w:rPr>
          <w:sz w:val="22"/>
          <w:szCs w:val="22"/>
          <w:lang w:val="sr-Latn-RS"/>
        </w:rPr>
        <w:t xml:space="preserve"> 252</w:t>
      </w:r>
      <w:r w:rsidR="0006393B" w:rsidRPr="00C929E2">
        <w:rPr>
          <w:sz w:val="22"/>
          <w:szCs w:val="22"/>
          <w:lang w:val="sr-Latn-RS"/>
        </w:rPr>
        <w:t xml:space="preserve"> ned</w:t>
      </w:r>
      <w:r w:rsidR="004C56CA" w:rsidRPr="00C929E2">
        <w:rPr>
          <w:sz w:val="22"/>
          <w:szCs w:val="22"/>
          <w:lang w:val="sr-Latn-RS"/>
        </w:rPr>
        <w:t>j</w:t>
      </w:r>
      <w:r w:rsidR="0006393B" w:rsidRPr="00C929E2">
        <w:rPr>
          <w:sz w:val="22"/>
          <w:szCs w:val="22"/>
          <w:lang w:val="sr-Latn-RS"/>
        </w:rPr>
        <w:t>elj</w:t>
      </w:r>
      <w:r w:rsidR="0097212D" w:rsidRPr="00C929E2">
        <w:rPr>
          <w:sz w:val="22"/>
          <w:szCs w:val="22"/>
          <w:lang w:val="sr-Latn-RS"/>
        </w:rPr>
        <w:t>e</w:t>
      </w:r>
      <w:r w:rsidR="0006393B" w:rsidRPr="00C929E2">
        <w:rPr>
          <w:sz w:val="22"/>
          <w:szCs w:val="22"/>
          <w:lang w:val="sr-Latn-RS"/>
        </w:rPr>
        <w:t xml:space="preserve"> među pacijentima </w:t>
      </w:r>
      <w:r w:rsidRPr="00E87295">
        <w:rPr>
          <w:sz w:val="22"/>
          <w:szCs w:val="22"/>
          <w:lang w:val="sr-Latn-RS"/>
        </w:rPr>
        <w:t>randomizovanim da primaju terapiju održavanja 28. ned</w:t>
      </w:r>
      <w:r w:rsidR="000102B6" w:rsidRPr="00E87295">
        <w:rPr>
          <w:sz w:val="22"/>
          <w:szCs w:val="22"/>
          <w:lang w:val="sr-Latn-RS"/>
        </w:rPr>
        <w:t>j</w:t>
      </w:r>
      <w:r w:rsidRPr="00E87295">
        <w:rPr>
          <w:sz w:val="22"/>
          <w:szCs w:val="22"/>
          <w:lang w:val="sr-Latn-RS"/>
        </w:rPr>
        <w:t>elje.</w:t>
      </w:r>
    </w:p>
    <w:p w14:paraId="7891F8B1" w14:textId="77777777" w:rsidR="007677A5" w:rsidRPr="00E87295" w:rsidRDefault="007677A5">
      <w:pPr>
        <w:pStyle w:val="Bodytext30"/>
        <w:shd w:val="clear" w:color="auto" w:fill="auto"/>
        <w:spacing w:before="0" w:line="240" w:lineRule="auto"/>
        <w:ind w:left="20"/>
        <w:jc w:val="both"/>
        <w:rPr>
          <w:sz w:val="22"/>
          <w:szCs w:val="22"/>
          <w:lang w:val="sr-Latn-RS"/>
        </w:rPr>
      </w:pPr>
    </w:p>
    <w:p w14:paraId="12FE973D" w14:textId="77777777" w:rsidR="007677A5" w:rsidRPr="00E87295" w:rsidRDefault="007677A5">
      <w:pPr>
        <w:pStyle w:val="Bodytext30"/>
        <w:shd w:val="clear" w:color="auto" w:fill="auto"/>
        <w:spacing w:before="0" w:line="240" w:lineRule="auto"/>
        <w:ind w:left="580"/>
        <w:jc w:val="both"/>
        <w:rPr>
          <w:i/>
          <w:sz w:val="22"/>
          <w:szCs w:val="22"/>
          <w:lang w:val="sr-Latn-RS"/>
        </w:rPr>
      </w:pPr>
      <w:r w:rsidRPr="00E87295">
        <w:rPr>
          <w:i/>
          <w:sz w:val="22"/>
          <w:szCs w:val="22"/>
          <w:lang w:val="sr-Latn-RS"/>
        </w:rPr>
        <w:t>NAVIGATE</w:t>
      </w:r>
    </w:p>
    <w:p w14:paraId="4BFCB93B" w14:textId="77777777" w:rsidR="007677A5" w:rsidRPr="00E87295" w:rsidRDefault="007677A5">
      <w:pPr>
        <w:spacing w:after="180"/>
        <w:ind w:left="20"/>
        <w:jc w:val="both"/>
        <w:rPr>
          <w:sz w:val="22"/>
          <w:szCs w:val="22"/>
          <w:lang w:val="sr-Latn-RS"/>
        </w:rPr>
      </w:pPr>
      <w:r w:rsidRPr="00E87295">
        <w:rPr>
          <w:sz w:val="22"/>
          <w:szCs w:val="22"/>
          <w:lang w:val="sr-Latn-RS"/>
        </w:rPr>
        <w:t xml:space="preserve">U kliničkom ispitivanju NAVIGATE,  efikasnost guselkumaba je </w:t>
      </w:r>
      <w:r w:rsidR="000102B6" w:rsidRPr="00E87295">
        <w:rPr>
          <w:sz w:val="22"/>
          <w:szCs w:val="22"/>
          <w:lang w:val="sr-Latn-RS"/>
        </w:rPr>
        <w:t>procjenjivana</w:t>
      </w:r>
      <w:r w:rsidRPr="00E87295">
        <w:rPr>
          <w:sz w:val="22"/>
          <w:szCs w:val="22"/>
          <w:lang w:val="sr-Latn-RS"/>
        </w:rPr>
        <w:t xml:space="preserve"> kod pacijenata sa neadekvatnim odgovorom na ustekinumab u 16. ned</w:t>
      </w:r>
      <w:r w:rsidR="000102B6" w:rsidRPr="00E87295">
        <w:rPr>
          <w:sz w:val="22"/>
          <w:szCs w:val="22"/>
          <w:lang w:val="sr-Latn-RS"/>
        </w:rPr>
        <w:t>j</w:t>
      </w:r>
      <w:r w:rsidRPr="00E87295">
        <w:rPr>
          <w:sz w:val="22"/>
          <w:szCs w:val="22"/>
          <w:lang w:val="sr-Latn-RS"/>
        </w:rPr>
        <w:t>elji (tj. pacijenata koji ni</w:t>
      </w:r>
      <w:r w:rsidR="000102B6" w:rsidRPr="00E87295">
        <w:rPr>
          <w:sz w:val="22"/>
          <w:szCs w:val="22"/>
          <w:lang w:val="sr-Latn-RS"/>
        </w:rPr>
        <w:t>je</w:t>
      </w:r>
      <w:r w:rsidRPr="00E87295">
        <w:rPr>
          <w:sz w:val="22"/>
          <w:szCs w:val="22"/>
          <w:lang w:val="sr-Latn-RS"/>
        </w:rPr>
        <w:t>su ostvarili odgovor „bez bolesti“ ili „minimalna bolest“, definisan rezultatom IGA ≥ 2). Svi pacijenti (N=871) su primili ustekinumab u otvorenom kliničkom ispitivanju (45 mg ≤ 100 kg i 90 mg &gt; 100 kg) u 0. i 4. ned</w:t>
      </w:r>
      <w:r w:rsidR="000102B6" w:rsidRPr="00E87295">
        <w:rPr>
          <w:sz w:val="22"/>
          <w:szCs w:val="22"/>
          <w:lang w:val="sr-Latn-RS"/>
        </w:rPr>
        <w:t>j</w:t>
      </w:r>
      <w:r w:rsidRPr="00E87295">
        <w:rPr>
          <w:sz w:val="22"/>
          <w:szCs w:val="22"/>
          <w:lang w:val="sr-Latn-RS"/>
        </w:rPr>
        <w:t>elji. Šesnaeste ned</w:t>
      </w:r>
      <w:r w:rsidR="000102B6" w:rsidRPr="00E87295">
        <w:rPr>
          <w:sz w:val="22"/>
          <w:szCs w:val="22"/>
          <w:lang w:val="sr-Latn-RS"/>
        </w:rPr>
        <w:t>j</w:t>
      </w:r>
      <w:r w:rsidRPr="00E87295">
        <w:rPr>
          <w:sz w:val="22"/>
          <w:szCs w:val="22"/>
          <w:lang w:val="sr-Latn-RS"/>
        </w:rPr>
        <w:t>elje, 268 pacijenata sa rezultatom IGA ≥ 2 bilo je randomizovano za nastavak terapije ustekinumabom (N=133) na svakih 12 ned</w:t>
      </w:r>
      <w:r w:rsidR="000102B6" w:rsidRPr="00E87295">
        <w:rPr>
          <w:sz w:val="22"/>
          <w:szCs w:val="22"/>
          <w:lang w:val="sr-Latn-RS"/>
        </w:rPr>
        <w:t>j</w:t>
      </w:r>
      <w:r w:rsidRPr="00E87295">
        <w:rPr>
          <w:sz w:val="22"/>
          <w:szCs w:val="22"/>
          <w:lang w:val="sr-Latn-RS"/>
        </w:rPr>
        <w:t>elja ili za početak terapije guselkumabom (N=135), sa primjenom u 16. i 20. nedelji, a zatim na svakih 8 ned</w:t>
      </w:r>
      <w:r w:rsidR="000102B6" w:rsidRPr="00E87295">
        <w:rPr>
          <w:sz w:val="22"/>
          <w:szCs w:val="22"/>
          <w:lang w:val="sr-Latn-RS"/>
        </w:rPr>
        <w:t>j</w:t>
      </w:r>
      <w:r w:rsidRPr="00E87295">
        <w:rPr>
          <w:sz w:val="22"/>
          <w:szCs w:val="22"/>
          <w:lang w:val="sr-Latn-RS"/>
        </w:rPr>
        <w:t xml:space="preserve">elja poslije toga. Početne karakteristike randomizovanih </w:t>
      </w:r>
      <w:r w:rsidR="0006393B" w:rsidRPr="00C929E2">
        <w:rPr>
          <w:sz w:val="22"/>
          <w:szCs w:val="22"/>
          <w:lang w:val="sr-Latn-RS"/>
        </w:rPr>
        <w:t xml:space="preserve">pacijenata </w:t>
      </w:r>
      <w:r w:rsidRPr="00E87295">
        <w:rPr>
          <w:sz w:val="22"/>
          <w:szCs w:val="22"/>
          <w:lang w:val="sr-Latn-RS"/>
        </w:rPr>
        <w:t>bile su slične onima zabilježenim u ispitivanjima VOYAGE 1 i 2.</w:t>
      </w:r>
    </w:p>
    <w:p w14:paraId="395ADD82" w14:textId="21D67B36" w:rsidR="007677A5" w:rsidRPr="00E87295" w:rsidRDefault="007677A5">
      <w:pPr>
        <w:pStyle w:val="Header"/>
        <w:tabs>
          <w:tab w:val="left" w:pos="284"/>
        </w:tabs>
        <w:jc w:val="both"/>
        <w:rPr>
          <w:sz w:val="22"/>
          <w:szCs w:val="22"/>
          <w:lang w:val="sr-Latn-RS"/>
        </w:rPr>
      </w:pPr>
      <w:r w:rsidRPr="00E87295">
        <w:rPr>
          <w:sz w:val="22"/>
          <w:szCs w:val="22"/>
          <w:lang w:val="sr-Latn-RS"/>
        </w:rPr>
        <w:t>Posl</w:t>
      </w:r>
      <w:r w:rsidR="000102B6" w:rsidRPr="00E87295">
        <w:rPr>
          <w:sz w:val="22"/>
          <w:szCs w:val="22"/>
          <w:lang w:val="sr-Latn-RS"/>
        </w:rPr>
        <w:t>ij</w:t>
      </w:r>
      <w:r w:rsidRPr="00E87295">
        <w:rPr>
          <w:sz w:val="22"/>
          <w:szCs w:val="22"/>
          <w:lang w:val="sr-Latn-RS"/>
        </w:rPr>
        <w:t>e randomizacije, primarn</w:t>
      </w:r>
      <w:r w:rsidR="00933F88" w:rsidRPr="00E87295">
        <w:rPr>
          <w:sz w:val="22"/>
          <w:szCs w:val="22"/>
          <w:lang w:val="sr-Latn-RS"/>
        </w:rPr>
        <w:t>i parametar praćenja</w:t>
      </w:r>
      <w:r w:rsidRPr="00E87295">
        <w:rPr>
          <w:sz w:val="22"/>
          <w:szCs w:val="22"/>
          <w:lang w:val="sr-Latn-RS"/>
        </w:rPr>
        <w:t xml:space="preserve"> bio je broj posjeta poslije randomizacije između 12. i 24. ned</w:t>
      </w:r>
      <w:r w:rsidR="000102B6" w:rsidRPr="00E87295">
        <w:rPr>
          <w:sz w:val="22"/>
          <w:szCs w:val="22"/>
          <w:lang w:val="sr-Latn-RS"/>
        </w:rPr>
        <w:t>j</w:t>
      </w:r>
      <w:r w:rsidRPr="00E87295">
        <w:rPr>
          <w:sz w:val="22"/>
          <w:szCs w:val="22"/>
          <w:lang w:val="sr-Latn-RS"/>
        </w:rPr>
        <w:t>elje pri kojima su pacijenti postigli rezultat IGA 0/1 i poboljšanje od ≥ 2 stepena. Pacijenti su procjenjivani na svake četiri ned</w:t>
      </w:r>
      <w:r w:rsidR="000102B6" w:rsidRPr="00E87295">
        <w:rPr>
          <w:sz w:val="22"/>
          <w:szCs w:val="22"/>
          <w:lang w:val="sr-Latn-RS"/>
        </w:rPr>
        <w:t>j</w:t>
      </w:r>
      <w:r w:rsidRPr="00E87295">
        <w:rPr>
          <w:sz w:val="22"/>
          <w:szCs w:val="22"/>
          <w:lang w:val="sr-Latn-RS"/>
        </w:rPr>
        <w:t>elje, tokom ukupno četiri posjete. Među pacijentima koji su na randomizaciji imali neadekvatan odgovor na ustekinumab, značajno veće poboljšanje efikasnosti je zabilježeno kod pacijenata koji su prešli na guselkumab nego kod onih koji su nastavili terapiju ustekinumabom. Između 12. i 24. ned</w:t>
      </w:r>
      <w:r w:rsidR="000102B6" w:rsidRPr="00E87295">
        <w:rPr>
          <w:sz w:val="22"/>
          <w:szCs w:val="22"/>
          <w:lang w:val="sr-Latn-RS"/>
        </w:rPr>
        <w:t>j</w:t>
      </w:r>
      <w:r w:rsidRPr="00E87295">
        <w:rPr>
          <w:sz w:val="22"/>
          <w:szCs w:val="22"/>
          <w:lang w:val="sr-Latn-RS"/>
        </w:rPr>
        <w:t xml:space="preserve">elje </w:t>
      </w:r>
      <w:r w:rsidR="000102B6" w:rsidRPr="00E87295">
        <w:rPr>
          <w:sz w:val="22"/>
          <w:szCs w:val="22"/>
          <w:lang w:val="sr-Latn-RS"/>
        </w:rPr>
        <w:t xml:space="preserve">nakon </w:t>
      </w:r>
      <w:r w:rsidRPr="00E87295">
        <w:rPr>
          <w:sz w:val="22"/>
          <w:szCs w:val="22"/>
          <w:lang w:val="sr-Latn-RS"/>
        </w:rPr>
        <w:t>randomizacije, pacijenti liječeni guselkumabom postizali su rezultat IGA 0/1 uz poboljšanje za ≥ 2 stepena dvostruko češće nego pacijenti liječeni ustekinumabom (srednja vrijednost: 1,5 prema 0,7 posjeta; p &lt; 0,001). Osim toga, u 12. ned</w:t>
      </w:r>
      <w:r w:rsidR="000102B6" w:rsidRPr="00E87295">
        <w:rPr>
          <w:sz w:val="22"/>
          <w:szCs w:val="22"/>
          <w:lang w:val="sr-Latn-RS"/>
        </w:rPr>
        <w:t>j</w:t>
      </w:r>
      <w:r w:rsidRPr="00E87295">
        <w:rPr>
          <w:sz w:val="22"/>
          <w:szCs w:val="22"/>
          <w:lang w:val="sr-Latn-RS"/>
        </w:rPr>
        <w:t>elji poslije randomizacije veći dio pacijenata liječenih guselkumabom nego</w:t>
      </w:r>
      <w:r w:rsidR="000102B6" w:rsidRPr="00E87295">
        <w:rPr>
          <w:sz w:val="22"/>
          <w:szCs w:val="22"/>
          <w:lang w:val="sr-Latn-RS"/>
        </w:rPr>
        <w:t xml:space="preserve"> </w:t>
      </w:r>
      <w:r w:rsidRPr="00E87295">
        <w:rPr>
          <w:sz w:val="22"/>
          <w:szCs w:val="22"/>
          <w:lang w:val="sr-Latn-RS"/>
        </w:rPr>
        <w:t xml:space="preserve">onih koji su primali ustekinumab postigao je rezultat IGA 0/1 i poboljšanje za ≥ 2 stepena (31,1% </w:t>
      </w:r>
      <w:r w:rsidR="00933F88" w:rsidRPr="00E87295">
        <w:rPr>
          <w:sz w:val="22"/>
          <w:szCs w:val="22"/>
          <w:lang w:val="sr-Latn-RS"/>
        </w:rPr>
        <w:t>naspram</w:t>
      </w:r>
      <w:r w:rsidRPr="00E87295">
        <w:rPr>
          <w:sz w:val="22"/>
          <w:szCs w:val="22"/>
          <w:lang w:val="sr-Latn-RS"/>
        </w:rPr>
        <w:t xml:space="preserve"> 14,3%; p = 0,001) kao i odgovor PASI 90 (48% </w:t>
      </w:r>
      <w:r w:rsidR="00933F88" w:rsidRPr="00E87295">
        <w:rPr>
          <w:sz w:val="22"/>
          <w:szCs w:val="22"/>
          <w:lang w:val="sr-Latn-RS"/>
        </w:rPr>
        <w:t>naspram</w:t>
      </w:r>
      <w:r w:rsidRPr="00E87295">
        <w:rPr>
          <w:sz w:val="22"/>
          <w:szCs w:val="22"/>
          <w:lang w:val="sr-Latn-RS"/>
        </w:rPr>
        <w:t xml:space="preserve"> 23%, p &lt; 0,001). Razlike u stopama odgovora između pacijenata liječenih guselkumabom i onih koji su primali ustekinumab bile su uočljive već u 4. ned</w:t>
      </w:r>
      <w:r w:rsidR="000102B6" w:rsidRPr="00E87295">
        <w:rPr>
          <w:sz w:val="22"/>
          <w:szCs w:val="22"/>
          <w:lang w:val="sr-Latn-RS"/>
        </w:rPr>
        <w:t>j</w:t>
      </w:r>
      <w:r w:rsidRPr="00E87295">
        <w:rPr>
          <w:sz w:val="22"/>
          <w:szCs w:val="22"/>
          <w:lang w:val="sr-Latn-RS"/>
        </w:rPr>
        <w:t>elji poslije randomizacije (11,1% odnosno 9,0%), a najveće su bile u 24. ned</w:t>
      </w:r>
      <w:r w:rsidR="000102B6" w:rsidRPr="00E87295">
        <w:rPr>
          <w:sz w:val="22"/>
          <w:szCs w:val="22"/>
          <w:lang w:val="sr-Latn-RS"/>
        </w:rPr>
        <w:t>j</w:t>
      </w:r>
      <w:r w:rsidRPr="00E87295">
        <w:rPr>
          <w:sz w:val="22"/>
          <w:szCs w:val="22"/>
          <w:lang w:val="sr-Latn-RS"/>
        </w:rPr>
        <w:t xml:space="preserve">elji poslije randomizacije (vidjeti Sliku </w:t>
      </w:r>
      <w:r w:rsidR="0006393B" w:rsidRPr="00C929E2">
        <w:rPr>
          <w:sz w:val="22"/>
          <w:szCs w:val="22"/>
          <w:lang w:val="sr-Latn-RS"/>
        </w:rPr>
        <w:t>3</w:t>
      </w:r>
      <w:r w:rsidRPr="00E87295">
        <w:rPr>
          <w:sz w:val="22"/>
          <w:szCs w:val="22"/>
          <w:lang w:val="sr-Latn-RS"/>
        </w:rPr>
        <w:t>). Kod pacijenata koji su prešli sa ustekinumaba na guselkumab nijesu primjećeni novi nalazi vezani za bezbjednost.</w:t>
      </w:r>
    </w:p>
    <w:p w14:paraId="6DF08C3B" w14:textId="77777777" w:rsidR="007677A5" w:rsidRPr="00E87295" w:rsidRDefault="007677A5">
      <w:pPr>
        <w:pStyle w:val="Header"/>
        <w:tabs>
          <w:tab w:val="left" w:pos="284"/>
        </w:tabs>
        <w:jc w:val="both"/>
        <w:rPr>
          <w:sz w:val="22"/>
          <w:szCs w:val="22"/>
          <w:lang w:val="sr-Latn-RS"/>
        </w:rPr>
      </w:pPr>
    </w:p>
    <w:p w14:paraId="4040A2A1" w14:textId="77777777" w:rsidR="007677A5" w:rsidRPr="00E87295" w:rsidRDefault="007677A5">
      <w:pPr>
        <w:pStyle w:val="Header"/>
        <w:tabs>
          <w:tab w:val="left" w:pos="284"/>
        </w:tabs>
        <w:jc w:val="both"/>
        <w:rPr>
          <w:b/>
          <w:sz w:val="22"/>
          <w:szCs w:val="22"/>
          <w:lang w:val="sr-Latn-RS"/>
        </w:rPr>
      </w:pPr>
      <w:r w:rsidRPr="00E87295">
        <w:rPr>
          <w:b/>
          <w:sz w:val="22"/>
          <w:szCs w:val="22"/>
          <w:lang w:val="sr-Latn-RS"/>
        </w:rPr>
        <w:t xml:space="preserve">Slika </w:t>
      </w:r>
      <w:r w:rsidR="0006393B" w:rsidRPr="00C929E2">
        <w:rPr>
          <w:b/>
          <w:sz w:val="22"/>
          <w:szCs w:val="22"/>
          <w:lang w:val="sr-Latn-RS"/>
        </w:rPr>
        <w:t>3</w:t>
      </w:r>
      <w:r w:rsidRPr="00E87295">
        <w:rPr>
          <w:b/>
          <w:sz w:val="22"/>
          <w:szCs w:val="22"/>
          <w:lang w:val="sr-Latn-RS"/>
        </w:rPr>
        <w:t>: Procenat ispitanika koji su postigli rezultat IGA „bez bolesti“ (0) ili  „minimalna bolest“ (1) kao i poboljšanje IGA rezultata za najmanje 2 stepena od 0. ned</w:t>
      </w:r>
      <w:r w:rsidR="000102B6" w:rsidRPr="00E87295">
        <w:rPr>
          <w:b/>
          <w:sz w:val="22"/>
          <w:szCs w:val="22"/>
          <w:lang w:val="sr-Latn-RS"/>
        </w:rPr>
        <w:t>j</w:t>
      </w:r>
      <w:r w:rsidRPr="00E87295">
        <w:rPr>
          <w:b/>
          <w:sz w:val="22"/>
          <w:szCs w:val="22"/>
          <w:lang w:val="sr-Latn-RS"/>
        </w:rPr>
        <w:t>elje do 24. ned</w:t>
      </w:r>
      <w:r w:rsidR="000102B6" w:rsidRPr="00E87295">
        <w:rPr>
          <w:b/>
          <w:sz w:val="22"/>
          <w:szCs w:val="22"/>
          <w:lang w:val="sr-Latn-RS"/>
        </w:rPr>
        <w:t>j</w:t>
      </w:r>
      <w:r w:rsidRPr="00E87295">
        <w:rPr>
          <w:b/>
          <w:sz w:val="22"/>
          <w:szCs w:val="22"/>
          <w:lang w:val="sr-Latn-RS"/>
        </w:rPr>
        <w:t>elje po posjeti poslije randomizacije u ispitivanju NAVIGATE</w:t>
      </w:r>
    </w:p>
    <w:p w14:paraId="0AABC33F" w14:textId="77777777" w:rsidR="007677A5" w:rsidRPr="00E87295" w:rsidRDefault="007677A5">
      <w:pPr>
        <w:pStyle w:val="Header"/>
        <w:tabs>
          <w:tab w:val="left" w:pos="284"/>
        </w:tabs>
        <w:jc w:val="both"/>
        <w:rPr>
          <w:sz w:val="22"/>
          <w:szCs w:val="22"/>
          <w:lang w:val="sr-Latn-RS"/>
        </w:rPr>
      </w:pPr>
    </w:p>
    <w:p w14:paraId="7A6E09AC" w14:textId="77777777" w:rsidR="007677A5" w:rsidRPr="00E87295" w:rsidRDefault="007677A5">
      <w:pPr>
        <w:pStyle w:val="Header"/>
        <w:tabs>
          <w:tab w:val="left" w:pos="284"/>
        </w:tabs>
        <w:jc w:val="both"/>
        <w:rPr>
          <w:sz w:val="22"/>
          <w:szCs w:val="22"/>
          <w:lang w:val="sr-Latn-RS"/>
        </w:rPr>
      </w:pPr>
    </w:p>
    <w:p w14:paraId="6A75F7C1" w14:textId="77777777" w:rsidR="007677A5" w:rsidRPr="00E87295" w:rsidRDefault="007677A5">
      <w:pPr>
        <w:pStyle w:val="Header"/>
        <w:tabs>
          <w:tab w:val="left" w:pos="284"/>
        </w:tabs>
        <w:jc w:val="both"/>
        <w:rPr>
          <w:sz w:val="22"/>
          <w:szCs w:val="22"/>
          <w:lang w:val="sr-Latn-RS"/>
        </w:rPr>
      </w:pPr>
    </w:p>
    <w:p w14:paraId="2B08234A" w14:textId="3C419A50" w:rsidR="00933F88" w:rsidRPr="00E87295" w:rsidRDefault="00042424">
      <w:pPr>
        <w:pStyle w:val="Header"/>
        <w:tabs>
          <w:tab w:val="left" w:pos="284"/>
        </w:tabs>
        <w:jc w:val="both"/>
        <w:rPr>
          <w:sz w:val="22"/>
          <w:szCs w:val="22"/>
          <w:lang w:val="sr-Latn-RS"/>
        </w:rPr>
      </w:pPr>
      <w:r w:rsidRPr="00E87295">
        <w:rPr>
          <w:noProof/>
          <w:sz w:val="22"/>
          <w:szCs w:val="22"/>
        </w:rPr>
        <w:drawing>
          <wp:inline distT="0" distB="0" distL="0" distR="0" wp14:anchorId="724E9873" wp14:editId="4C3B6FEF">
            <wp:extent cx="4780329" cy="3291840"/>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6442" t="22901" r="46795" b="43335"/>
                    <a:stretch/>
                  </pic:blipFill>
                  <pic:spPr bwMode="auto">
                    <a:xfrm>
                      <a:off x="0" y="0"/>
                      <a:ext cx="4780329" cy="3291840"/>
                    </a:xfrm>
                    <a:prstGeom prst="rect">
                      <a:avLst/>
                    </a:prstGeom>
                    <a:ln>
                      <a:noFill/>
                    </a:ln>
                    <a:extLst>
                      <a:ext uri="{53640926-AAD7-44D8-BBD7-CCE9431645EC}">
                        <a14:shadowObscured xmlns:a14="http://schemas.microsoft.com/office/drawing/2010/main"/>
                      </a:ext>
                    </a:extLst>
                  </pic:spPr>
                </pic:pic>
              </a:graphicData>
            </a:graphic>
          </wp:inline>
        </w:drawing>
      </w:r>
    </w:p>
    <w:p w14:paraId="06A809FF" w14:textId="77777777" w:rsidR="0006393B" w:rsidRPr="00C929E2" w:rsidRDefault="0006393B" w:rsidP="00E87295">
      <w:pPr>
        <w:pStyle w:val="Header"/>
        <w:tabs>
          <w:tab w:val="left" w:pos="284"/>
        </w:tabs>
        <w:jc w:val="both"/>
        <w:rPr>
          <w:lang w:val="sr-Latn-RS"/>
        </w:rPr>
      </w:pPr>
      <w:r w:rsidRPr="00C929E2">
        <w:rPr>
          <w:lang w:val="sr-Latn-RS"/>
        </w:rPr>
        <w:lastRenderedPageBreak/>
        <w:t xml:space="preserve">ECLIPSE </w:t>
      </w:r>
    </w:p>
    <w:p w14:paraId="7794316F" w14:textId="5B1264F5" w:rsidR="0006393B" w:rsidRPr="00C929E2" w:rsidRDefault="0006393B">
      <w:pPr>
        <w:pStyle w:val="NormalWeb"/>
        <w:jc w:val="both"/>
        <w:rPr>
          <w:sz w:val="22"/>
          <w:szCs w:val="22"/>
          <w:lang w:val="sr-Latn-RS" w:bidi="ar-SA"/>
        </w:rPr>
      </w:pPr>
      <w:r w:rsidRPr="00C929E2">
        <w:rPr>
          <w:sz w:val="22"/>
          <w:szCs w:val="22"/>
          <w:lang w:val="sr-Latn-RS" w:bidi="ar-SA"/>
        </w:rPr>
        <w:t>Efikasnost i bezb</w:t>
      </w:r>
      <w:r w:rsidR="008A303B" w:rsidRPr="00C929E2">
        <w:rPr>
          <w:sz w:val="22"/>
          <w:szCs w:val="22"/>
          <w:lang w:val="sr-Latn-RS" w:bidi="ar-SA"/>
        </w:rPr>
        <w:t>j</w:t>
      </w:r>
      <w:r w:rsidRPr="00C929E2">
        <w:rPr>
          <w:sz w:val="22"/>
          <w:szCs w:val="22"/>
          <w:lang w:val="sr-Latn-RS" w:bidi="ar-SA"/>
        </w:rPr>
        <w:t>ednost guselkumaba u poređenju sa sekukinumabom su takođe ispitivane u dvostruko sl</w:t>
      </w:r>
      <w:r w:rsidR="008A303B" w:rsidRPr="00C929E2">
        <w:rPr>
          <w:sz w:val="22"/>
          <w:szCs w:val="22"/>
          <w:lang w:val="sr-Latn-RS" w:bidi="ar-SA"/>
        </w:rPr>
        <w:t>ij</w:t>
      </w:r>
      <w:r w:rsidRPr="00C929E2">
        <w:rPr>
          <w:sz w:val="22"/>
          <w:szCs w:val="22"/>
          <w:lang w:val="sr-Latn-RS" w:bidi="ar-SA"/>
        </w:rPr>
        <w:t>epom ispitivanju. Pacijenti su randomizovani u grupu koja je primala guselkumab (N=534; 100 mg u 0. i 4. ned</w:t>
      </w:r>
      <w:r w:rsidR="004C56CA" w:rsidRPr="00C929E2">
        <w:rPr>
          <w:sz w:val="22"/>
          <w:szCs w:val="22"/>
          <w:lang w:val="sr-Latn-RS" w:bidi="ar-SA"/>
        </w:rPr>
        <w:t>j</w:t>
      </w:r>
      <w:r w:rsidRPr="00C929E2">
        <w:rPr>
          <w:sz w:val="22"/>
          <w:szCs w:val="22"/>
          <w:lang w:val="sr-Latn-RS" w:bidi="ar-SA"/>
        </w:rPr>
        <w:t>elji a zatim svakih 8 ned</w:t>
      </w:r>
      <w:r w:rsidR="004C56CA" w:rsidRPr="00C929E2">
        <w:rPr>
          <w:sz w:val="22"/>
          <w:szCs w:val="22"/>
          <w:lang w:val="sr-Latn-RS" w:bidi="ar-SA"/>
        </w:rPr>
        <w:t>j</w:t>
      </w:r>
      <w:r w:rsidRPr="00C929E2">
        <w:rPr>
          <w:sz w:val="22"/>
          <w:szCs w:val="22"/>
          <w:lang w:val="sr-Latn-RS" w:bidi="ar-SA"/>
        </w:rPr>
        <w:t>elja nakon toga) il</w:t>
      </w:r>
      <w:r w:rsidR="00933F88" w:rsidRPr="00C929E2">
        <w:rPr>
          <w:sz w:val="22"/>
          <w:szCs w:val="22"/>
          <w:lang w:val="sr-Latn-RS" w:bidi="ar-SA"/>
        </w:rPr>
        <w:t>i</w:t>
      </w:r>
      <w:r w:rsidRPr="00C929E2">
        <w:rPr>
          <w:sz w:val="22"/>
          <w:szCs w:val="22"/>
          <w:lang w:val="sr-Latn-RS" w:bidi="ar-SA"/>
        </w:rPr>
        <w:t xml:space="preserve"> u grupu koja je primala</w:t>
      </w:r>
      <w:r w:rsidR="00933F88" w:rsidRPr="00C929E2">
        <w:rPr>
          <w:sz w:val="22"/>
          <w:szCs w:val="22"/>
          <w:lang w:val="sr-Latn-RS" w:bidi="ar-SA"/>
        </w:rPr>
        <w:t xml:space="preserve"> </w:t>
      </w:r>
      <w:r w:rsidRPr="00C929E2">
        <w:rPr>
          <w:sz w:val="22"/>
          <w:szCs w:val="22"/>
          <w:lang w:val="sr-Latn-RS" w:bidi="ar-SA"/>
        </w:rPr>
        <w:t>sekukinumab (N=514; 300 mg u 0, 1, 2, 3, i 4. ned</w:t>
      </w:r>
      <w:r w:rsidR="004C56CA" w:rsidRPr="00C929E2">
        <w:rPr>
          <w:sz w:val="22"/>
          <w:szCs w:val="22"/>
          <w:lang w:val="sr-Latn-RS" w:bidi="ar-SA"/>
        </w:rPr>
        <w:t>j</w:t>
      </w:r>
      <w:r w:rsidRPr="00C929E2">
        <w:rPr>
          <w:sz w:val="22"/>
          <w:szCs w:val="22"/>
          <w:lang w:val="sr-Latn-RS" w:bidi="ar-SA"/>
        </w:rPr>
        <w:t>elji i nakon toga svake 4 ned</w:t>
      </w:r>
      <w:r w:rsidR="004C56CA" w:rsidRPr="00C929E2">
        <w:rPr>
          <w:sz w:val="22"/>
          <w:szCs w:val="22"/>
          <w:lang w:val="sr-Latn-RS" w:bidi="ar-SA"/>
        </w:rPr>
        <w:t>j</w:t>
      </w:r>
      <w:r w:rsidRPr="00C929E2">
        <w:rPr>
          <w:sz w:val="22"/>
          <w:szCs w:val="22"/>
          <w:lang w:val="sr-Latn-RS" w:bidi="ar-SA"/>
        </w:rPr>
        <w:t>elje). Posl</w:t>
      </w:r>
      <w:r w:rsidR="00933F88" w:rsidRPr="00C929E2">
        <w:rPr>
          <w:sz w:val="22"/>
          <w:szCs w:val="22"/>
          <w:lang w:val="sr-Latn-RS" w:bidi="ar-SA"/>
        </w:rPr>
        <w:t>j</w:t>
      </w:r>
      <w:r w:rsidRPr="00C929E2">
        <w:rPr>
          <w:sz w:val="22"/>
          <w:szCs w:val="22"/>
          <w:lang w:val="sr-Latn-RS" w:bidi="ar-SA"/>
        </w:rPr>
        <w:t>ednja doza prim</w:t>
      </w:r>
      <w:r w:rsidR="00933F88" w:rsidRPr="00C929E2">
        <w:rPr>
          <w:sz w:val="22"/>
          <w:szCs w:val="22"/>
          <w:lang w:val="sr-Latn-RS" w:bidi="ar-SA"/>
        </w:rPr>
        <w:t>i</w:t>
      </w:r>
      <w:r w:rsidR="008A303B" w:rsidRPr="00C929E2">
        <w:rPr>
          <w:sz w:val="22"/>
          <w:szCs w:val="22"/>
          <w:lang w:val="sr-Latn-RS" w:bidi="ar-SA"/>
        </w:rPr>
        <w:t>j</w:t>
      </w:r>
      <w:r w:rsidRPr="00C929E2">
        <w:rPr>
          <w:sz w:val="22"/>
          <w:szCs w:val="22"/>
          <w:lang w:val="sr-Latn-RS" w:bidi="ar-SA"/>
        </w:rPr>
        <w:t>enjena je u 44. ned</w:t>
      </w:r>
      <w:r w:rsidR="004C56CA" w:rsidRPr="00C929E2">
        <w:rPr>
          <w:sz w:val="22"/>
          <w:szCs w:val="22"/>
          <w:lang w:val="sr-Latn-RS" w:bidi="ar-SA"/>
        </w:rPr>
        <w:t>j</w:t>
      </w:r>
      <w:r w:rsidRPr="00C929E2">
        <w:rPr>
          <w:sz w:val="22"/>
          <w:szCs w:val="22"/>
          <w:lang w:val="sr-Latn-RS" w:bidi="ar-SA"/>
        </w:rPr>
        <w:t>elji u ob</w:t>
      </w:r>
      <w:r w:rsidR="004C56CA" w:rsidRPr="00C929E2">
        <w:rPr>
          <w:sz w:val="22"/>
          <w:szCs w:val="22"/>
          <w:lang w:val="sr-Latn-RS" w:bidi="ar-SA"/>
        </w:rPr>
        <w:t>j</w:t>
      </w:r>
      <w:r w:rsidRPr="00C929E2">
        <w:rPr>
          <w:sz w:val="22"/>
          <w:szCs w:val="22"/>
          <w:lang w:val="sr-Latn-RS" w:bidi="ar-SA"/>
        </w:rPr>
        <w:t>e grupe l</w:t>
      </w:r>
      <w:r w:rsidR="008A303B" w:rsidRPr="00C929E2">
        <w:rPr>
          <w:sz w:val="22"/>
          <w:szCs w:val="22"/>
          <w:lang w:val="sr-Latn-RS" w:bidi="ar-SA"/>
        </w:rPr>
        <w:t>ij</w:t>
      </w:r>
      <w:r w:rsidRPr="00C929E2">
        <w:rPr>
          <w:sz w:val="22"/>
          <w:szCs w:val="22"/>
          <w:lang w:val="sr-Latn-RS" w:bidi="ar-SA"/>
        </w:rPr>
        <w:t xml:space="preserve">ečenih pacijenata. </w:t>
      </w:r>
    </w:p>
    <w:p w14:paraId="0B395934" w14:textId="0CC116E1" w:rsidR="0006393B" w:rsidRPr="00E87295" w:rsidRDefault="0006393B">
      <w:pPr>
        <w:pStyle w:val="NormalWeb"/>
        <w:jc w:val="both"/>
        <w:rPr>
          <w:sz w:val="22"/>
          <w:szCs w:val="22"/>
          <w:lang w:bidi="ar-SA"/>
        </w:rPr>
      </w:pPr>
      <w:r w:rsidRPr="00C929E2">
        <w:rPr>
          <w:sz w:val="22"/>
          <w:szCs w:val="22"/>
          <w:lang w:val="sr-Latn-RS"/>
        </w:rPr>
        <w:t>Početne karakteristike bolesti su</w:t>
      </w:r>
      <w:r w:rsidRPr="00C929E2">
        <w:rPr>
          <w:sz w:val="22"/>
          <w:szCs w:val="22"/>
          <w:lang w:val="sr-Latn-RS" w:bidi="ar-SA"/>
        </w:rPr>
        <w:t xml:space="preserve"> odgovarale populaciji sa um</w:t>
      </w:r>
      <w:r w:rsidR="008A303B" w:rsidRPr="00C929E2">
        <w:rPr>
          <w:sz w:val="22"/>
          <w:szCs w:val="22"/>
          <w:lang w:val="sr-Latn-RS" w:bidi="ar-SA"/>
        </w:rPr>
        <w:t>j</w:t>
      </w:r>
      <w:r w:rsidRPr="00C929E2">
        <w:rPr>
          <w:sz w:val="22"/>
          <w:szCs w:val="22"/>
          <w:lang w:val="sr-Latn-RS" w:bidi="ar-SA"/>
        </w:rPr>
        <w:t>erenom do teškom psorijazom tipa plaka sa medijanom zahvaćene površine t</w:t>
      </w:r>
      <w:r w:rsidR="008A303B" w:rsidRPr="00C929E2">
        <w:rPr>
          <w:sz w:val="22"/>
          <w:szCs w:val="22"/>
          <w:lang w:val="sr-Latn-RS" w:bidi="ar-SA"/>
        </w:rPr>
        <w:t>ij</w:t>
      </w:r>
      <w:r w:rsidRPr="00C929E2">
        <w:rPr>
          <w:sz w:val="22"/>
          <w:szCs w:val="22"/>
          <w:lang w:val="sr-Latn-RS" w:bidi="ar-SA"/>
        </w:rPr>
        <w:t xml:space="preserve">ela </w:t>
      </w:r>
      <w:r w:rsidRPr="00C929E2">
        <w:rPr>
          <w:sz w:val="22"/>
          <w:szCs w:val="22"/>
          <w:lang w:val="sr-Latn-RS"/>
        </w:rPr>
        <w:t xml:space="preserve">(engl. </w:t>
      </w:r>
      <w:r w:rsidRPr="00E87295">
        <w:rPr>
          <w:i/>
          <w:sz w:val="22"/>
          <w:szCs w:val="22"/>
        </w:rPr>
        <w:t xml:space="preserve">Body </w:t>
      </w:r>
      <w:r w:rsidR="00933F88" w:rsidRPr="00E87295">
        <w:rPr>
          <w:i/>
          <w:sz w:val="22"/>
          <w:szCs w:val="22"/>
        </w:rPr>
        <w:t>S</w:t>
      </w:r>
      <w:r w:rsidRPr="00E87295">
        <w:rPr>
          <w:i/>
          <w:sz w:val="22"/>
          <w:szCs w:val="22"/>
        </w:rPr>
        <w:t xml:space="preserve">urface </w:t>
      </w:r>
      <w:r w:rsidR="00933F88" w:rsidRPr="00E87295">
        <w:rPr>
          <w:i/>
          <w:sz w:val="22"/>
          <w:szCs w:val="22"/>
        </w:rPr>
        <w:t>A</w:t>
      </w:r>
      <w:r w:rsidRPr="00E87295">
        <w:rPr>
          <w:i/>
          <w:sz w:val="22"/>
          <w:szCs w:val="22"/>
        </w:rPr>
        <w:t>rea</w:t>
      </w:r>
      <w:r w:rsidRPr="00E87295">
        <w:rPr>
          <w:sz w:val="22"/>
          <w:szCs w:val="22"/>
        </w:rPr>
        <w:t xml:space="preserve">, BSA) </w:t>
      </w:r>
      <w:r w:rsidRPr="00E87295">
        <w:rPr>
          <w:sz w:val="22"/>
          <w:szCs w:val="22"/>
          <w:lang w:bidi="ar-SA"/>
        </w:rPr>
        <w:t xml:space="preserve">od 20%, </w:t>
      </w:r>
      <w:proofErr w:type="spellStart"/>
      <w:r w:rsidRPr="00E87295">
        <w:rPr>
          <w:sz w:val="22"/>
          <w:szCs w:val="22"/>
          <w:lang w:bidi="ar-SA"/>
        </w:rPr>
        <w:t>medijanom</w:t>
      </w:r>
      <w:proofErr w:type="spellEnd"/>
      <w:r w:rsidRPr="00E87295">
        <w:rPr>
          <w:sz w:val="22"/>
          <w:szCs w:val="22"/>
          <w:lang w:bidi="ar-SA"/>
        </w:rPr>
        <w:t xml:space="preserve"> PASI </w:t>
      </w:r>
      <w:proofErr w:type="spellStart"/>
      <w:r w:rsidRPr="00E87295">
        <w:rPr>
          <w:sz w:val="22"/>
          <w:szCs w:val="22"/>
          <w:lang w:bidi="ar-SA"/>
        </w:rPr>
        <w:t>rezultata</w:t>
      </w:r>
      <w:proofErr w:type="spellEnd"/>
      <w:r w:rsidRPr="00E87295">
        <w:rPr>
          <w:sz w:val="22"/>
          <w:szCs w:val="22"/>
          <w:lang w:bidi="ar-SA"/>
        </w:rPr>
        <w:t xml:space="preserve"> od 18 </w:t>
      </w:r>
      <w:proofErr w:type="spellStart"/>
      <w:r w:rsidRPr="00E87295">
        <w:rPr>
          <w:sz w:val="22"/>
          <w:szCs w:val="22"/>
          <w:lang w:bidi="ar-SA"/>
        </w:rPr>
        <w:t>i</w:t>
      </w:r>
      <w:proofErr w:type="spellEnd"/>
      <w:r w:rsidRPr="00E87295">
        <w:rPr>
          <w:sz w:val="22"/>
          <w:szCs w:val="22"/>
          <w:lang w:bidi="ar-SA"/>
        </w:rPr>
        <w:t xml:space="preserve"> </w:t>
      </w:r>
      <w:proofErr w:type="spellStart"/>
      <w:r w:rsidRPr="00E87295">
        <w:rPr>
          <w:sz w:val="22"/>
          <w:szCs w:val="22"/>
          <w:lang w:bidi="ar-SA"/>
        </w:rPr>
        <w:t>rezultatom</w:t>
      </w:r>
      <w:proofErr w:type="spellEnd"/>
      <w:r w:rsidRPr="00E87295">
        <w:rPr>
          <w:sz w:val="22"/>
          <w:szCs w:val="22"/>
          <w:lang w:bidi="ar-SA"/>
        </w:rPr>
        <w:t xml:space="preserve"> IGA “</w:t>
      </w:r>
      <w:proofErr w:type="spellStart"/>
      <w:r w:rsidRPr="00E87295">
        <w:rPr>
          <w:sz w:val="22"/>
          <w:szCs w:val="22"/>
          <w:lang w:bidi="ar-SA"/>
        </w:rPr>
        <w:t>teška</w:t>
      </w:r>
      <w:proofErr w:type="spellEnd"/>
      <w:r w:rsidRPr="00E87295">
        <w:rPr>
          <w:sz w:val="22"/>
          <w:szCs w:val="22"/>
          <w:lang w:bidi="ar-SA"/>
        </w:rPr>
        <w:t xml:space="preserve"> </w:t>
      </w:r>
      <w:proofErr w:type="spellStart"/>
      <w:r w:rsidRPr="00E87295">
        <w:rPr>
          <w:sz w:val="22"/>
          <w:szCs w:val="22"/>
          <w:lang w:bidi="ar-SA"/>
        </w:rPr>
        <w:t>bolest</w:t>
      </w:r>
      <w:proofErr w:type="spellEnd"/>
      <w:r w:rsidRPr="00E87295">
        <w:rPr>
          <w:sz w:val="22"/>
          <w:szCs w:val="22"/>
          <w:lang w:bidi="ar-SA"/>
        </w:rPr>
        <w:t xml:space="preserve">” </w:t>
      </w:r>
      <w:proofErr w:type="spellStart"/>
      <w:r w:rsidRPr="00E87295">
        <w:rPr>
          <w:sz w:val="22"/>
          <w:szCs w:val="22"/>
          <w:lang w:bidi="ar-SA"/>
        </w:rPr>
        <w:t>kod</w:t>
      </w:r>
      <w:proofErr w:type="spellEnd"/>
      <w:r w:rsidRPr="00E87295">
        <w:rPr>
          <w:sz w:val="22"/>
          <w:szCs w:val="22"/>
          <w:lang w:bidi="ar-SA"/>
        </w:rPr>
        <w:t xml:space="preserve"> 24% </w:t>
      </w:r>
      <w:proofErr w:type="spellStart"/>
      <w:r w:rsidRPr="00E87295">
        <w:rPr>
          <w:sz w:val="22"/>
          <w:szCs w:val="22"/>
          <w:lang w:bidi="ar-SA"/>
        </w:rPr>
        <w:t>pacijenata</w:t>
      </w:r>
      <w:proofErr w:type="spellEnd"/>
      <w:r w:rsidRPr="00E87295">
        <w:rPr>
          <w:sz w:val="22"/>
          <w:szCs w:val="22"/>
          <w:lang w:bidi="ar-SA"/>
        </w:rPr>
        <w:t xml:space="preserve">. </w:t>
      </w:r>
    </w:p>
    <w:p w14:paraId="321FC654" w14:textId="1C0CFF22" w:rsidR="0006393B" w:rsidRPr="00E87295" w:rsidRDefault="0006393B">
      <w:pPr>
        <w:pStyle w:val="NormalWeb"/>
        <w:jc w:val="both"/>
        <w:rPr>
          <w:sz w:val="22"/>
          <w:szCs w:val="22"/>
          <w:lang w:bidi="ar-SA"/>
        </w:rPr>
      </w:pPr>
      <w:proofErr w:type="spellStart"/>
      <w:r w:rsidRPr="00E87295">
        <w:rPr>
          <w:sz w:val="22"/>
          <w:szCs w:val="22"/>
          <w:lang w:bidi="ar-SA"/>
        </w:rPr>
        <w:t>Guselkumab</w:t>
      </w:r>
      <w:proofErr w:type="spellEnd"/>
      <w:r w:rsidRPr="00E87295">
        <w:rPr>
          <w:sz w:val="22"/>
          <w:szCs w:val="22"/>
          <w:lang w:bidi="ar-SA"/>
        </w:rPr>
        <w:t xml:space="preserve"> je bio </w:t>
      </w:r>
      <w:proofErr w:type="spellStart"/>
      <w:r w:rsidRPr="00E87295">
        <w:rPr>
          <w:sz w:val="22"/>
          <w:szCs w:val="22"/>
          <w:lang w:bidi="ar-SA"/>
        </w:rPr>
        <w:t>superioran</w:t>
      </w:r>
      <w:proofErr w:type="spellEnd"/>
      <w:r w:rsidRPr="00E87295">
        <w:rPr>
          <w:sz w:val="22"/>
          <w:szCs w:val="22"/>
          <w:lang w:bidi="ar-SA"/>
        </w:rPr>
        <w:t xml:space="preserve"> u </w:t>
      </w:r>
      <w:proofErr w:type="spellStart"/>
      <w:r w:rsidRPr="00E87295">
        <w:rPr>
          <w:sz w:val="22"/>
          <w:szCs w:val="22"/>
          <w:lang w:bidi="ar-SA"/>
        </w:rPr>
        <w:t>odnosu</w:t>
      </w:r>
      <w:proofErr w:type="spellEnd"/>
      <w:r w:rsidRPr="00E87295">
        <w:rPr>
          <w:sz w:val="22"/>
          <w:szCs w:val="22"/>
          <w:lang w:bidi="ar-SA"/>
        </w:rPr>
        <w:t xml:space="preserve"> </w:t>
      </w:r>
      <w:proofErr w:type="spellStart"/>
      <w:r w:rsidRPr="00E87295">
        <w:rPr>
          <w:sz w:val="22"/>
          <w:szCs w:val="22"/>
          <w:lang w:bidi="ar-SA"/>
        </w:rPr>
        <w:t>na</w:t>
      </w:r>
      <w:proofErr w:type="spellEnd"/>
      <w:r w:rsidRPr="00E87295">
        <w:rPr>
          <w:sz w:val="22"/>
          <w:szCs w:val="22"/>
          <w:lang w:bidi="ar-SA"/>
        </w:rPr>
        <w:t xml:space="preserve"> </w:t>
      </w:r>
      <w:proofErr w:type="spellStart"/>
      <w:r w:rsidRPr="00E87295">
        <w:rPr>
          <w:sz w:val="22"/>
          <w:szCs w:val="22"/>
          <w:lang w:bidi="ar-SA"/>
        </w:rPr>
        <w:t>sekukinumab</w:t>
      </w:r>
      <w:proofErr w:type="spellEnd"/>
      <w:r w:rsidRPr="00E87295">
        <w:rPr>
          <w:sz w:val="22"/>
          <w:szCs w:val="22"/>
          <w:lang w:bidi="ar-SA"/>
        </w:rPr>
        <w:t xml:space="preserve"> </w:t>
      </w:r>
      <w:proofErr w:type="spellStart"/>
      <w:r w:rsidRPr="00E87295">
        <w:rPr>
          <w:sz w:val="22"/>
          <w:szCs w:val="22"/>
          <w:lang w:bidi="ar-SA"/>
        </w:rPr>
        <w:t>m</w:t>
      </w:r>
      <w:r w:rsidR="008A303B" w:rsidRPr="00E87295">
        <w:rPr>
          <w:sz w:val="22"/>
          <w:szCs w:val="22"/>
          <w:lang w:bidi="ar-SA"/>
        </w:rPr>
        <w:t>j</w:t>
      </w:r>
      <w:r w:rsidRPr="00E87295">
        <w:rPr>
          <w:sz w:val="22"/>
          <w:szCs w:val="22"/>
          <w:lang w:bidi="ar-SA"/>
        </w:rPr>
        <w:t>ereno</w:t>
      </w:r>
      <w:proofErr w:type="spellEnd"/>
      <w:r w:rsidRPr="00E87295">
        <w:rPr>
          <w:sz w:val="22"/>
          <w:szCs w:val="22"/>
          <w:lang w:bidi="ar-SA"/>
        </w:rPr>
        <w:t xml:space="preserve"> </w:t>
      </w:r>
      <w:proofErr w:type="spellStart"/>
      <w:r w:rsidRPr="00E87295">
        <w:rPr>
          <w:sz w:val="22"/>
          <w:szCs w:val="22"/>
          <w:lang w:bidi="ar-SA"/>
        </w:rPr>
        <w:t>primarnim</w:t>
      </w:r>
      <w:proofErr w:type="spellEnd"/>
      <w:r w:rsidRPr="00E87295">
        <w:rPr>
          <w:sz w:val="22"/>
          <w:szCs w:val="22"/>
          <w:lang w:bidi="ar-SA"/>
        </w:rPr>
        <w:t xml:space="preserve"> </w:t>
      </w:r>
      <w:proofErr w:type="spellStart"/>
      <w:r w:rsidRPr="00E87295">
        <w:rPr>
          <w:sz w:val="22"/>
          <w:szCs w:val="22"/>
          <w:lang w:bidi="ar-SA"/>
        </w:rPr>
        <w:t>ishodom</w:t>
      </w:r>
      <w:proofErr w:type="spellEnd"/>
      <w:r w:rsidRPr="00E87295">
        <w:rPr>
          <w:sz w:val="22"/>
          <w:szCs w:val="22"/>
          <w:lang w:bidi="ar-SA"/>
        </w:rPr>
        <w:t xml:space="preserve"> PASI 90 </w:t>
      </w:r>
      <w:proofErr w:type="spellStart"/>
      <w:r w:rsidRPr="00E87295">
        <w:rPr>
          <w:sz w:val="22"/>
          <w:szCs w:val="22"/>
          <w:lang w:bidi="ar-SA"/>
        </w:rPr>
        <w:t>odgovorom</w:t>
      </w:r>
      <w:proofErr w:type="spellEnd"/>
      <w:r w:rsidRPr="00E87295">
        <w:rPr>
          <w:sz w:val="22"/>
          <w:szCs w:val="22"/>
          <w:lang w:bidi="ar-SA"/>
        </w:rPr>
        <w:t xml:space="preserve"> u 48. </w:t>
      </w:r>
      <w:proofErr w:type="spellStart"/>
      <w:r w:rsidRPr="00E87295">
        <w:rPr>
          <w:sz w:val="22"/>
          <w:szCs w:val="22"/>
          <w:lang w:bidi="ar-SA"/>
        </w:rPr>
        <w:t>ned</w:t>
      </w:r>
      <w:r w:rsidR="004C56CA" w:rsidRPr="00E87295">
        <w:rPr>
          <w:sz w:val="22"/>
          <w:szCs w:val="22"/>
          <w:lang w:bidi="ar-SA"/>
        </w:rPr>
        <w:t>j</w:t>
      </w:r>
      <w:r w:rsidRPr="00E87295">
        <w:rPr>
          <w:sz w:val="22"/>
          <w:szCs w:val="22"/>
          <w:lang w:bidi="ar-SA"/>
        </w:rPr>
        <w:t>elji</w:t>
      </w:r>
      <w:proofErr w:type="spellEnd"/>
      <w:r w:rsidRPr="00E87295">
        <w:rPr>
          <w:sz w:val="22"/>
          <w:szCs w:val="22"/>
          <w:lang w:bidi="ar-SA"/>
        </w:rPr>
        <w:t xml:space="preserve"> (84,5% </w:t>
      </w:r>
      <w:proofErr w:type="spellStart"/>
      <w:r w:rsidRPr="00E87295">
        <w:rPr>
          <w:sz w:val="22"/>
          <w:szCs w:val="22"/>
          <w:lang w:bidi="ar-SA"/>
        </w:rPr>
        <w:t>naspram</w:t>
      </w:r>
      <w:proofErr w:type="spellEnd"/>
      <w:r w:rsidRPr="00E87295">
        <w:rPr>
          <w:sz w:val="22"/>
          <w:szCs w:val="22"/>
          <w:lang w:bidi="ar-SA"/>
        </w:rPr>
        <w:t xml:space="preserve"> 70,0%, p &lt; 0,001). </w:t>
      </w:r>
      <w:proofErr w:type="spellStart"/>
      <w:r w:rsidRPr="00E87295">
        <w:rPr>
          <w:sz w:val="22"/>
          <w:szCs w:val="22"/>
          <w:lang w:bidi="ar-SA"/>
        </w:rPr>
        <w:t>Uporedivi</w:t>
      </w:r>
      <w:proofErr w:type="spellEnd"/>
      <w:r w:rsidRPr="00E87295">
        <w:rPr>
          <w:sz w:val="22"/>
          <w:szCs w:val="22"/>
          <w:lang w:bidi="ar-SA"/>
        </w:rPr>
        <w:t xml:space="preserve"> PASI </w:t>
      </w:r>
      <w:proofErr w:type="spellStart"/>
      <w:r w:rsidRPr="00E87295">
        <w:rPr>
          <w:sz w:val="22"/>
          <w:szCs w:val="22"/>
          <w:lang w:bidi="ar-SA"/>
        </w:rPr>
        <w:t>odgovori</w:t>
      </w:r>
      <w:proofErr w:type="spellEnd"/>
      <w:r w:rsidRPr="00E87295">
        <w:rPr>
          <w:sz w:val="22"/>
          <w:szCs w:val="22"/>
          <w:lang w:bidi="ar-SA"/>
        </w:rPr>
        <w:t xml:space="preserve"> </w:t>
      </w:r>
      <w:proofErr w:type="spellStart"/>
      <w:r w:rsidRPr="00E87295">
        <w:rPr>
          <w:sz w:val="22"/>
          <w:szCs w:val="22"/>
          <w:lang w:bidi="ar-SA"/>
        </w:rPr>
        <w:t>prikazani</w:t>
      </w:r>
      <w:proofErr w:type="spellEnd"/>
      <w:r w:rsidRPr="00E87295">
        <w:rPr>
          <w:sz w:val="22"/>
          <w:szCs w:val="22"/>
          <w:lang w:bidi="ar-SA"/>
        </w:rPr>
        <w:t xml:space="preserve"> </w:t>
      </w:r>
      <w:proofErr w:type="spellStart"/>
      <w:r w:rsidRPr="00E87295">
        <w:rPr>
          <w:sz w:val="22"/>
          <w:szCs w:val="22"/>
          <w:lang w:bidi="ar-SA"/>
        </w:rPr>
        <w:t>su</w:t>
      </w:r>
      <w:proofErr w:type="spellEnd"/>
      <w:r w:rsidRPr="00E87295">
        <w:rPr>
          <w:sz w:val="22"/>
          <w:szCs w:val="22"/>
          <w:lang w:bidi="ar-SA"/>
        </w:rPr>
        <w:t xml:space="preserve"> u </w:t>
      </w:r>
      <w:proofErr w:type="spellStart"/>
      <w:r w:rsidRPr="00E87295">
        <w:rPr>
          <w:sz w:val="22"/>
          <w:szCs w:val="22"/>
          <w:lang w:bidi="ar-SA"/>
        </w:rPr>
        <w:t>Tabeli</w:t>
      </w:r>
      <w:proofErr w:type="spellEnd"/>
      <w:r w:rsidRPr="00E87295">
        <w:rPr>
          <w:sz w:val="22"/>
          <w:szCs w:val="22"/>
          <w:lang w:bidi="ar-SA"/>
        </w:rPr>
        <w:t xml:space="preserve"> </w:t>
      </w:r>
      <w:r w:rsidR="001A5B54" w:rsidRPr="00E87295">
        <w:rPr>
          <w:sz w:val="22"/>
          <w:szCs w:val="22"/>
          <w:lang w:bidi="ar-SA"/>
        </w:rPr>
        <w:t>7</w:t>
      </w:r>
      <w:r w:rsidRPr="00E87295">
        <w:rPr>
          <w:sz w:val="22"/>
          <w:szCs w:val="22"/>
          <w:lang w:bidi="ar-SA"/>
        </w:rPr>
        <w:t xml:space="preserve">. </w:t>
      </w:r>
    </w:p>
    <w:p w14:paraId="08086554" w14:textId="39A4799E" w:rsidR="0006393B" w:rsidRPr="00E87295" w:rsidRDefault="0006393B" w:rsidP="00E87295">
      <w:pPr>
        <w:pStyle w:val="NormalWeb"/>
        <w:rPr>
          <w:b/>
          <w:bCs/>
          <w:sz w:val="22"/>
          <w:szCs w:val="22"/>
          <w:lang w:bidi="ar-SA"/>
        </w:rPr>
      </w:pPr>
      <w:proofErr w:type="spellStart"/>
      <w:r w:rsidRPr="00E87295">
        <w:rPr>
          <w:b/>
          <w:bCs/>
          <w:sz w:val="22"/>
          <w:szCs w:val="22"/>
          <w:lang w:bidi="ar-SA"/>
        </w:rPr>
        <w:t>Tabela</w:t>
      </w:r>
      <w:proofErr w:type="spellEnd"/>
      <w:r w:rsidRPr="00E87295">
        <w:rPr>
          <w:b/>
          <w:bCs/>
          <w:sz w:val="22"/>
          <w:szCs w:val="22"/>
          <w:lang w:bidi="ar-SA"/>
        </w:rPr>
        <w:t xml:space="preserve"> </w:t>
      </w:r>
      <w:r w:rsidR="001A5B54" w:rsidRPr="00E87295">
        <w:rPr>
          <w:b/>
          <w:bCs/>
          <w:sz w:val="22"/>
          <w:szCs w:val="22"/>
          <w:lang w:bidi="ar-SA"/>
        </w:rPr>
        <w:t>7</w:t>
      </w:r>
      <w:r w:rsidRPr="00E87295">
        <w:rPr>
          <w:b/>
          <w:bCs/>
          <w:sz w:val="22"/>
          <w:szCs w:val="22"/>
          <w:lang w:bidi="ar-SA"/>
        </w:rPr>
        <w:t xml:space="preserve">: </w:t>
      </w:r>
      <w:proofErr w:type="spellStart"/>
      <w:r w:rsidRPr="00E87295">
        <w:rPr>
          <w:b/>
          <w:bCs/>
          <w:sz w:val="22"/>
          <w:szCs w:val="22"/>
          <w:lang w:bidi="ar-SA"/>
        </w:rPr>
        <w:t>Odgovor</w:t>
      </w:r>
      <w:proofErr w:type="spellEnd"/>
      <w:r w:rsidRPr="00E87295">
        <w:rPr>
          <w:b/>
          <w:bCs/>
          <w:sz w:val="22"/>
          <w:szCs w:val="22"/>
          <w:lang w:bidi="ar-SA"/>
        </w:rPr>
        <w:t xml:space="preserve"> PASI u </w:t>
      </w:r>
      <w:proofErr w:type="spellStart"/>
      <w:r w:rsidRPr="00E87295">
        <w:rPr>
          <w:b/>
          <w:bCs/>
          <w:sz w:val="22"/>
          <w:szCs w:val="22"/>
          <w:lang w:bidi="ar-SA"/>
        </w:rPr>
        <w:t>ispitianju</w:t>
      </w:r>
      <w:proofErr w:type="spellEnd"/>
      <w:r w:rsidRPr="00E87295">
        <w:rPr>
          <w:b/>
          <w:bCs/>
          <w:sz w:val="22"/>
          <w:szCs w:val="22"/>
          <w:lang w:bidi="ar-SA"/>
        </w:rPr>
        <w:t xml:space="preserve"> ECLIPSE</w:t>
      </w:r>
    </w:p>
    <w:tbl>
      <w:tblPr>
        <w:tblW w:w="9072" w:type="dxa"/>
        <w:jc w:val="center"/>
        <w:tblBorders>
          <w:top w:val="single" w:sz="4" w:space="0" w:color="auto"/>
          <w:bottom w:val="single" w:sz="4" w:space="0" w:color="auto"/>
        </w:tblBorders>
        <w:tblLook w:val="0100" w:firstRow="0" w:lastRow="0" w:firstColumn="0" w:lastColumn="1" w:noHBand="0" w:noVBand="0"/>
      </w:tblPr>
      <w:tblGrid>
        <w:gridCol w:w="3423"/>
        <w:gridCol w:w="2673"/>
        <w:gridCol w:w="2976"/>
      </w:tblGrid>
      <w:tr w:rsidR="0006393B" w:rsidRPr="00E87295" w14:paraId="43C84E3C" w14:textId="77777777" w:rsidTr="008A303B">
        <w:trPr>
          <w:cantSplit/>
          <w:trHeight w:val="20"/>
          <w:jc w:val="center"/>
        </w:trPr>
        <w:tc>
          <w:tcPr>
            <w:tcW w:w="1887" w:type="pct"/>
            <w:tcBorders>
              <w:top w:val="single" w:sz="4" w:space="0" w:color="auto"/>
              <w:left w:val="single" w:sz="4" w:space="0" w:color="auto"/>
              <w:bottom w:val="nil"/>
              <w:right w:val="single" w:sz="4" w:space="0" w:color="auto"/>
            </w:tcBorders>
            <w:vAlign w:val="center"/>
          </w:tcPr>
          <w:p w14:paraId="4523EEB4" w14:textId="77777777" w:rsidR="0006393B" w:rsidRPr="00E87295" w:rsidRDefault="0006393B" w:rsidP="00E87295">
            <w:pPr>
              <w:adjustRightInd w:val="0"/>
              <w:snapToGrid w:val="0"/>
              <w:rPr>
                <w:sz w:val="22"/>
                <w:szCs w:val="22"/>
              </w:rPr>
            </w:pP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0E894928" w14:textId="66977833" w:rsidR="0006393B" w:rsidRPr="00E87295" w:rsidRDefault="00933F88" w:rsidP="00E87295">
            <w:pPr>
              <w:keepLines/>
              <w:adjustRightInd w:val="0"/>
              <w:snapToGrid w:val="0"/>
              <w:jc w:val="center"/>
              <w:rPr>
                <w:sz w:val="22"/>
                <w:szCs w:val="22"/>
              </w:rPr>
            </w:pPr>
            <w:proofErr w:type="spellStart"/>
            <w:r w:rsidRPr="00E87295">
              <w:rPr>
                <w:sz w:val="22"/>
                <w:szCs w:val="22"/>
              </w:rPr>
              <w:t>Broj</w:t>
            </w:r>
            <w:proofErr w:type="spellEnd"/>
            <w:r w:rsidR="0006393B" w:rsidRPr="00E87295">
              <w:rPr>
                <w:sz w:val="22"/>
                <w:szCs w:val="22"/>
              </w:rPr>
              <w:t xml:space="preserve"> </w:t>
            </w:r>
            <w:proofErr w:type="spellStart"/>
            <w:r w:rsidR="0006393B" w:rsidRPr="00E87295">
              <w:rPr>
                <w:sz w:val="22"/>
                <w:szCs w:val="22"/>
              </w:rPr>
              <w:t>ispitanika</w:t>
            </w:r>
            <w:proofErr w:type="spellEnd"/>
            <w:r w:rsidR="0006393B" w:rsidRPr="00E87295">
              <w:rPr>
                <w:sz w:val="22"/>
                <w:szCs w:val="22"/>
              </w:rPr>
              <w:t xml:space="preserve"> (%)</w:t>
            </w:r>
          </w:p>
        </w:tc>
      </w:tr>
      <w:tr w:rsidR="0006393B" w:rsidRPr="00E87295" w14:paraId="1CF2B1AB" w14:textId="77777777" w:rsidTr="008A303B">
        <w:trPr>
          <w:cantSplit/>
          <w:trHeight w:val="20"/>
          <w:jc w:val="center"/>
        </w:trPr>
        <w:tc>
          <w:tcPr>
            <w:tcW w:w="1887" w:type="pct"/>
            <w:tcBorders>
              <w:top w:val="nil"/>
              <w:left w:val="single" w:sz="4" w:space="0" w:color="auto"/>
              <w:bottom w:val="single" w:sz="4" w:space="0" w:color="auto"/>
              <w:right w:val="single" w:sz="4" w:space="0" w:color="auto"/>
            </w:tcBorders>
            <w:vAlign w:val="center"/>
          </w:tcPr>
          <w:p w14:paraId="766E314E" w14:textId="77777777" w:rsidR="0006393B" w:rsidRPr="00E87295" w:rsidRDefault="0006393B">
            <w:pPr>
              <w:adjustRightInd w:val="0"/>
              <w:snapToGrid w:val="0"/>
              <w:jc w:val="both"/>
              <w:rPr>
                <w:sz w:val="22"/>
                <w:szCs w:val="22"/>
              </w:rPr>
            </w:pPr>
          </w:p>
        </w:tc>
        <w:tc>
          <w:tcPr>
            <w:tcW w:w="1473" w:type="pct"/>
            <w:tcBorders>
              <w:top w:val="nil"/>
              <w:left w:val="single" w:sz="4" w:space="0" w:color="auto"/>
              <w:bottom w:val="single" w:sz="4" w:space="0" w:color="auto"/>
              <w:right w:val="single" w:sz="4" w:space="0" w:color="auto"/>
            </w:tcBorders>
            <w:vAlign w:val="center"/>
          </w:tcPr>
          <w:p w14:paraId="7C66718C" w14:textId="33D83746" w:rsidR="0006393B" w:rsidRPr="00E87295" w:rsidRDefault="0006393B">
            <w:pPr>
              <w:keepLines/>
              <w:adjustRightInd w:val="0"/>
              <w:snapToGrid w:val="0"/>
              <w:jc w:val="both"/>
              <w:rPr>
                <w:sz w:val="22"/>
                <w:szCs w:val="22"/>
              </w:rPr>
            </w:pPr>
            <w:proofErr w:type="spellStart"/>
            <w:r w:rsidRPr="00E87295">
              <w:rPr>
                <w:sz w:val="22"/>
                <w:szCs w:val="22"/>
              </w:rPr>
              <w:t>Guselkumab</w:t>
            </w:r>
            <w:proofErr w:type="spellEnd"/>
            <w:r w:rsidRPr="00E87295">
              <w:rPr>
                <w:sz w:val="22"/>
                <w:szCs w:val="22"/>
              </w:rPr>
              <w:t xml:space="preserve"> (N=534)</w:t>
            </w:r>
          </w:p>
        </w:tc>
        <w:tc>
          <w:tcPr>
            <w:tcW w:w="1640" w:type="pct"/>
            <w:tcBorders>
              <w:top w:val="single" w:sz="4" w:space="0" w:color="auto"/>
              <w:left w:val="single" w:sz="4" w:space="0" w:color="auto"/>
              <w:bottom w:val="single" w:sz="4" w:space="0" w:color="auto"/>
              <w:right w:val="single" w:sz="4" w:space="0" w:color="auto"/>
            </w:tcBorders>
            <w:vAlign w:val="center"/>
          </w:tcPr>
          <w:p w14:paraId="011EFD93" w14:textId="77777777" w:rsidR="0006393B" w:rsidRPr="00E87295" w:rsidRDefault="0006393B">
            <w:pPr>
              <w:keepLines/>
              <w:adjustRightInd w:val="0"/>
              <w:snapToGrid w:val="0"/>
              <w:jc w:val="both"/>
              <w:rPr>
                <w:sz w:val="22"/>
                <w:szCs w:val="22"/>
              </w:rPr>
            </w:pPr>
            <w:proofErr w:type="spellStart"/>
            <w:r w:rsidRPr="00E87295">
              <w:rPr>
                <w:sz w:val="22"/>
                <w:szCs w:val="22"/>
              </w:rPr>
              <w:t>Secukinumab</w:t>
            </w:r>
            <w:proofErr w:type="spellEnd"/>
            <w:r w:rsidRPr="00E87295">
              <w:rPr>
                <w:sz w:val="22"/>
                <w:szCs w:val="22"/>
              </w:rPr>
              <w:t xml:space="preserve"> (N=514)</w:t>
            </w:r>
          </w:p>
        </w:tc>
      </w:tr>
      <w:tr w:rsidR="0006393B" w:rsidRPr="00E87295" w14:paraId="49CEEA80" w14:textId="77777777" w:rsidTr="008A303B">
        <w:trPr>
          <w:cantSplit/>
          <w:jc w:val="center"/>
        </w:trPr>
        <w:tc>
          <w:tcPr>
            <w:tcW w:w="1887" w:type="pct"/>
            <w:tcBorders>
              <w:top w:val="single" w:sz="4" w:space="0" w:color="auto"/>
              <w:left w:val="single" w:sz="4" w:space="0" w:color="auto"/>
              <w:bottom w:val="nil"/>
              <w:right w:val="single" w:sz="4" w:space="0" w:color="auto"/>
            </w:tcBorders>
            <w:vAlign w:val="center"/>
          </w:tcPr>
          <w:p w14:paraId="2596A89E" w14:textId="656F7E30" w:rsidR="0006393B" w:rsidRPr="00E87295" w:rsidRDefault="0006393B">
            <w:pPr>
              <w:adjustRightInd w:val="0"/>
              <w:snapToGrid w:val="0"/>
              <w:jc w:val="both"/>
              <w:rPr>
                <w:b/>
                <w:bCs/>
                <w:sz w:val="22"/>
                <w:szCs w:val="22"/>
              </w:rPr>
            </w:pPr>
            <w:proofErr w:type="spellStart"/>
            <w:r w:rsidRPr="00E87295">
              <w:rPr>
                <w:b/>
                <w:bCs/>
                <w:sz w:val="22"/>
                <w:szCs w:val="22"/>
              </w:rPr>
              <w:t>Primarni</w:t>
            </w:r>
            <w:proofErr w:type="spellEnd"/>
            <w:r w:rsidRPr="00E87295">
              <w:rPr>
                <w:b/>
                <w:bCs/>
                <w:sz w:val="22"/>
                <w:szCs w:val="22"/>
              </w:rPr>
              <w:t xml:space="preserve"> </w:t>
            </w:r>
            <w:proofErr w:type="spellStart"/>
            <w:r w:rsidR="00933F88" w:rsidRPr="00E87295">
              <w:rPr>
                <w:b/>
                <w:bCs/>
                <w:sz w:val="22"/>
                <w:szCs w:val="22"/>
              </w:rPr>
              <w:t>parametar</w:t>
            </w:r>
            <w:proofErr w:type="spellEnd"/>
            <w:r w:rsidR="00933F88" w:rsidRPr="00E87295">
              <w:rPr>
                <w:b/>
                <w:bCs/>
                <w:sz w:val="22"/>
                <w:szCs w:val="22"/>
              </w:rPr>
              <w:t xml:space="preserve"> </w:t>
            </w:r>
            <w:proofErr w:type="spellStart"/>
            <w:r w:rsidR="00933F88" w:rsidRPr="00E87295">
              <w:rPr>
                <w:b/>
                <w:bCs/>
                <w:sz w:val="22"/>
                <w:szCs w:val="22"/>
              </w:rPr>
              <w:t>praćenja</w:t>
            </w:r>
            <w:proofErr w:type="spellEnd"/>
          </w:p>
        </w:tc>
        <w:tc>
          <w:tcPr>
            <w:tcW w:w="1473" w:type="pct"/>
            <w:tcBorders>
              <w:top w:val="single" w:sz="4" w:space="0" w:color="auto"/>
              <w:left w:val="single" w:sz="4" w:space="0" w:color="auto"/>
              <w:bottom w:val="nil"/>
              <w:right w:val="single" w:sz="4" w:space="0" w:color="auto"/>
            </w:tcBorders>
            <w:vAlign w:val="center"/>
          </w:tcPr>
          <w:p w14:paraId="1FCF7CEB" w14:textId="77777777" w:rsidR="0006393B" w:rsidRPr="00E87295" w:rsidRDefault="0006393B">
            <w:pPr>
              <w:adjustRightInd w:val="0"/>
              <w:snapToGrid w:val="0"/>
              <w:jc w:val="both"/>
              <w:rPr>
                <w:sz w:val="22"/>
                <w:szCs w:val="22"/>
              </w:rPr>
            </w:pPr>
          </w:p>
        </w:tc>
        <w:tc>
          <w:tcPr>
            <w:tcW w:w="1640" w:type="pct"/>
            <w:tcBorders>
              <w:top w:val="single" w:sz="4" w:space="0" w:color="auto"/>
              <w:left w:val="single" w:sz="4" w:space="0" w:color="auto"/>
              <w:bottom w:val="nil"/>
              <w:right w:val="single" w:sz="4" w:space="0" w:color="auto"/>
            </w:tcBorders>
            <w:vAlign w:val="center"/>
          </w:tcPr>
          <w:p w14:paraId="75F81873" w14:textId="77777777" w:rsidR="0006393B" w:rsidRPr="00E87295" w:rsidRDefault="0006393B">
            <w:pPr>
              <w:adjustRightInd w:val="0"/>
              <w:jc w:val="both"/>
              <w:rPr>
                <w:sz w:val="22"/>
                <w:szCs w:val="22"/>
              </w:rPr>
            </w:pPr>
          </w:p>
        </w:tc>
      </w:tr>
      <w:tr w:rsidR="0006393B" w:rsidRPr="00E87295" w14:paraId="29CB87BE" w14:textId="77777777" w:rsidTr="008A303B">
        <w:trPr>
          <w:cantSplit/>
          <w:jc w:val="center"/>
        </w:trPr>
        <w:tc>
          <w:tcPr>
            <w:tcW w:w="1887" w:type="pct"/>
            <w:tcBorders>
              <w:top w:val="nil"/>
              <w:left w:val="single" w:sz="4" w:space="0" w:color="auto"/>
              <w:bottom w:val="nil"/>
              <w:right w:val="single" w:sz="4" w:space="0" w:color="auto"/>
            </w:tcBorders>
            <w:vAlign w:val="center"/>
          </w:tcPr>
          <w:p w14:paraId="22071654" w14:textId="77777777" w:rsidR="0006393B" w:rsidRPr="00E87295" w:rsidRDefault="0006393B">
            <w:pPr>
              <w:adjustRightInd w:val="0"/>
              <w:snapToGrid w:val="0"/>
              <w:jc w:val="both"/>
              <w:rPr>
                <w:sz w:val="22"/>
                <w:szCs w:val="22"/>
              </w:rPr>
            </w:pPr>
            <w:r w:rsidRPr="00E87295">
              <w:rPr>
                <w:sz w:val="22"/>
                <w:szCs w:val="22"/>
              </w:rPr>
              <w:t xml:space="preserve">PASI 90 </w:t>
            </w:r>
            <w:proofErr w:type="spellStart"/>
            <w:r w:rsidRPr="00E87295">
              <w:rPr>
                <w:sz w:val="22"/>
                <w:szCs w:val="22"/>
              </w:rPr>
              <w:t>odgovor</w:t>
            </w:r>
            <w:proofErr w:type="spellEnd"/>
            <w:r w:rsidRPr="00E87295">
              <w:rPr>
                <w:sz w:val="22"/>
                <w:szCs w:val="22"/>
              </w:rPr>
              <w:t xml:space="preserve"> u 48. </w:t>
            </w:r>
            <w:proofErr w:type="spellStart"/>
            <w:r w:rsidRPr="00E87295">
              <w:rPr>
                <w:sz w:val="22"/>
                <w:szCs w:val="22"/>
              </w:rPr>
              <w:t>ned</w:t>
            </w:r>
            <w:r w:rsidR="008A303B" w:rsidRPr="00E87295">
              <w:rPr>
                <w:sz w:val="22"/>
                <w:szCs w:val="22"/>
              </w:rPr>
              <w:t>j</w:t>
            </w:r>
            <w:r w:rsidRPr="00E87295">
              <w:rPr>
                <w:sz w:val="22"/>
                <w:szCs w:val="22"/>
              </w:rPr>
              <w:t>elji</w:t>
            </w:r>
            <w:proofErr w:type="spellEnd"/>
          </w:p>
        </w:tc>
        <w:tc>
          <w:tcPr>
            <w:tcW w:w="1473" w:type="pct"/>
            <w:tcBorders>
              <w:top w:val="nil"/>
              <w:left w:val="single" w:sz="4" w:space="0" w:color="auto"/>
              <w:bottom w:val="nil"/>
              <w:right w:val="single" w:sz="4" w:space="0" w:color="auto"/>
            </w:tcBorders>
            <w:vAlign w:val="center"/>
          </w:tcPr>
          <w:p w14:paraId="04F06897" w14:textId="77777777" w:rsidR="0006393B" w:rsidRPr="00E87295" w:rsidRDefault="0006393B">
            <w:pPr>
              <w:adjustRightInd w:val="0"/>
              <w:snapToGrid w:val="0"/>
              <w:jc w:val="both"/>
              <w:rPr>
                <w:sz w:val="22"/>
                <w:szCs w:val="22"/>
              </w:rPr>
            </w:pPr>
            <w:r w:rsidRPr="00E87295">
              <w:rPr>
                <w:sz w:val="22"/>
                <w:szCs w:val="22"/>
              </w:rPr>
              <w:t xml:space="preserve">451 (84.5%) </w:t>
            </w:r>
            <w:r w:rsidRPr="00E87295">
              <w:rPr>
                <w:sz w:val="22"/>
                <w:szCs w:val="22"/>
                <w:vertAlign w:val="superscript"/>
              </w:rPr>
              <w:t>a</w:t>
            </w:r>
          </w:p>
        </w:tc>
        <w:tc>
          <w:tcPr>
            <w:tcW w:w="1640" w:type="pct"/>
            <w:tcBorders>
              <w:top w:val="nil"/>
              <w:left w:val="single" w:sz="4" w:space="0" w:color="auto"/>
              <w:bottom w:val="nil"/>
              <w:right w:val="single" w:sz="4" w:space="0" w:color="auto"/>
            </w:tcBorders>
            <w:vAlign w:val="center"/>
          </w:tcPr>
          <w:p w14:paraId="15E914B1" w14:textId="77777777" w:rsidR="0006393B" w:rsidRPr="00E87295" w:rsidRDefault="0006393B">
            <w:pPr>
              <w:adjustRightInd w:val="0"/>
              <w:snapToGrid w:val="0"/>
              <w:jc w:val="both"/>
              <w:rPr>
                <w:sz w:val="22"/>
                <w:szCs w:val="22"/>
              </w:rPr>
            </w:pPr>
            <w:r w:rsidRPr="00E87295">
              <w:rPr>
                <w:sz w:val="22"/>
                <w:szCs w:val="22"/>
              </w:rPr>
              <w:t>360 (70.0%)</w:t>
            </w:r>
          </w:p>
        </w:tc>
      </w:tr>
      <w:tr w:rsidR="0006393B" w:rsidRPr="00E87295" w14:paraId="550101A0" w14:textId="77777777" w:rsidTr="008A303B">
        <w:trPr>
          <w:cantSplit/>
          <w:jc w:val="center"/>
        </w:trPr>
        <w:tc>
          <w:tcPr>
            <w:tcW w:w="1887" w:type="pct"/>
            <w:tcBorders>
              <w:top w:val="nil"/>
              <w:left w:val="single" w:sz="4" w:space="0" w:color="auto"/>
              <w:bottom w:val="nil"/>
              <w:right w:val="single" w:sz="4" w:space="0" w:color="auto"/>
            </w:tcBorders>
            <w:vAlign w:val="center"/>
          </w:tcPr>
          <w:p w14:paraId="00235BC5" w14:textId="0148EA3B" w:rsidR="0006393B" w:rsidRPr="00E87295" w:rsidRDefault="0006393B">
            <w:pPr>
              <w:adjustRightInd w:val="0"/>
              <w:snapToGrid w:val="0"/>
              <w:jc w:val="both"/>
              <w:rPr>
                <w:b/>
                <w:bCs/>
                <w:sz w:val="22"/>
                <w:szCs w:val="22"/>
              </w:rPr>
            </w:pPr>
            <w:proofErr w:type="spellStart"/>
            <w:r w:rsidRPr="00E87295">
              <w:rPr>
                <w:b/>
                <w:bCs/>
                <w:sz w:val="22"/>
                <w:szCs w:val="22"/>
              </w:rPr>
              <w:t>Važni</w:t>
            </w:r>
            <w:proofErr w:type="spellEnd"/>
            <w:r w:rsidRPr="00E87295">
              <w:rPr>
                <w:b/>
                <w:bCs/>
                <w:sz w:val="22"/>
                <w:szCs w:val="22"/>
              </w:rPr>
              <w:t xml:space="preserve"> </w:t>
            </w:r>
            <w:proofErr w:type="spellStart"/>
            <w:r w:rsidRPr="00E87295">
              <w:rPr>
                <w:b/>
                <w:bCs/>
                <w:sz w:val="22"/>
                <w:szCs w:val="22"/>
              </w:rPr>
              <w:t>sekundarni</w:t>
            </w:r>
            <w:proofErr w:type="spellEnd"/>
            <w:r w:rsidRPr="00E87295">
              <w:rPr>
                <w:b/>
                <w:bCs/>
                <w:sz w:val="22"/>
                <w:szCs w:val="22"/>
              </w:rPr>
              <w:t xml:space="preserve"> </w:t>
            </w:r>
            <w:proofErr w:type="spellStart"/>
            <w:r w:rsidR="00933F88" w:rsidRPr="00E87295">
              <w:rPr>
                <w:b/>
                <w:bCs/>
                <w:sz w:val="22"/>
                <w:szCs w:val="22"/>
              </w:rPr>
              <w:t>parametri</w:t>
            </w:r>
            <w:proofErr w:type="spellEnd"/>
            <w:r w:rsidR="00933F88" w:rsidRPr="00E87295">
              <w:rPr>
                <w:b/>
                <w:bCs/>
                <w:sz w:val="22"/>
                <w:szCs w:val="22"/>
              </w:rPr>
              <w:t xml:space="preserve"> </w:t>
            </w:r>
            <w:proofErr w:type="spellStart"/>
            <w:r w:rsidR="00933F88" w:rsidRPr="00E87295">
              <w:rPr>
                <w:b/>
                <w:bCs/>
                <w:sz w:val="22"/>
                <w:szCs w:val="22"/>
              </w:rPr>
              <w:t>praćenja</w:t>
            </w:r>
            <w:proofErr w:type="spellEnd"/>
          </w:p>
        </w:tc>
        <w:tc>
          <w:tcPr>
            <w:tcW w:w="1473" w:type="pct"/>
            <w:tcBorders>
              <w:top w:val="nil"/>
              <w:left w:val="single" w:sz="4" w:space="0" w:color="auto"/>
              <w:bottom w:val="nil"/>
              <w:right w:val="single" w:sz="4" w:space="0" w:color="auto"/>
            </w:tcBorders>
            <w:vAlign w:val="center"/>
          </w:tcPr>
          <w:p w14:paraId="67843C93" w14:textId="77777777" w:rsidR="0006393B" w:rsidRPr="00E87295" w:rsidRDefault="0006393B">
            <w:pPr>
              <w:adjustRightInd w:val="0"/>
              <w:snapToGrid w:val="0"/>
              <w:jc w:val="both"/>
              <w:rPr>
                <w:sz w:val="22"/>
                <w:szCs w:val="22"/>
              </w:rPr>
            </w:pPr>
          </w:p>
        </w:tc>
        <w:tc>
          <w:tcPr>
            <w:tcW w:w="1640" w:type="pct"/>
            <w:tcBorders>
              <w:top w:val="nil"/>
              <w:left w:val="single" w:sz="4" w:space="0" w:color="auto"/>
              <w:bottom w:val="nil"/>
              <w:right w:val="single" w:sz="4" w:space="0" w:color="auto"/>
            </w:tcBorders>
            <w:vAlign w:val="center"/>
          </w:tcPr>
          <w:p w14:paraId="5714D375" w14:textId="77777777" w:rsidR="0006393B" w:rsidRPr="00E87295" w:rsidRDefault="0006393B">
            <w:pPr>
              <w:adjustRightInd w:val="0"/>
              <w:snapToGrid w:val="0"/>
              <w:jc w:val="both"/>
              <w:rPr>
                <w:sz w:val="22"/>
                <w:szCs w:val="22"/>
              </w:rPr>
            </w:pPr>
          </w:p>
        </w:tc>
      </w:tr>
      <w:tr w:rsidR="0006393B" w:rsidRPr="00E87295" w14:paraId="5D38B089" w14:textId="77777777" w:rsidTr="008A303B">
        <w:trPr>
          <w:cantSplit/>
          <w:jc w:val="center"/>
        </w:trPr>
        <w:tc>
          <w:tcPr>
            <w:tcW w:w="1887" w:type="pct"/>
            <w:tcBorders>
              <w:top w:val="nil"/>
              <w:left w:val="single" w:sz="4" w:space="0" w:color="auto"/>
              <w:bottom w:val="nil"/>
              <w:right w:val="single" w:sz="4" w:space="0" w:color="auto"/>
            </w:tcBorders>
            <w:vAlign w:val="center"/>
          </w:tcPr>
          <w:p w14:paraId="22A833F7" w14:textId="1E60A087" w:rsidR="0006393B" w:rsidRPr="00E87295" w:rsidRDefault="0006393B">
            <w:pPr>
              <w:adjustRightInd w:val="0"/>
              <w:snapToGrid w:val="0"/>
              <w:jc w:val="both"/>
              <w:rPr>
                <w:sz w:val="22"/>
                <w:szCs w:val="22"/>
              </w:rPr>
            </w:pPr>
            <w:r w:rsidRPr="00E87295">
              <w:rPr>
                <w:sz w:val="22"/>
                <w:szCs w:val="22"/>
              </w:rPr>
              <w:t xml:space="preserve">PASI 75 </w:t>
            </w:r>
            <w:proofErr w:type="spellStart"/>
            <w:r w:rsidRPr="00E87295">
              <w:rPr>
                <w:sz w:val="22"/>
                <w:szCs w:val="22"/>
              </w:rPr>
              <w:t>odgovor</w:t>
            </w:r>
            <w:proofErr w:type="spellEnd"/>
            <w:r w:rsidRPr="00E87295">
              <w:rPr>
                <w:sz w:val="22"/>
                <w:szCs w:val="22"/>
              </w:rPr>
              <w:t xml:space="preserve"> u 12. </w:t>
            </w:r>
            <w:proofErr w:type="spellStart"/>
            <w:r w:rsidRPr="00E87295">
              <w:rPr>
                <w:sz w:val="22"/>
                <w:szCs w:val="22"/>
              </w:rPr>
              <w:t>i</w:t>
            </w:r>
            <w:proofErr w:type="spellEnd"/>
            <w:r w:rsidRPr="00E87295">
              <w:rPr>
                <w:sz w:val="22"/>
                <w:szCs w:val="22"/>
              </w:rPr>
              <w:t xml:space="preserve"> 48</w:t>
            </w:r>
            <w:r w:rsidR="00933F88" w:rsidRPr="00E87295">
              <w:rPr>
                <w:sz w:val="22"/>
                <w:szCs w:val="22"/>
              </w:rPr>
              <w:t>.</w:t>
            </w:r>
            <w:r w:rsidRPr="00E87295">
              <w:rPr>
                <w:sz w:val="22"/>
                <w:szCs w:val="22"/>
              </w:rPr>
              <w:t xml:space="preserve"> </w:t>
            </w:r>
            <w:proofErr w:type="spellStart"/>
            <w:r w:rsidRPr="00E87295">
              <w:rPr>
                <w:sz w:val="22"/>
                <w:szCs w:val="22"/>
              </w:rPr>
              <w:t>ned</w:t>
            </w:r>
            <w:r w:rsidR="008A303B" w:rsidRPr="00E87295">
              <w:rPr>
                <w:sz w:val="22"/>
                <w:szCs w:val="22"/>
              </w:rPr>
              <w:t>j</w:t>
            </w:r>
            <w:r w:rsidRPr="00E87295">
              <w:rPr>
                <w:sz w:val="22"/>
                <w:szCs w:val="22"/>
              </w:rPr>
              <w:t>elji</w:t>
            </w:r>
            <w:proofErr w:type="spellEnd"/>
          </w:p>
        </w:tc>
        <w:tc>
          <w:tcPr>
            <w:tcW w:w="1473" w:type="pct"/>
            <w:tcBorders>
              <w:top w:val="nil"/>
              <w:left w:val="single" w:sz="4" w:space="0" w:color="auto"/>
              <w:bottom w:val="nil"/>
              <w:right w:val="single" w:sz="4" w:space="0" w:color="auto"/>
            </w:tcBorders>
            <w:vAlign w:val="center"/>
          </w:tcPr>
          <w:p w14:paraId="29DE403B" w14:textId="77777777" w:rsidR="0006393B" w:rsidRPr="00E87295" w:rsidRDefault="0006393B">
            <w:pPr>
              <w:adjustRightInd w:val="0"/>
              <w:snapToGrid w:val="0"/>
              <w:jc w:val="both"/>
              <w:rPr>
                <w:sz w:val="22"/>
                <w:szCs w:val="22"/>
              </w:rPr>
            </w:pPr>
            <w:r w:rsidRPr="00E87295">
              <w:rPr>
                <w:sz w:val="22"/>
                <w:szCs w:val="22"/>
              </w:rPr>
              <w:t xml:space="preserve">452 (84.6%) </w:t>
            </w:r>
            <w:r w:rsidRPr="00E87295">
              <w:rPr>
                <w:sz w:val="22"/>
                <w:szCs w:val="22"/>
                <w:vertAlign w:val="superscript"/>
              </w:rPr>
              <w:t>b</w:t>
            </w:r>
          </w:p>
        </w:tc>
        <w:tc>
          <w:tcPr>
            <w:tcW w:w="1640" w:type="pct"/>
            <w:tcBorders>
              <w:top w:val="nil"/>
              <w:left w:val="single" w:sz="4" w:space="0" w:color="auto"/>
              <w:bottom w:val="nil"/>
              <w:right w:val="single" w:sz="4" w:space="0" w:color="auto"/>
            </w:tcBorders>
            <w:vAlign w:val="center"/>
          </w:tcPr>
          <w:p w14:paraId="4E52E56F" w14:textId="77777777" w:rsidR="0006393B" w:rsidRPr="00E87295" w:rsidRDefault="0006393B">
            <w:pPr>
              <w:adjustRightInd w:val="0"/>
              <w:snapToGrid w:val="0"/>
              <w:jc w:val="both"/>
              <w:rPr>
                <w:sz w:val="22"/>
                <w:szCs w:val="22"/>
              </w:rPr>
            </w:pPr>
            <w:r w:rsidRPr="00E87295">
              <w:rPr>
                <w:sz w:val="22"/>
                <w:szCs w:val="22"/>
              </w:rPr>
              <w:t>412 (80.2%)</w:t>
            </w:r>
          </w:p>
        </w:tc>
      </w:tr>
      <w:tr w:rsidR="0006393B" w:rsidRPr="00E87295" w14:paraId="5DCB6F97" w14:textId="77777777" w:rsidTr="008A303B">
        <w:trPr>
          <w:cantSplit/>
          <w:jc w:val="center"/>
        </w:trPr>
        <w:tc>
          <w:tcPr>
            <w:tcW w:w="1887" w:type="pct"/>
            <w:tcBorders>
              <w:top w:val="nil"/>
              <w:left w:val="single" w:sz="4" w:space="0" w:color="auto"/>
              <w:bottom w:val="nil"/>
              <w:right w:val="single" w:sz="4" w:space="0" w:color="auto"/>
            </w:tcBorders>
            <w:vAlign w:val="center"/>
          </w:tcPr>
          <w:p w14:paraId="62D9501C" w14:textId="77777777" w:rsidR="0006393B" w:rsidRPr="00E87295" w:rsidRDefault="0006393B">
            <w:pPr>
              <w:adjustRightInd w:val="0"/>
              <w:snapToGrid w:val="0"/>
              <w:jc w:val="both"/>
              <w:rPr>
                <w:sz w:val="22"/>
                <w:szCs w:val="22"/>
              </w:rPr>
            </w:pPr>
            <w:r w:rsidRPr="00E87295">
              <w:rPr>
                <w:sz w:val="22"/>
                <w:szCs w:val="22"/>
              </w:rPr>
              <w:t xml:space="preserve">PASI 75 </w:t>
            </w:r>
            <w:proofErr w:type="spellStart"/>
            <w:r w:rsidRPr="00E87295">
              <w:rPr>
                <w:sz w:val="22"/>
                <w:szCs w:val="22"/>
              </w:rPr>
              <w:t>odgovor</w:t>
            </w:r>
            <w:proofErr w:type="spellEnd"/>
            <w:r w:rsidRPr="00E87295">
              <w:rPr>
                <w:sz w:val="22"/>
                <w:szCs w:val="22"/>
              </w:rPr>
              <w:t xml:space="preserve"> 12. </w:t>
            </w:r>
            <w:proofErr w:type="spellStart"/>
            <w:r w:rsidRPr="00E87295">
              <w:rPr>
                <w:sz w:val="22"/>
                <w:szCs w:val="22"/>
              </w:rPr>
              <w:t>ned</w:t>
            </w:r>
            <w:r w:rsidR="008A303B" w:rsidRPr="00E87295">
              <w:rPr>
                <w:sz w:val="22"/>
                <w:szCs w:val="22"/>
              </w:rPr>
              <w:t>j</w:t>
            </w:r>
            <w:r w:rsidRPr="00E87295">
              <w:rPr>
                <w:sz w:val="22"/>
                <w:szCs w:val="22"/>
              </w:rPr>
              <w:t>elji</w:t>
            </w:r>
            <w:proofErr w:type="spellEnd"/>
          </w:p>
        </w:tc>
        <w:tc>
          <w:tcPr>
            <w:tcW w:w="1473" w:type="pct"/>
            <w:tcBorders>
              <w:top w:val="nil"/>
              <w:left w:val="single" w:sz="4" w:space="0" w:color="auto"/>
              <w:bottom w:val="nil"/>
              <w:right w:val="single" w:sz="4" w:space="0" w:color="auto"/>
            </w:tcBorders>
            <w:vAlign w:val="center"/>
          </w:tcPr>
          <w:p w14:paraId="45E321EE" w14:textId="77777777" w:rsidR="0006393B" w:rsidRPr="00E87295" w:rsidRDefault="0006393B">
            <w:pPr>
              <w:adjustRightInd w:val="0"/>
              <w:snapToGrid w:val="0"/>
              <w:jc w:val="both"/>
              <w:rPr>
                <w:sz w:val="22"/>
                <w:szCs w:val="22"/>
              </w:rPr>
            </w:pPr>
            <w:r w:rsidRPr="00E87295">
              <w:rPr>
                <w:sz w:val="22"/>
                <w:szCs w:val="22"/>
              </w:rPr>
              <w:t>477 (89.3%)</w:t>
            </w:r>
            <w:r w:rsidRPr="00E87295">
              <w:rPr>
                <w:sz w:val="22"/>
                <w:szCs w:val="22"/>
                <w:vertAlign w:val="superscript"/>
              </w:rPr>
              <w:t xml:space="preserve"> c</w:t>
            </w:r>
          </w:p>
        </w:tc>
        <w:tc>
          <w:tcPr>
            <w:tcW w:w="1640" w:type="pct"/>
            <w:tcBorders>
              <w:top w:val="nil"/>
              <w:left w:val="single" w:sz="4" w:space="0" w:color="auto"/>
              <w:bottom w:val="nil"/>
              <w:right w:val="single" w:sz="4" w:space="0" w:color="auto"/>
            </w:tcBorders>
            <w:vAlign w:val="center"/>
          </w:tcPr>
          <w:p w14:paraId="3599868C" w14:textId="77777777" w:rsidR="0006393B" w:rsidRPr="00E87295" w:rsidRDefault="0006393B">
            <w:pPr>
              <w:adjustRightInd w:val="0"/>
              <w:snapToGrid w:val="0"/>
              <w:jc w:val="both"/>
              <w:rPr>
                <w:sz w:val="22"/>
                <w:szCs w:val="22"/>
              </w:rPr>
            </w:pPr>
            <w:r w:rsidRPr="00E87295">
              <w:rPr>
                <w:sz w:val="22"/>
                <w:szCs w:val="22"/>
              </w:rPr>
              <w:t>471 (91.6%)</w:t>
            </w:r>
          </w:p>
        </w:tc>
      </w:tr>
      <w:tr w:rsidR="0006393B" w:rsidRPr="00E87295" w14:paraId="72B980BD" w14:textId="77777777" w:rsidTr="008A303B">
        <w:trPr>
          <w:cantSplit/>
          <w:jc w:val="center"/>
        </w:trPr>
        <w:tc>
          <w:tcPr>
            <w:tcW w:w="1887" w:type="pct"/>
            <w:tcBorders>
              <w:top w:val="nil"/>
              <w:left w:val="single" w:sz="4" w:space="0" w:color="auto"/>
              <w:bottom w:val="nil"/>
              <w:right w:val="single" w:sz="4" w:space="0" w:color="auto"/>
            </w:tcBorders>
            <w:vAlign w:val="center"/>
          </w:tcPr>
          <w:p w14:paraId="6084DFAD" w14:textId="77777777" w:rsidR="0006393B" w:rsidRPr="00E87295" w:rsidRDefault="0006393B">
            <w:pPr>
              <w:adjustRightInd w:val="0"/>
              <w:snapToGrid w:val="0"/>
              <w:jc w:val="both"/>
              <w:rPr>
                <w:sz w:val="22"/>
                <w:szCs w:val="22"/>
              </w:rPr>
            </w:pPr>
            <w:r w:rsidRPr="00E87295">
              <w:rPr>
                <w:sz w:val="22"/>
                <w:szCs w:val="22"/>
              </w:rPr>
              <w:t xml:space="preserve">PASI 90 </w:t>
            </w:r>
            <w:proofErr w:type="spellStart"/>
            <w:r w:rsidRPr="00E87295">
              <w:rPr>
                <w:sz w:val="22"/>
                <w:szCs w:val="22"/>
              </w:rPr>
              <w:t>odgovor</w:t>
            </w:r>
            <w:proofErr w:type="spellEnd"/>
            <w:r w:rsidRPr="00E87295">
              <w:rPr>
                <w:sz w:val="22"/>
                <w:szCs w:val="22"/>
              </w:rPr>
              <w:t xml:space="preserve"> u 12. </w:t>
            </w:r>
            <w:proofErr w:type="spellStart"/>
            <w:r w:rsidRPr="00E87295">
              <w:rPr>
                <w:sz w:val="22"/>
                <w:szCs w:val="22"/>
              </w:rPr>
              <w:t>ned</w:t>
            </w:r>
            <w:r w:rsidR="008A303B" w:rsidRPr="00E87295">
              <w:rPr>
                <w:sz w:val="22"/>
                <w:szCs w:val="22"/>
              </w:rPr>
              <w:t>j</w:t>
            </w:r>
            <w:r w:rsidRPr="00E87295">
              <w:rPr>
                <w:sz w:val="22"/>
                <w:szCs w:val="22"/>
              </w:rPr>
              <w:t>elji</w:t>
            </w:r>
            <w:proofErr w:type="spellEnd"/>
          </w:p>
        </w:tc>
        <w:tc>
          <w:tcPr>
            <w:tcW w:w="1473" w:type="pct"/>
            <w:tcBorders>
              <w:top w:val="nil"/>
              <w:left w:val="single" w:sz="4" w:space="0" w:color="auto"/>
              <w:bottom w:val="nil"/>
              <w:right w:val="single" w:sz="4" w:space="0" w:color="auto"/>
            </w:tcBorders>
            <w:vAlign w:val="center"/>
          </w:tcPr>
          <w:p w14:paraId="6485D84C" w14:textId="77777777" w:rsidR="0006393B" w:rsidRPr="00E87295" w:rsidRDefault="0006393B">
            <w:pPr>
              <w:adjustRightInd w:val="0"/>
              <w:snapToGrid w:val="0"/>
              <w:jc w:val="both"/>
              <w:rPr>
                <w:sz w:val="22"/>
                <w:szCs w:val="22"/>
              </w:rPr>
            </w:pPr>
            <w:r w:rsidRPr="00E87295">
              <w:rPr>
                <w:sz w:val="22"/>
                <w:szCs w:val="22"/>
              </w:rPr>
              <w:t>369 (69.1%)</w:t>
            </w:r>
            <w:r w:rsidRPr="00E87295">
              <w:rPr>
                <w:sz w:val="22"/>
                <w:szCs w:val="22"/>
                <w:vertAlign w:val="superscript"/>
              </w:rPr>
              <w:t xml:space="preserve"> c</w:t>
            </w:r>
          </w:p>
        </w:tc>
        <w:tc>
          <w:tcPr>
            <w:tcW w:w="1640" w:type="pct"/>
            <w:tcBorders>
              <w:top w:val="nil"/>
              <w:left w:val="single" w:sz="4" w:space="0" w:color="auto"/>
              <w:bottom w:val="nil"/>
              <w:right w:val="single" w:sz="4" w:space="0" w:color="auto"/>
            </w:tcBorders>
            <w:vAlign w:val="center"/>
          </w:tcPr>
          <w:p w14:paraId="7DC7BD63" w14:textId="77777777" w:rsidR="0006393B" w:rsidRPr="00E87295" w:rsidRDefault="0006393B">
            <w:pPr>
              <w:adjustRightInd w:val="0"/>
              <w:snapToGrid w:val="0"/>
              <w:jc w:val="both"/>
              <w:rPr>
                <w:sz w:val="22"/>
                <w:szCs w:val="22"/>
              </w:rPr>
            </w:pPr>
            <w:r w:rsidRPr="00E87295">
              <w:rPr>
                <w:sz w:val="22"/>
                <w:szCs w:val="22"/>
              </w:rPr>
              <w:t>391 (76.1%)</w:t>
            </w:r>
          </w:p>
        </w:tc>
      </w:tr>
      <w:tr w:rsidR="0006393B" w:rsidRPr="00E87295" w14:paraId="68478271" w14:textId="77777777" w:rsidTr="008A303B">
        <w:trPr>
          <w:cantSplit/>
          <w:jc w:val="center"/>
        </w:trPr>
        <w:tc>
          <w:tcPr>
            <w:tcW w:w="1887" w:type="pct"/>
            <w:tcBorders>
              <w:top w:val="nil"/>
              <w:left w:val="single" w:sz="4" w:space="0" w:color="auto"/>
              <w:bottom w:val="single" w:sz="4" w:space="0" w:color="auto"/>
              <w:right w:val="single" w:sz="4" w:space="0" w:color="auto"/>
            </w:tcBorders>
            <w:vAlign w:val="center"/>
          </w:tcPr>
          <w:p w14:paraId="518CC394" w14:textId="77777777" w:rsidR="0006393B" w:rsidRPr="00E87295" w:rsidRDefault="0006393B">
            <w:pPr>
              <w:adjustRightInd w:val="0"/>
              <w:snapToGrid w:val="0"/>
              <w:jc w:val="both"/>
              <w:rPr>
                <w:sz w:val="22"/>
                <w:szCs w:val="22"/>
              </w:rPr>
            </w:pPr>
            <w:r w:rsidRPr="00E87295">
              <w:rPr>
                <w:sz w:val="22"/>
                <w:szCs w:val="22"/>
              </w:rPr>
              <w:t xml:space="preserve">PASI 100 </w:t>
            </w:r>
            <w:proofErr w:type="spellStart"/>
            <w:r w:rsidRPr="00E87295">
              <w:rPr>
                <w:sz w:val="22"/>
                <w:szCs w:val="22"/>
              </w:rPr>
              <w:t>odgovoru</w:t>
            </w:r>
            <w:proofErr w:type="spellEnd"/>
            <w:r w:rsidRPr="00E87295">
              <w:rPr>
                <w:sz w:val="22"/>
                <w:szCs w:val="22"/>
              </w:rPr>
              <w:t xml:space="preserve"> 48. </w:t>
            </w:r>
            <w:proofErr w:type="spellStart"/>
            <w:r w:rsidRPr="00E87295">
              <w:rPr>
                <w:sz w:val="22"/>
                <w:szCs w:val="22"/>
              </w:rPr>
              <w:t>ned</w:t>
            </w:r>
            <w:r w:rsidR="008A303B" w:rsidRPr="00E87295">
              <w:rPr>
                <w:sz w:val="22"/>
                <w:szCs w:val="22"/>
              </w:rPr>
              <w:t>j</w:t>
            </w:r>
            <w:r w:rsidRPr="00E87295">
              <w:rPr>
                <w:sz w:val="22"/>
                <w:szCs w:val="22"/>
              </w:rPr>
              <w:t>elji</w:t>
            </w:r>
            <w:proofErr w:type="spellEnd"/>
          </w:p>
        </w:tc>
        <w:tc>
          <w:tcPr>
            <w:tcW w:w="1473" w:type="pct"/>
            <w:tcBorders>
              <w:top w:val="nil"/>
              <w:left w:val="single" w:sz="4" w:space="0" w:color="auto"/>
              <w:bottom w:val="single" w:sz="4" w:space="0" w:color="auto"/>
              <w:right w:val="single" w:sz="4" w:space="0" w:color="auto"/>
            </w:tcBorders>
            <w:vAlign w:val="center"/>
          </w:tcPr>
          <w:p w14:paraId="2037D46B" w14:textId="77777777" w:rsidR="0006393B" w:rsidRPr="00E87295" w:rsidRDefault="0006393B">
            <w:pPr>
              <w:adjustRightInd w:val="0"/>
              <w:snapToGrid w:val="0"/>
              <w:jc w:val="both"/>
              <w:rPr>
                <w:sz w:val="22"/>
                <w:szCs w:val="22"/>
              </w:rPr>
            </w:pPr>
            <w:r w:rsidRPr="00E87295">
              <w:rPr>
                <w:sz w:val="22"/>
                <w:szCs w:val="22"/>
              </w:rPr>
              <w:t xml:space="preserve">311 (58.2%) </w:t>
            </w:r>
            <w:r w:rsidRPr="00E87295">
              <w:rPr>
                <w:sz w:val="22"/>
                <w:szCs w:val="22"/>
                <w:vertAlign w:val="superscript"/>
              </w:rPr>
              <w:t>c</w:t>
            </w:r>
          </w:p>
        </w:tc>
        <w:tc>
          <w:tcPr>
            <w:tcW w:w="1640" w:type="pct"/>
            <w:tcBorders>
              <w:top w:val="nil"/>
              <w:left w:val="single" w:sz="4" w:space="0" w:color="auto"/>
              <w:bottom w:val="single" w:sz="4" w:space="0" w:color="auto"/>
              <w:right w:val="single" w:sz="4" w:space="0" w:color="auto"/>
            </w:tcBorders>
            <w:vAlign w:val="center"/>
          </w:tcPr>
          <w:p w14:paraId="18DCC392" w14:textId="77777777" w:rsidR="0006393B" w:rsidRPr="00E87295" w:rsidRDefault="0006393B">
            <w:pPr>
              <w:adjustRightInd w:val="0"/>
              <w:snapToGrid w:val="0"/>
              <w:jc w:val="both"/>
              <w:rPr>
                <w:sz w:val="22"/>
                <w:szCs w:val="22"/>
              </w:rPr>
            </w:pPr>
            <w:r w:rsidRPr="00E87295">
              <w:rPr>
                <w:sz w:val="22"/>
                <w:szCs w:val="22"/>
              </w:rPr>
              <w:t>249 (48.4%)</w:t>
            </w:r>
          </w:p>
        </w:tc>
      </w:tr>
      <w:tr w:rsidR="0006393B" w:rsidRPr="00E87295" w14:paraId="7DA6A05F" w14:textId="77777777" w:rsidTr="008A303B">
        <w:trPr>
          <w:cantSplit/>
          <w:jc w:val="center"/>
        </w:trPr>
        <w:tc>
          <w:tcPr>
            <w:tcW w:w="5000" w:type="pct"/>
            <w:gridSpan w:val="3"/>
            <w:tcBorders>
              <w:top w:val="single" w:sz="4" w:space="0" w:color="auto"/>
              <w:left w:val="nil"/>
              <w:bottom w:val="nil"/>
              <w:right w:val="nil"/>
            </w:tcBorders>
            <w:vAlign w:val="center"/>
          </w:tcPr>
          <w:p w14:paraId="1A64110E" w14:textId="77777777" w:rsidR="0006393B" w:rsidRPr="00E87295" w:rsidRDefault="0006393B">
            <w:pPr>
              <w:adjustRightInd w:val="0"/>
              <w:snapToGrid w:val="0"/>
              <w:jc w:val="both"/>
              <w:rPr>
                <w:sz w:val="22"/>
                <w:szCs w:val="22"/>
              </w:rPr>
            </w:pPr>
            <w:r w:rsidRPr="00E87295">
              <w:rPr>
                <w:sz w:val="22"/>
                <w:szCs w:val="22"/>
                <w:vertAlign w:val="superscript"/>
              </w:rPr>
              <w:t>a</w:t>
            </w:r>
            <w:r w:rsidRPr="00E87295">
              <w:rPr>
                <w:sz w:val="22"/>
                <w:szCs w:val="22"/>
              </w:rPr>
              <w:tab/>
              <w:t xml:space="preserve">p &lt; 0,001 </w:t>
            </w:r>
            <w:proofErr w:type="spellStart"/>
            <w:r w:rsidRPr="00E87295">
              <w:rPr>
                <w:sz w:val="22"/>
                <w:szCs w:val="22"/>
              </w:rPr>
              <w:t>za</w:t>
            </w:r>
            <w:proofErr w:type="spellEnd"/>
            <w:r w:rsidRPr="00E87295">
              <w:rPr>
                <w:sz w:val="22"/>
                <w:szCs w:val="22"/>
              </w:rPr>
              <w:t xml:space="preserve"> </w:t>
            </w:r>
            <w:proofErr w:type="spellStart"/>
            <w:r w:rsidRPr="00E87295">
              <w:rPr>
                <w:sz w:val="22"/>
                <w:szCs w:val="22"/>
              </w:rPr>
              <w:t>superiornost</w:t>
            </w:r>
            <w:proofErr w:type="spellEnd"/>
          </w:p>
          <w:p w14:paraId="0BEEFE10" w14:textId="77777777" w:rsidR="0006393B" w:rsidRPr="00E87295" w:rsidRDefault="0006393B">
            <w:pPr>
              <w:adjustRightInd w:val="0"/>
              <w:snapToGrid w:val="0"/>
              <w:jc w:val="both"/>
              <w:rPr>
                <w:sz w:val="22"/>
                <w:szCs w:val="22"/>
              </w:rPr>
            </w:pPr>
            <w:r w:rsidRPr="00E87295">
              <w:rPr>
                <w:sz w:val="22"/>
                <w:szCs w:val="22"/>
                <w:vertAlign w:val="superscript"/>
              </w:rPr>
              <w:t>b</w:t>
            </w:r>
            <w:r w:rsidRPr="00E87295">
              <w:rPr>
                <w:sz w:val="22"/>
                <w:szCs w:val="22"/>
              </w:rPr>
              <w:tab/>
              <w:t xml:space="preserve">p &lt; 0,001 </w:t>
            </w:r>
            <w:proofErr w:type="spellStart"/>
            <w:r w:rsidRPr="00E87295">
              <w:rPr>
                <w:sz w:val="22"/>
                <w:szCs w:val="22"/>
              </w:rPr>
              <w:t>za</w:t>
            </w:r>
            <w:proofErr w:type="spellEnd"/>
            <w:r w:rsidRPr="00E87295">
              <w:rPr>
                <w:sz w:val="22"/>
                <w:szCs w:val="22"/>
              </w:rPr>
              <w:t xml:space="preserve"> </w:t>
            </w:r>
            <w:proofErr w:type="spellStart"/>
            <w:r w:rsidRPr="00E87295">
              <w:rPr>
                <w:sz w:val="22"/>
                <w:szCs w:val="22"/>
              </w:rPr>
              <w:t>neinferiornost</w:t>
            </w:r>
            <w:proofErr w:type="spellEnd"/>
            <w:r w:rsidRPr="00E87295">
              <w:rPr>
                <w:sz w:val="22"/>
                <w:szCs w:val="22"/>
              </w:rPr>
              <w:t xml:space="preserve">, p=0,062 </w:t>
            </w:r>
            <w:proofErr w:type="spellStart"/>
            <w:r w:rsidRPr="00E87295">
              <w:rPr>
                <w:sz w:val="22"/>
                <w:szCs w:val="22"/>
              </w:rPr>
              <w:t>za</w:t>
            </w:r>
            <w:proofErr w:type="spellEnd"/>
            <w:r w:rsidRPr="00E87295">
              <w:rPr>
                <w:sz w:val="22"/>
                <w:szCs w:val="22"/>
              </w:rPr>
              <w:t xml:space="preserve"> </w:t>
            </w:r>
            <w:proofErr w:type="spellStart"/>
            <w:r w:rsidRPr="00E87295">
              <w:rPr>
                <w:sz w:val="22"/>
                <w:szCs w:val="22"/>
              </w:rPr>
              <w:t>superiornost</w:t>
            </w:r>
            <w:proofErr w:type="spellEnd"/>
          </w:p>
          <w:p w14:paraId="6A955339" w14:textId="77777777" w:rsidR="0006393B" w:rsidRPr="00E87295" w:rsidRDefault="0006393B">
            <w:pPr>
              <w:adjustRightInd w:val="0"/>
              <w:snapToGrid w:val="0"/>
              <w:jc w:val="both"/>
              <w:rPr>
                <w:sz w:val="22"/>
                <w:szCs w:val="22"/>
              </w:rPr>
            </w:pPr>
            <w:r w:rsidRPr="00E87295">
              <w:rPr>
                <w:sz w:val="22"/>
                <w:szCs w:val="22"/>
                <w:vertAlign w:val="superscript"/>
              </w:rPr>
              <w:t>c</w:t>
            </w:r>
            <w:r w:rsidRPr="00E87295">
              <w:rPr>
                <w:sz w:val="22"/>
                <w:szCs w:val="22"/>
              </w:rPr>
              <w:tab/>
            </w:r>
            <w:proofErr w:type="spellStart"/>
            <w:r w:rsidRPr="00E87295">
              <w:rPr>
                <w:sz w:val="22"/>
                <w:szCs w:val="22"/>
              </w:rPr>
              <w:t>nije</w:t>
            </w:r>
            <w:proofErr w:type="spellEnd"/>
            <w:r w:rsidRPr="00E87295">
              <w:rPr>
                <w:sz w:val="22"/>
                <w:szCs w:val="22"/>
              </w:rPr>
              <w:t xml:space="preserve"> </w:t>
            </w:r>
            <w:proofErr w:type="spellStart"/>
            <w:r w:rsidRPr="00E87295">
              <w:rPr>
                <w:sz w:val="22"/>
                <w:szCs w:val="22"/>
              </w:rPr>
              <w:t>urađeno</w:t>
            </w:r>
            <w:proofErr w:type="spellEnd"/>
            <w:r w:rsidRPr="00E87295">
              <w:rPr>
                <w:sz w:val="22"/>
                <w:szCs w:val="22"/>
              </w:rPr>
              <w:t xml:space="preserve"> </w:t>
            </w:r>
            <w:proofErr w:type="spellStart"/>
            <w:r w:rsidRPr="00E87295">
              <w:rPr>
                <w:sz w:val="22"/>
                <w:szCs w:val="22"/>
              </w:rPr>
              <w:t>zvanično</w:t>
            </w:r>
            <w:proofErr w:type="spellEnd"/>
            <w:r w:rsidRPr="00E87295">
              <w:rPr>
                <w:sz w:val="22"/>
                <w:szCs w:val="22"/>
              </w:rPr>
              <w:t xml:space="preserve"> </w:t>
            </w:r>
            <w:proofErr w:type="spellStart"/>
            <w:r w:rsidRPr="00E87295">
              <w:rPr>
                <w:sz w:val="22"/>
                <w:szCs w:val="22"/>
              </w:rPr>
              <w:t>statitičko</w:t>
            </w:r>
            <w:proofErr w:type="spellEnd"/>
            <w:r w:rsidRPr="00E87295">
              <w:rPr>
                <w:sz w:val="22"/>
                <w:szCs w:val="22"/>
              </w:rPr>
              <w:t xml:space="preserve"> </w:t>
            </w:r>
            <w:proofErr w:type="spellStart"/>
            <w:r w:rsidRPr="00E87295">
              <w:rPr>
                <w:sz w:val="22"/>
                <w:szCs w:val="22"/>
              </w:rPr>
              <w:t>ispitivanje</w:t>
            </w:r>
            <w:proofErr w:type="spellEnd"/>
          </w:p>
        </w:tc>
      </w:tr>
    </w:tbl>
    <w:p w14:paraId="7C636793" w14:textId="77777777" w:rsidR="0006393B" w:rsidRPr="00E87295" w:rsidRDefault="0006393B">
      <w:pPr>
        <w:ind w:left="20"/>
        <w:jc w:val="both"/>
        <w:rPr>
          <w:rStyle w:val="BodyText7"/>
          <w:sz w:val="22"/>
          <w:szCs w:val="22"/>
        </w:rPr>
      </w:pPr>
    </w:p>
    <w:p w14:paraId="0C897767" w14:textId="75DA7A10" w:rsidR="0006393B" w:rsidRPr="00E87295" w:rsidRDefault="0006393B">
      <w:pPr>
        <w:ind w:left="20"/>
        <w:jc w:val="both"/>
        <w:rPr>
          <w:rStyle w:val="BodyText7"/>
          <w:sz w:val="22"/>
          <w:szCs w:val="22"/>
        </w:rPr>
      </w:pPr>
      <w:r w:rsidRPr="00E87295">
        <w:rPr>
          <w:rStyle w:val="BodyText7"/>
          <w:sz w:val="22"/>
          <w:szCs w:val="22"/>
        </w:rPr>
        <w:t xml:space="preserve">PASI 90 </w:t>
      </w:r>
      <w:proofErr w:type="spellStart"/>
      <w:r w:rsidRPr="00E87295">
        <w:rPr>
          <w:rStyle w:val="BodyText7"/>
          <w:sz w:val="22"/>
          <w:szCs w:val="22"/>
        </w:rPr>
        <w:t>odgovor</w:t>
      </w:r>
      <w:proofErr w:type="spellEnd"/>
      <w:r w:rsidRPr="00E87295">
        <w:rPr>
          <w:rStyle w:val="BodyText7"/>
          <w:sz w:val="22"/>
          <w:szCs w:val="22"/>
        </w:rPr>
        <w:t xml:space="preserve"> </w:t>
      </w:r>
      <w:proofErr w:type="spellStart"/>
      <w:r w:rsidRPr="00E87295">
        <w:rPr>
          <w:rStyle w:val="BodyText7"/>
          <w:sz w:val="22"/>
          <w:szCs w:val="22"/>
        </w:rPr>
        <w:t>guselkumaba</w:t>
      </w:r>
      <w:proofErr w:type="spellEnd"/>
      <w:r w:rsidRPr="00E87295">
        <w:rPr>
          <w:rStyle w:val="BodyText7"/>
          <w:sz w:val="22"/>
          <w:szCs w:val="22"/>
        </w:rPr>
        <w:t xml:space="preserve"> </w:t>
      </w:r>
      <w:proofErr w:type="spellStart"/>
      <w:r w:rsidRPr="00E87295">
        <w:rPr>
          <w:rStyle w:val="BodyText7"/>
          <w:sz w:val="22"/>
          <w:szCs w:val="22"/>
        </w:rPr>
        <w:t>i</w:t>
      </w:r>
      <w:proofErr w:type="spellEnd"/>
      <w:r w:rsidRPr="00E87295">
        <w:rPr>
          <w:rStyle w:val="BodyText7"/>
          <w:sz w:val="22"/>
          <w:szCs w:val="22"/>
        </w:rPr>
        <w:t xml:space="preserve"> </w:t>
      </w:r>
      <w:proofErr w:type="spellStart"/>
      <w:r w:rsidRPr="00E87295">
        <w:rPr>
          <w:rStyle w:val="BodyText7"/>
          <w:sz w:val="22"/>
          <w:szCs w:val="22"/>
        </w:rPr>
        <w:t>sekukinumaba</w:t>
      </w:r>
      <w:proofErr w:type="spellEnd"/>
      <w:r w:rsidRPr="00E87295">
        <w:rPr>
          <w:rStyle w:val="BodyText7"/>
          <w:sz w:val="22"/>
          <w:szCs w:val="22"/>
        </w:rPr>
        <w:t xml:space="preserve"> </w:t>
      </w:r>
      <w:proofErr w:type="spellStart"/>
      <w:r w:rsidRPr="00E87295">
        <w:rPr>
          <w:rStyle w:val="BodyText7"/>
          <w:sz w:val="22"/>
          <w:szCs w:val="22"/>
        </w:rPr>
        <w:t>tokom</w:t>
      </w:r>
      <w:proofErr w:type="spellEnd"/>
      <w:r w:rsidRPr="00E87295">
        <w:rPr>
          <w:rStyle w:val="BodyText7"/>
          <w:sz w:val="22"/>
          <w:szCs w:val="22"/>
        </w:rPr>
        <w:t xml:space="preserve"> 48. </w:t>
      </w:r>
      <w:proofErr w:type="spellStart"/>
      <w:r w:rsidRPr="00E87295">
        <w:rPr>
          <w:rStyle w:val="BodyText7"/>
          <w:sz w:val="22"/>
          <w:szCs w:val="22"/>
        </w:rPr>
        <w:t>ned</w:t>
      </w:r>
      <w:r w:rsidR="004C56CA" w:rsidRPr="00E87295">
        <w:rPr>
          <w:rStyle w:val="BodyText7"/>
          <w:sz w:val="22"/>
          <w:szCs w:val="22"/>
        </w:rPr>
        <w:t>j</w:t>
      </w:r>
      <w:r w:rsidRPr="00E87295">
        <w:rPr>
          <w:rStyle w:val="BodyText7"/>
          <w:sz w:val="22"/>
          <w:szCs w:val="22"/>
        </w:rPr>
        <w:t>elje</w:t>
      </w:r>
      <w:proofErr w:type="spellEnd"/>
      <w:r w:rsidRPr="00E87295">
        <w:rPr>
          <w:rStyle w:val="BodyText7"/>
          <w:sz w:val="22"/>
          <w:szCs w:val="22"/>
        </w:rPr>
        <w:t xml:space="preserve"> je </w:t>
      </w:r>
      <w:proofErr w:type="spellStart"/>
      <w:r w:rsidRPr="00E87295">
        <w:rPr>
          <w:rStyle w:val="BodyText7"/>
          <w:sz w:val="22"/>
          <w:szCs w:val="22"/>
        </w:rPr>
        <w:t>prikazan</w:t>
      </w:r>
      <w:proofErr w:type="spellEnd"/>
      <w:r w:rsidRPr="00E87295">
        <w:rPr>
          <w:rStyle w:val="BodyText7"/>
          <w:sz w:val="22"/>
          <w:szCs w:val="22"/>
        </w:rPr>
        <w:t xml:space="preserve"> </w:t>
      </w:r>
      <w:proofErr w:type="spellStart"/>
      <w:r w:rsidRPr="00E87295">
        <w:rPr>
          <w:rStyle w:val="BodyText7"/>
          <w:sz w:val="22"/>
          <w:szCs w:val="22"/>
        </w:rPr>
        <w:t>na</w:t>
      </w:r>
      <w:proofErr w:type="spellEnd"/>
      <w:r w:rsidRPr="00E87295">
        <w:rPr>
          <w:rStyle w:val="BodyText7"/>
          <w:sz w:val="22"/>
          <w:szCs w:val="22"/>
        </w:rPr>
        <w:t xml:space="preserve"> </w:t>
      </w:r>
      <w:proofErr w:type="spellStart"/>
      <w:r w:rsidRPr="00E87295">
        <w:rPr>
          <w:rStyle w:val="BodyText7"/>
          <w:sz w:val="22"/>
          <w:szCs w:val="22"/>
        </w:rPr>
        <w:t>Slici</w:t>
      </w:r>
      <w:proofErr w:type="spellEnd"/>
      <w:r w:rsidRPr="00E87295">
        <w:rPr>
          <w:rStyle w:val="BodyText7"/>
          <w:sz w:val="22"/>
          <w:szCs w:val="22"/>
        </w:rPr>
        <w:t xml:space="preserve"> 4.</w:t>
      </w:r>
    </w:p>
    <w:p w14:paraId="10B66DC8" w14:textId="77777777" w:rsidR="0006393B" w:rsidRPr="00E87295" w:rsidRDefault="0006393B">
      <w:pPr>
        <w:ind w:left="20"/>
        <w:jc w:val="both"/>
        <w:rPr>
          <w:rStyle w:val="BodyText7"/>
          <w:b/>
          <w:bCs/>
          <w:sz w:val="22"/>
          <w:szCs w:val="22"/>
        </w:rPr>
      </w:pPr>
    </w:p>
    <w:p w14:paraId="419E5072" w14:textId="77777777" w:rsidR="0006393B" w:rsidRPr="00E87295" w:rsidRDefault="0006393B">
      <w:pPr>
        <w:ind w:left="900" w:hanging="880"/>
        <w:jc w:val="both"/>
        <w:rPr>
          <w:rStyle w:val="BodyText7"/>
          <w:b/>
          <w:bCs/>
          <w:sz w:val="22"/>
          <w:szCs w:val="22"/>
        </w:rPr>
      </w:pPr>
      <w:proofErr w:type="spellStart"/>
      <w:r w:rsidRPr="00E87295">
        <w:rPr>
          <w:rStyle w:val="BodyText7"/>
          <w:b/>
          <w:bCs/>
          <w:sz w:val="22"/>
          <w:szCs w:val="22"/>
        </w:rPr>
        <w:t>Slika</w:t>
      </w:r>
      <w:proofErr w:type="spellEnd"/>
      <w:r w:rsidRPr="00E87295">
        <w:rPr>
          <w:rStyle w:val="BodyText7"/>
          <w:b/>
          <w:bCs/>
          <w:sz w:val="22"/>
          <w:szCs w:val="22"/>
        </w:rPr>
        <w:t xml:space="preserve"> 4: </w:t>
      </w:r>
      <w:proofErr w:type="spellStart"/>
      <w:r w:rsidRPr="00E87295">
        <w:rPr>
          <w:rStyle w:val="BodyText7"/>
          <w:b/>
          <w:bCs/>
          <w:sz w:val="22"/>
          <w:szCs w:val="22"/>
        </w:rPr>
        <w:t>Procenat</w:t>
      </w:r>
      <w:proofErr w:type="spellEnd"/>
      <w:r w:rsidRPr="00E87295">
        <w:rPr>
          <w:rStyle w:val="BodyText7"/>
          <w:b/>
          <w:bCs/>
          <w:sz w:val="22"/>
          <w:szCs w:val="22"/>
        </w:rPr>
        <w:t xml:space="preserve"> </w:t>
      </w:r>
      <w:proofErr w:type="spellStart"/>
      <w:r w:rsidRPr="00E87295">
        <w:rPr>
          <w:rStyle w:val="BodyText7"/>
          <w:b/>
          <w:bCs/>
          <w:sz w:val="22"/>
          <w:szCs w:val="22"/>
        </w:rPr>
        <w:t>ispitanika</w:t>
      </w:r>
      <w:proofErr w:type="spellEnd"/>
      <w:r w:rsidRPr="00E87295">
        <w:rPr>
          <w:rStyle w:val="BodyText7"/>
          <w:b/>
          <w:bCs/>
          <w:sz w:val="22"/>
          <w:szCs w:val="22"/>
        </w:rPr>
        <w:t xml:space="preserve"> </w:t>
      </w:r>
      <w:proofErr w:type="spellStart"/>
      <w:r w:rsidRPr="00E87295">
        <w:rPr>
          <w:rStyle w:val="BodyText7"/>
          <w:b/>
          <w:bCs/>
          <w:sz w:val="22"/>
          <w:szCs w:val="22"/>
        </w:rPr>
        <w:t>koji</w:t>
      </w:r>
      <w:proofErr w:type="spellEnd"/>
      <w:r w:rsidRPr="00E87295">
        <w:rPr>
          <w:rStyle w:val="BodyText7"/>
          <w:b/>
          <w:bCs/>
          <w:sz w:val="22"/>
          <w:szCs w:val="22"/>
        </w:rPr>
        <w:t xml:space="preserve"> </w:t>
      </w:r>
      <w:proofErr w:type="spellStart"/>
      <w:r w:rsidRPr="00E87295">
        <w:rPr>
          <w:rStyle w:val="BodyText7"/>
          <w:b/>
          <w:bCs/>
          <w:sz w:val="22"/>
          <w:szCs w:val="22"/>
        </w:rPr>
        <w:t>su</w:t>
      </w:r>
      <w:proofErr w:type="spellEnd"/>
      <w:r w:rsidRPr="00E87295">
        <w:rPr>
          <w:rStyle w:val="BodyText7"/>
          <w:b/>
          <w:bCs/>
          <w:sz w:val="22"/>
          <w:szCs w:val="22"/>
        </w:rPr>
        <w:t xml:space="preserve"> </w:t>
      </w:r>
      <w:proofErr w:type="spellStart"/>
      <w:r w:rsidRPr="00E87295">
        <w:rPr>
          <w:rStyle w:val="BodyText7"/>
          <w:b/>
          <w:bCs/>
          <w:sz w:val="22"/>
          <w:szCs w:val="22"/>
        </w:rPr>
        <w:t>postigli</w:t>
      </w:r>
      <w:proofErr w:type="spellEnd"/>
      <w:r w:rsidRPr="00E87295">
        <w:rPr>
          <w:rStyle w:val="BodyText7"/>
          <w:b/>
          <w:bCs/>
          <w:sz w:val="22"/>
          <w:szCs w:val="22"/>
        </w:rPr>
        <w:t xml:space="preserve"> </w:t>
      </w:r>
      <w:proofErr w:type="spellStart"/>
      <w:r w:rsidRPr="00E87295">
        <w:rPr>
          <w:rStyle w:val="BodyText7"/>
          <w:b/>
          <w:bCs/>
          <w:sz w:val="22"/>
          <w:szCs w:val="22"/>
        </w:rPr>
        <w:t>odgovor</w:t>
      </w:r>
      <w:proofErr w:type="spellEnd"/>
      <w:r w:rsidRPr="00E87295">
        <w:rPr>
          <w:rStyle w:val="BodyText7"/>
          <w:b/>
          <w:bCs/>
          <w:sz w:val="22"/>
          <w:szCs w:val="22"/>
        </w:rPr>
        <w:t xml:space="preserve"> PASI 90 </w:t>
      </w:r>
      <w:proofErr w:type="spellStart"/>
      <w:r w:rsidRPr="00E87295">
        <w:rPr>
          <w:rStyle w:val="BodyText7"/>
          <w:b/>
          <w:bCs/>
          <w:sz w:val="22"/>
          <w:szCs w:val="22"/>
        </w:rPr>
        <w:t>tokom</w:t>
      </w:r>
      <w:proofErr w:type="spellEnd"/>
      <w:r w:rsidRPr="00E87295">
        <w:rPr>
          <w:rStyle w:val="BodyText7"/>
          <w:b/>
          <w:bCs/>
          <w:sz w:val="22"/>
          <w:szCs w:val="22"/>
        </w:rPr>
        <w:t xml:space="preserve"> 48. </w:t>
      </w:r>
      <w:proofErr w:type="spellStart"/>
      <w:r w:rsidRPr="00E87295">
        <w:rPr>
          <w:rStyle w:val="BodyText7"/>
          <w:b/>
          <w:bCs/>
          <w:sz w:val="22"/>
          <w:szCs w:val="22"/>
        </w:rPr>
        <w:t>ned</w:t>
      </w:r>
      <w:r w:rsidR="004C56CA" w:rsidRPr="00E87295">
        <w:rPr>
          <w:rStyle w:val="BodyText7"/>
          <w:b/>
          <w:bCs/>
          <w:sz w:val="22"/>
          <w:szCs w:val="22"/>
        </w:rPr>
        <w:t>j</w:t>
      </w:r>
      <w:r w:rsidRPr="00E87295">
        <w:rPr>
          <w:rStyle w:val="BodyText7"/>
          <w:b/>
          <w:bCs/>
          <w:sz w:val="22"/>
          <w:szCs w:val="22"/>
        </w:rPr>
        <w:t>elje</w:t>
      </w:r>
      <w:proofErr w:type="spellEnd"/>
      <w:r w:rsidRPr="00E87295">
        <w:rPr>
          <w:rStyle w:val="BodyText7"/>
          <w:b/>
          <w:bCs/>
          <w:sz w:val="22"/>
          <w:szCs w:val="22"/>
        </w:rPr>
        <w:t xml:space="preserve"> </w:t>
      </w:r>
      <w:proofErr w:type="spellStart"/>
      <w:r w:rsidRPr="00E87295">
        <w:rPr>
          <w:rStyle w:val="BodyText7"/>
          <w:b/>
          <w:bCs/>
          <w:sz w:val="22"/>
          <w:szCs w:val="22"/>
        </w:rPr>
        <w:t>po</w:t>
      </w:r>
      <w:proofErr w:type="spellEnd"/>
      <w:r w:rsidRPr="00E87295">
        <w:rPr>
          <w:rStyle w:val="BodyText7"/>
          <w:b/>
          <w:bCs/>
          <w:sz w:val="22"/>
          <w:szCs w:val="22"/>
        </w:rPr>
        <w:t xml:space="preserve"> </w:t>
      </w:r>
      <w:proofErr w:type="spellStart"/>
      <w:r w:rsidRPr="00E87295">
        <w:rPr>
          <w:rStyle w:val="BodyText7"/>
          <w:b/>
          <w:bCs/>
          <w:sz w:val="22"/>
          <w:szCs w:val="22"/>
        </w:rPr>
        <w:t>pos</w:t>
      </w:r>
      <w:r w:rsidR="004C56CA" w:rsidRPr="00E87295">
        <w:rPr>
          <w:rStyle w:val="BodyText7"/>
          <w:b/>
          <w:bCs/>
          <w:sz w:val="22"/>
          <w:szCs w:val="22"/>
        </w:rPr>
        <w:t>j</w:t>
      </w:r>
      <w:r w:rsidRPr="00E87295">
        <w:rPr>
          <w:rStyle w:val="BodyText7"/>
          <w:b/>
          <w:bCs/>
          <w:sz w:val="22"/>
          <w:szCs w:val="22"/>
        </w:rPr>
        <w:t>eti</w:t>
      </w:r>
      <w:proofErr w:type="spellEnd"/>
      <w:r w:rsidRPr="00E87295">
        <w:rPr>
          <w:rStyle w:val="BodyText7"/>
          <w:b/>
          <w:bCs/>
          <w:sz w:val="22"/>
          <w:szCs w:val="22"/>
        </w:rPr>
        <w:t xml:space="preserve"> (</w:t>
      </w:r>
      <w:proofErr w:type="spellStart"/>
      <w:r w:rsidRPr="00E87295">
        <w:rPr>
          <w:rStyle w:val="BodyText7"/>
          <w:b/>
          <w:bCs/>
          <w:sz w:val="22"/>
          <w:szCs w:val="22"/>
        </w:rPr>
        <w:t>ispitanici</w:t>
      </w:r>
      <w:proofErr w:type="spellEnd"/>
      <w:r w:rsidRPr="00E87295">
        <w:rPr>
          <w:rStyle w:val="BodyText7"/>
          <w:b/>
          <w:bCs/>
          <w:sz w:val="22"/>
          <w:szCs w:val="22"/>
        </w:rPr>
        <w:t xml:space="preserve"> </w:t>
      </w:r>
      <w:proofErr w:type="spellStart"/>
      <w:r w:rsidRPr="00E87295">
        <w:rPr>
          <w:rStyle w:val="BodyText7"/>
          <w:b/>
          <w:bCs/>
          <w:sz w:val="22"/>
          <w:szCs w:val="22"/>
        </w:rPr>
        <w:t>randomizovani</w:t>
      </w:r>
      <w:proofErr w:type="spellEnd"/>
      <w:r w:rsidRPr="00E87295">
        <w:rPr>
          <w:rStyle w:val="BodyText7"/>
          <w:b/>
          <w:bCs/>
          <w:sz w:val="22"/>
          <w:szCs w:val="22"/>
        </w:rPr>
        <w:t xml:space="preserve"> u 0. </w:t>
      </w:r>
      <w:proofErr w:type="spellStart"/>
      <w:r w:rsidRPr="00E87295">
        <w:rPr>
          <w:rStyle w:val="BodyText7"/>
          <w:b/>
          <w:bCs/>
          <w:sz w:val="22"/>
          <w:szCs w:val="22"/>
        </w:rPr>
        <w:t>ned</w:t>
      </w:r>
      <w:r w:rsidR="004C56CA" w:rsidRPr="00E87295">
        <w:rPr>
          <w:rStyle w:val="BodyText7"/>
          <w:b/>
          <w:bCs/>
          <w:sz w:val="22"/>
          <w:szCs w:val="22"/>
        </w:rPr>
        <w:t>j</w:t>
      </w:r>
      <w:r w:rsidRPr="00E87295">
        <w:rPr>
          <w:rStyle w:val="BodyText7"/>
          <w:b/>
          <w:bCs/>
          <w:sz w:val="22"/>
          <w:szCs w:val="22"/>
        </w:rPr>
        <w:t>elji</w:t>
      </w:r>
      <w:proofErr w:type="spellEnd"/>
      <w:r w:rsidRPr="00E87295">
        <w:rPr>
          <w:rStyle w:val="BodyText7"/>
          <w:b/>
          <w:bCs/>
          <w:sz w:val="22"/>
          <w:szCs w:val="22"/>
        </w:rPr>
        <w:t xml:space="preserve">) u </w:t>
      </w:r>
      <w:proofErr w:type="spellStart"/>
      <w:r w:rsidRPr="00E87295">
        <w:rPr>
          <w:rStyle w:val="BodyText7"/>
          <w:b/>
          <w:bCs/>
          <w:sz w:val="22"/>
          <w:szCs w:val="22"/>
        </w:rPr>
        <w:t>ispitivanju</w:t>
      </w:r>
      <w:proofErr w:type="spellEnd"/>
      <w:r w:rsidRPr="00E87295">
        <w:rPr>
          <w:rStyle w:val="BodyText7"/>
          <w:b/>
          <w:bCs/>
          <w:sz w:val="22"/>
          <w:szCs w:val="22"/>
        </w:rPr>
        <w:t xml:space="preserve"> ECLIPSE</w:t>
      </w:r>
    </w:p>
    <w:p w14:paraId="7181077E" w14:textId="77777777" w:rsidR="0006393B" w:rsidRPr="00E87295" w:rsidRDefault="0006393B">
      <w:pPr>
        <w:ind w:left="900" w:hanging="880"/>
        <w:jc w:val="both"/>
        <w:rPr>
          <w:rStyle w:val="BodyText7"/>
          <w:b/>
          <w:bCs/>
          <w:sz w:val="22"/>
          <w:szCs w:val="22"/>
        </w:rPr>
      </w:pPr>
    </w:p>
    <w:p w14:paraId="7E09640E" w14:textId="77777777" w:rsidR="0006393B" w:rsidRPr="00E87295" w:rsidRDefault="0006393B">
      <w:pPr>
        <w:ind w:left="900" w:hanging="880"/>
        <w:jc w:val="both"/>
        <w:rPr>
          <w:rStyle w:val="BodyText7"/>
          <w:b/>
          <w:bCs/>
          <w:sz w:val="22"/>
          <w:szCs w:val="22"/>
        </w:rPr>
      </w:pPr>
      <w:r w:rsidRPr="00E87295">
        <w:rPr>
          <w:noProof/>
          <w:sz w:val="22"/>
          <w:szCs w:val="22"/>
        </w:rPr>
        <w:lastRenderedPageBreak/>
        <w:drawing>
          <wp:inline distT="0" distB="0" distL="0" distR="0" wp14:anchorId="1F41FCEB" wp14:editId="419075B9">
            <wp:extent cx="4873925" cy="3343928"/>
            <wp:effectExtent l="0" t="0" r="317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1371" t="26485" r="26861" b="10377"/>
                    <a:stretch/>
                  </pic:blipFill>
                  <pic:spPr bwMode="auto">
                    <a:xfrm>
                      <a:off x="0" y="0"/>
                      <a:ext cx="4888398" cy="3353858"/>
                    </a:xfrm>
                    <a:prstGeom prst="rect">
                      <a:avLst/>
                    </a:prstGeom>
                    <a:ln>
                      <a:noFill/>
                    </a:ln>
                    <a:extLst>
                      <a:ext uri="{53640926-AAD7-44D8-BBD7-CCE9431645EC}">
                        <a14:shadowObscured xmlns:a14="http://schemas.microsoft.com/office/drawing/2010/main"/>
                      </a:ext>
                    </a:extLst>
                  </pic:spPr>
                </pic:pic>
              </a:graphicData>
            </a:graphic>
          </wp:inline>
        </w:drawing>
      </w:r>
    </w:p>
    <w:p w14:paraId="495073E2" w14:textId="77777777" w:rsidR="0006393B" w:rsidRPr="00E87295" w:rsidRDefault="0006393B">
      <w:pPr>
        <w:ind w:left="20"/>
        <w:jc w:val="both"/>
        <w:rPr>
          <w:rStyle w:val="BodyText7"/>
          <w:sz w:val="22"/>
          <w:szCs w:val="22"/>
        </w:rPr>
      </w:pPr>
    </w:p>
    <w:p w14:paraId="22171BCF" w14:textId="77777777" w:rsidR="001A5B54" w:rsidRPr="00E87295" w:rsidRDefault="001A5B54" w:rsidP="00E87295">
      <w:pPr>
        <w:keepNext/>
        <w:jc w:val="both"/>
        <w:rPr>
          <w:bCs/>
          <w:i/>
          <w:iCs/>
          <w:sz w:val="22"/>
          <w:szCs w:val="22"/>
          <w:u w:val="single"/>
          <w:lang w:val="sr-Latn-RS"/>
        </w:rPr>
      </w:pPr>
      <w:r w:rsidRPr="00E87295">
        <w:rPr>
          <w:bCs/>
          <w:i/>
          <w:iCs/>
          <w:sz w:val="22"/>
          <w:szCs w:val="22"/>
          <w:u w:val="single"/>
          <w:lang w:val="sr-Latn-RS"/>
        </w:rPr>
        <w:t>Psorijatični artritis (PsA)</w:t>
      </w:r>
    </w:p>
    <w:p w14:paraId="6B92977C" w14:textId="77777777" w:rsidR="001A5B54" w:rsidRPr="00E87295" w:rsidRDefault="001A5B54" w:rsidP="00E87295">
      <w:pPr>
        <w:autoSpaceDE w:val="0"/>
        <w:autoSpaceDN w:val="0"/>
        <w:adjustRightInd w:val="0"/>
        <w:jc w:val="both"/>
        <w:rPr>
          <w:rFonts w:eastAsia="TimesNewRoman"/>
          <w:sz w:val="22"/>
          <w:szCs w:val="22"/>
          <w:lang w:val="sr-Latn-RS" w:eastAsia="zh-TW"/>
        </w:rPr>
      </w:pPr>
      <w:r w:rsidRPr="00E87295">
        <w:rPr>
          <w:rFonts w:eastAsia="TimesNewRoman"/>
          <w:sz w:val="22"/>
          <w:szCs w:val="22"/>
          <w:lang w:val="sr-Latn-RS" w:eastAsia="zh-TW"/>
        </w:rPr>
        <w:t>Pokazano je da guselkumab ublažava znake i simptome, poboljšava fizičku funkciju i kvalitet života povezan sa zdravljem, a smanjuje brzinu progresivnog oštećenja perifernih zglobova kod odraslih pacijenata sa  aktivnim PsA.</w:t>
      </w:r>
    </w:p>
    <w:p w14:paraId="71CA4E3B" w14:textId="77777777" w:rsidR="001A5B54" w:rsidRPr="00E87295" w:rsidRDefault="001A5B54" w:rsidP="00E87295">
      <w:pPr>
        <w:autoSpaceDE w:val="0"/>
        <w:autoSpaceDN w:val="0"/>
        <w:adjustRightInd w:val="0"/>
        <w:jc w:val="both"/>
        <w:rPr>
          <w:rFonts w:eastAsia="TimesNewRoman"/>
          <w:sz w:val="22"/>
          <w:szCs w:val="22"/>
          <w:lang w:val="sr-Latn-RS" w:eastAsia="zh-TW"/>
        </w:rPr>
      </w:pPr>
    </w:p>
    <w:p w14:paraId="792813B5" w14:textId="77777777" w:rsidR="001A5B54" w:rsidRPr="00E87295" w:rsidRDefault="001A5B54" w:rsidP="00E87295">
      <w:pPr>
        <w:keepNext/>
        <w:jc w:val="both"/>
        <w:rPr>
          <w:i/>
          <w:sz w:val="22"/>
          <w:szCs w:val="22"/>
          <w:lang w:val="sr-Latn-RS"/>
        </w:rPr>
      </w:pPr>
      <w:r w:rsidRPr="00E87295">
        <w:rPr>
          <w:i/>
          <w:sz w:val="22"/>
          <w:szCs w:val="22"/>
          <w:lang w:val="sr-Latn-RS"/>
        </w:rPr>
        <w:t>DISCOVER 1 i DISCOVER 2</w:t>
      </w:r>
    </w:p>
    <w:p w14:paraId="118904B6" w14:textId="1706A4A6" w:rsidR="001A5B54" w:rsidRPr="00E87295" w:rsidRDefault="001A5B54" w:rsidP="00E87295">
      <w:pPr>
        <w:jc w:val="both"/>
        <w:rPr>
          <w:sz w:val="22"/>
          <w:szCs w:val="22"/>
          <w:lang w:val="sr-Latn-RS" w:eastAsia="zh-TW"/>
        </w:rPr>
      </w:pPr>
      <w:r w:rsidRPr="00E87295">
        <w:rPr>
          <w:sz w:val="22"/>
          <w:szCs w:val="22"/>
          <w:lang w:val="sr-Latn-RS"/>
        </w:rPr>
        <w:t>Dv</w:t>
      </w:r>
      <w:r w:rsidR="00CF51A4" w:rsidRPr="00E87295">
        <w:rPr>
          <w:sz w:val="22"/>
          <w:szCs w:val="22"/>
          <w:lang w:val="sr-Latn-RS"/>
        </w:rPr>
        <w:t>ij</w:t>
      </w:r>
      <w:r w:rsidRPr="00E87295">
        <w:rPr>
          <w:sz w:val="22"/>
          <w:szCs w:val="22"/>
          <w:lang w:val="sr-Latn-RS"/>
        </w:rPr>
        <w:t>e randomizovane, dvostruko sl</w:t>
      </w:r>
      <w:r w:rsidR="00CF51A4" w:rsidRPr="00E87295">
        <w:rPr>
          <w:sz w:val="22"/>
          <w:szCs w:val="22"/>
          <w:lang w:val="sr-Latn-RS"/>
        </w:rPr>
        <w:t>ij</w:t>
      </w:r>
      <w:r w:rsidRPr="00E87295">
        <w:rPr>
          <w:sz w:val="22"/>
          <w:szCs w:val="22"/>
          <w:lang w:val="sr-Latn-RS"/>
        </w:rPr>
        <w:t>epe, placebom kontrolisane studije III faze (DISCOVER 1 i DISCOVER 2) proc</w:t>
      </w:r>
      <w:r w:rsidR="00CF51A4" w:rsidRPr="00E87295">
        <w:rPr>
          <w:sz w:val="22"/>
          <w:szCs w:val="22"/>
          <w:lang w:val="sr-Latn-RS"/>
        </w:rPr>
        <w:t>j</w:t>
      </w:r>
      <w:r w:rsidRPr="00E87295">
        <w:rPr>
          <w:sz w:val="22"/>
          <w:szCs w:val="22"/>
          <w:lang w:val="sr-Latn-RS"/>
        </w:rPr>
        <w:t>enjivale su efikasnost i bezb</w:t>
      </w:r>
      <w:r w:rsidR="00CF51A4" w:rsidRPr="00E87295">
        <w:rPr>
          <w:sz w:val="22"/>
          <w:szCs w:val="22"/>
          <w:lang w:val="sr-Latn-RS"/>
        </w:rPr>
        <w:t>j</w:t>
      </w:r>
      <w:r w:rsidRPr="00E87295">
        <w:rPr>
          <w:sz w:val="22"/>
          <w:szCs w:val="22"/>
          <w:lang w:val="sr-Latn-RS"/>
        </w:rPr>
        <w:t xml:space="preserve">ednost guselkumaba u poređenju sa placebom </w:t>
      </w:r>
      <w:r w:rsidRPr="00E87295">
        <w:rPr>
          <w:rFonts w:eastAsia="TimesNewRoman"/>
          <w:sz w:val="22"/>
          <w:szCs w:val="22"/>
          <w:lang w:val="sr-Latn-RS" w:eastAsia="zh-TW"/>
        </w:rPr>
        <w:t xml:space="preserve">kod odraslih pacijenata sa </w:t>
      </w:r>
      <w:r w:rsidRPr="00E87295">
        <w:rPr>
          <w:sz w:val="22"/>
          <w:szCs w:val="22"/>
          <w:lang w:val="sr-Latn-RS"/>
        </w:rPr>
        <w:t>aktivnim PsA (≥ 3 otečena i ≥ 3 bolno os</w:t>
      </w:r>
      <w:r w:rsidR="00CF51A4" w:rsidRPr="00E87295">
        <w:rPr>
          <w:sz w:val="22"/>
          <w:szCs w:val="22"/>
          <w:lang w:val="sr-Latn-RS"/>
        </w:rPr>
        <w:t>j</w:t>
      </w:r>
      <w:r w:rsidRPr="00E87295">
        <w:rPr>
          <w:sz w:val="22"/>
          <w:szCs w:val="22"/>
          <w:lang w:val="sr-Latn-RS"/>
        </w:rPr>
        <w:t>etljiva zgloba, i nivo C-reaktivnog proteina (CRP) ≥ 0,3 mg/d</w:t>
      </w:r>
      <w:r w:rsidR="0014708F" w:rsidRPr="00E87295">
        <w:rPr>
          <w:sz w:val="22"/>
          <w:szCs w:val="22"/>
          <w:lang w:val="sr-Latn-RS"/>
        </w:rPr>
        <w:t>l</w:t>
      </w:r>
      <w:r w:rsidRPr="00E87295">
        <w:rPr>
          <w:sz w:val="22"/>
          <w:szCs w:val="22"/>
          <w:lang w:val="sr-Latn-RS"/>
        </w:rPr>
        <w:t xml:space="preserve"> u studiji DISCOVER 1, odnosno ≥ 5 otečenih i ≥ 5 bolno os</w:t>
      </w:r>
      <w:r w:rsidR="00CF51A4" w:rsidRPr="00E87295">
        <w:rPr>
          <w:sz w:val="22"/>
          <w:szCs w:val="22"/>
          <w:lang w:val="sr-Latn-RS"/>
        </w:rPr>
        <w:t>j</w:t>
      </w:r>
      <w:r w:rsidRPr="00E87295">
        <w:rPr>
          <w:sz w:val="22"/>
          <w:szCs w:val="22"/>
          <w:lang w:val="sr-Latn-RS"/>
        </w:rPr>
        <w:t>etljivih zglobova, i nivo C-reaktivnog proteina ≥ 0,6 mg/d</w:t>
      </w:r>
      <w:r w:rsidR="0014708F" w:rsidRPr="00E87295">
        <w:rPr>
          <w:sz w:val="22"/>
          <w:szCs w:val="22"/>
          <w:lang w:val="sr-Latn-RS"/>
        </w:rPr>
        <w:t>l</w:t>
      </w:r>
      <w:r w:rsidRPr="00E87295">
        <w:rPr>
          <w:sz w:val="22"/>
          <w:szCs w:val="22"/>
          <w:lang w:val="sr-Latn-RS"/>
        </w:rPr>
        <w:t xml:space="preserve"> u studiji DISCOVER 2), uprkos konvencionalnoj terapiji sintetičkim (engl. </w:t>
      </w:r>
      <w:r w:rsidRPr="00E87295">
        <w:rPr>
          <w:i/>
          <w:sz w:val="22"/>
          <w:szCs w:val="22"/>
          <w:lang w:val="sr-Latn-RS"/>
        </w:rPr>
        <w:t>conventional synthetic</w:t>
      </w:r>
      <w:r w:rsidRPr="00E87295">
        <w:rPr>
          <w:sz w:val="22"/>
          <w:szCs w:val="22"/>
          <w:lang w:val="sr-Latn-RS"/>
        </w:rPr>
        <w:t xml:space="preserve"> </w:t>
      </w:r>
      <w:r w:rsidR="0014708F" w:rsidRPr="00E87295">
        <w:rPr>
          <w:sz w:val="22"/>
          <w:szCs w:val="22"/>
          <w:lang w:val="sr-Latn-RS"/>
        </w:rPr>
        <w:t>DMARD,</w:t>
      </w:r>
      <w:r w:rsidRPr="00E87295">
        <w:rPr>
          <w:sz w:val="22"/>
          <w:szCs w:val="22"/>
          <w:lang w:val="sr-Latn-RS"/>
        </w:rPr>
        <w:t xml:space="preserve"> csDMARD</w:t>
      </w:r>
      <w:r w:rsidR="0014708F" w:rsidRPr="00E87295">
        <w:rPr>
          <w:sz w:val="22"/>
          <w:szCs w:val="22"/>
          <w:lang w:val="sr-Latn-RS"/>
        </w:rPr>
        <w:t>)</w:t>
      </w:r>
      <w:r w:rsidRPr="00E87295">
        <w:rPr>
          <w:sz w:val="22"/>
          <w:szCs w:val="22"/>
          <w:lang w:val="sr-Latn-RS"/>
        </w:rPr>
        <w:t>, apremilastom, ili nesteroidnim anti</w:t>
      </w:r>
      <w:r w:rsidRPr="00E87295">
        <w:rPr>
          <w:sz w:val="22"/>
          <w:szCs w:val="22"/>
          <w:lang w:val="sr-Latn-RS"/>
        </w:rPr>
        <w:noBreakHyphen/>
        <w:t>inflamatornim l</w:t>
      </w:r>
      <w:r w:rsidR="00CF51A4" w:rsidRPr="00E87295">
        <w:rPr>
          <w:sz w:val="22"/>
          <w:szCs w:val="22"/>
          <w:lang w:val="sr-Latn-RS"/>
        </w:rPr>
        <w:t>j</w:t>
      </w:r>
      <w:r w:rsidRPr="00E87295">
        <w:rPr>
          <w:sz w:val="22"/>
          <w:szCs w:val="22"/>
          <w:lang w:val="sr-Latn-RS"/>
        </w:rPr>
        <w:t>ekovima (NSAI</w:t>
      </w:r>
      <w:r w:rsidR="0014708F" w:rsidRPr="00E87295">
        <w:rPr>
          <w:sz w:val="22"/>
          <w:szCs w:val="22"/>
          <w:lang w:val="sr-Latn-RS"/>
        </w:rPr>
        <w:t>L</w:t>
      </w:r>
      <w:r w:rsidRPr="00E87295">
        <w:rPr>
          <w:sz w:val="22"/>
          <w:szCs w:val="22"/>
          <w:lang w:val="sr-Latn-RS"/>
        </w:rPr>
        <w:t xml:space="preserve">). Pacijenti u ovim studijama imali su dijagnozu PsA na osnovu Kriterijuma za klasifikaciju psorijatičnog </w:t>
      </w:r>
      <w:r w:rsidRPr="00E87295">
        <w:rPr>
          <w:sz w:val="22"/>
          <w:szCs w:val="22"/>
          <w:lang w:val="sr-Latn-RS" w:eastAsia="zh-TW"/>
        </w:rPr>
        <w:t xml:space="preserve"> artritisa </w:t>
      </w:r>
      <w:r w:rsidR="0014708F" w:rsidRPr="00E87295">
        <w:rPr>
          <w:sz w:val="22"/>
          <w:szCs w:val="22"/>
          <w:lang w:val="sr-Latn-RS" w:eastAsia="zh-TW"/>
        </w:rPr>
        <w:t xml:space="preserve">(engl. </w:t>
      </w:r>
      <w:r w:rsidR="0014708F" w:rsidRPr="00E87295">
        <w:rPr>
          <w:i/>
          <w:sz w:val="22"/>
          <w:szCs w:val="22"/>
          <w:lang w:val="sr-Latn-RS" w:eastAsia="zh-TW"/>
        </w:rPr>
        <w:t>Classification criteria for Psoriatic Arthritis</w:t>
      </w:r>
      <w:r w:rsidR="0014708F" w:rsidRPr="00E87295">
        <w:rPr>
          <w:sz w:val="22"/>
          <w:szCs w:val="22"/>
          <w:lang w:val="sr-Latn-RS" w:eastAsia="zh-TW"/>
        </w:rPr>
        <w:t xml:space="preserve">, </w:t>
      </w:r>
      <w:r w:rsidRPr="00E87295">
        <w:rPr>
          <w:sz w:val="22"/>
          <w:szCs w:val="22"/>
          <w:lang w:val="sr-Latn-RS" w:eastAsia="zh-TW"/>
        </w:rPr>
        <w:t>CASPAR</w:t>
      </w:r>
      <w:r w:rsidRPr="00E87295">
        <w:rPr>
          <w:sz w:val="22"/>
          <w:szCs w:val="22"/>
          <w:lang w:val="sr-Latn-RS"/>
        </w:rPr>
        <w:t xml:space="preserve">) sa medijanom trajanja </w:t>
      </w:r>
      <w:r w:rsidR="0014708F" w:rsidRPr="00E87295">
        <w:rPr>
          <w:sz w:val="22"/>
          <w:szCs w:val="22"/>
          <w:lang w:val="sr-Latn-RS"/>
        </w:rPr>
        <w:t xml:space="preserve">bolesti </w:t>
      </w:r>
      <w:r w:rsidRPr="00E87295">
        <w:rPr>
          <w:sz w:val="22"/>
          <w:szCs w:val="22"/>
          <w:lang w:val="sr-Latn-RS"/>
        </w:rPr>
        <w:t>od 4 godine. Pacijenti sa različitim podtipovima PsA bili su uključivani u ob</w:t>
      </w:r>
      <w:r w:rsidR="00CF51A4" w:rsidRPr="00E87295">
        <w:rPr>
          <w:sz w:val="22"/>
          <w:szCs w:val="22"/>
          <w:lang w:val="sr-Latn-RS"/>
        </w:rPr>
        <w:t>j</w:t>
      </w:r>
      <w:r w:rsidRPr="00E87295">
        <w:rPr>
          <w:sz w:val="22"/>
          <w:szCs w:val="22"/>
          <w:lang w:val="sr-Latn-RS"/>
        </w:rPr>
        <w:t xml:space="preserve">e studije, uključujući poliartikularni artritis bez reumatoidnih čvorova (40%), spondilitis sa perifernim artritisom (30%), asimetrični periferni artritis (23%), distalnu interfalangealnu zahvaćenost (7%) i </w:t>
      </w:r>
      <w:r w:rsidRPr="00E87295">
        <w:rPr>
          <w:i/>
          <w:sz w:val="22"/>
          <w:szCs w:val="22"/>
          <w:lang w:val="sr-Latn-RS"/>
        </w:rPr>
        <w:t>artritis mutilans</w:t>
      </w:r>
      <w:r w:rsidRPr="00E87295">
        <w:rPr>
          <w:sz w:val="22"/>
          <w:szCs w:val="22"/>
          <w:lang w:val="sr-Latn-RS"/>
        </w:rPr>
        <w:t xml:space="preserve"> (1%). Na početku studije, preko 65% pacijenata je imalo entezitis, a preko 42% daktilitis, a, preko  75% pacijenata imalo je ≥ 3% BSA zahvaćenosti kože psorijazom. U studiji DISCOVER 1 proc</w:t>
      </w:r>
      <w:r w:rsidR="00CF51A4" w:rsidRPr="00E87295">
        <w:rPr>
          <w:sz w:val="22"/>
          <w:szCs w:val="22"/>
          <w:lang w:val="sr-Latn-RS"/>
        </w:rPr>
        <w:t>j</w:t>
      </w:r>
      <w:r w:rsidRPr="00E87295">
        <w:rPr>
          <w:sz w:val="22"/>
          <w:szCs w:val="22"/>
          <w:lang w:val="sr-Latn-RS"/>
        </w:rPr>
        <w:t>enjivan je 381 pacijent, a u DISCOVER 2 proc</w:t>
      </w:r>
      <w:r w:rsidR="00CF51A4" w:rsidRPr="00E87295">
        <w:rPr>
          <w:sz w:val="22"/>
          <w:szCs w:val="22"/>
          <w:lang w:val="sr-Latn-RS"/>
        </w:rPr>
        <w:t>j</w:t>
      </w:r>
      <w:r w:rsidRPr="00E87295">
        <w:rPr>
          <w:sz w:val="22"/>
          <w:szCs w:val="22"/>
          <w:lang w:val="sr-Latn-RS"/>
        </w:rPr>
        <w:t>enjivano je 739 pacijenata, koji su primali terapiju guselkumabom 100 mg prim</w:t>
      </w:r>
      <w:r w:rsidR="0014708F" w:rsidRPr="00E87295">
        <w:rPr>
          <w:sz w:val="22"/>
          <w:szCs w:val="22"/>
          <w:lang w:val="sr-Latn-RS"/>
        </w:rPr>
        <w:t>i</w:t>
      </w:r>
      <w:r w:rsidR="00CF51A4" w:rsidRPr="00E87295">
        <w:rPr>
          <w:sz w:val="22"/>
          <w:szCs w:val="22"/>
          <w:lang w:val="sr-Latn-RS"/>
        </w:rPr>
        <w:t>j</w:t>
      </w:r>
      <w:r w:rsidRPr="00E87295">
        <w:rPr>
          <w:sz w:val="22"/>
          <w:szCs w:val="22"/>
          <w:lang w:val="sr-Latn-RS"/>
        </w:rPr>
        <w:t>enjenu nulte (0.) i 4. ned</w:t>
      </w:r>
      <w:r w:rsidR="00CF51A4" w:rsidRPr="00E87295">
        <w:rPr>
          <w:sz w:val="22"/>
          <w:szCs w:val="22"/>
          <w:lang w:val="sr-Latn-RS"/>
        </w:rPr>
        <w:t>j</w:t>
      </w:r>
      <w:r w:rsidRPr="00E87295">
        <w:rPr>
          <w:sz w:val="22"/>
          <w:szCs w:val="22"/>
          <w:lang w:val="sr-Latn-RS"/>
        </w:rPr>
        <w:t>elje, a potom na svakih 8 ned</w:t>
      </w:r>
      <w:r w:rsidR="00CF51A4" w:rsidRPr="00E87295">
        <w:rPr>
          <w:sz w:val="22"/>
          <w:szCs w:val="22"/>
          <w:lang w:val="sr-Latn-RS"/>
        </w:rPr>
        <w:t>j</w:t>
      </w:r>
      <w:r w:rsidRPr="00E87295">
        <w:rPr>
          <w:sz w:val="22"/>
          <w:szCs w:val="22"/>
          <w:lang w:val="sr-Latn-RS"/>
        </w:rPr>
        <w:t>elja ili guselkumab 100 mg na svake 4</w:t>
      </w:r>
      <w:r w:rsidR="0014708F" w:rsidRPr="00E87295">
        <w:rPr>
          <w:sz w:val="22"/>
          <w:szCs w:val="22"/>
          <w:lang w:val="sr-Latn-RS"/>
        </w:rPr>
        <w:t>.</w:t>
      </w:r>
      <w:r w:rsidRPr="00E87295">
        <w:rPr>
          <w:sz w:val="22"/>
          <w:szCs w:val="22"/>
          <w:lang w:val="sr-Latn-RS"/>
        </w:rPr>
        <w:t xml:space="preserve"> ned</w:t>
      </w:r>
      <w:r w:rsidR="00CF51A4" w:rsidRPr="00E87295">
        <w:rPr>
          <w:sz w:val="22"/>
          <w:szCs w:val="22"/>
          <w:lang w:val="sr-Latn-RS"/>
        </w:rPr>
        <w:t>j</w:t>
      </w:r>
      <w:r w:rsidRPr="00E87295">
        <w:rPr>
          <w:sz w:val="22"/>
          <w:szCs w:val="22"/>
          <w:lang w:val="sr-Latn-RS"/>
        </w:rPr>
        <w:t xml:space="preserve">elje, ili placebo. </w:t>
      </w:r>
      <w:r w:rsidR="007671AA" w:rsidRPr="00E87295">
        <w:rPr>
          <w:sz w:val="22"/>
          <w:szCs w:val="22"/>
          <w:lang w:val="sr-Latn-RS"/>
        </w:rPr>
        <w:t>U 24. nedelji ispitanici iz oba ispitivanja koji su primali placebo prešli su na guselkumab u dozi od 100 mg na svake 4 ned</w:t>
      </w:r>
      <w:r w:rsidR="0014708F" w:rsidRPr="00E87295">
        <w:rPr>
          <w:sz w:val="22"/>
          <w:szCs w:val="22"/>
          <w:lang w:val="sr-Latn-RS"/>
        </w:rPr>
        <w:t>j</w:t>
      </w:r>
      <w:r w:rsidR="007671AA" w:rsidRPr="00E87295">
        <w:rPr>
          <w:sz w:val="22"/>
          <w:szCs w:val="22"/>
          <w:lang w:val="sr-Latn-RS"/>
        </w:rPr>
        <w:t xml:space="preserve">elje. </w:t>
      </w:r>
      <w:r w:rsidRPr="00E87295">
        <w:rPr>
          <w:sz w:val="22"/>
          <w:szCs w:val="22"/>
          <w:lang w:val="sr-Latn-RS"/>
        </w:rPr>
        <w:t>Približno 58% pacijenata u ob</w:t>
      </w:r>
      <w:r w:rsidR="00CF51A4" w:rsidRPr="00E87295">
        <w:rPr>
          <w:sz w:val="22"/>
          <w:szCs w:val="22"/>
          <w:lang w:val="sr-Latn-RS"/>
        </w:rPr>
        <w:t>j</w:t>
      </w:r>
      <w:r w:rsidRPr="00E87295">
        <w:rPr>
          <w:sz w:val="22"/>
          <w:szCs w:val="22"/>
          <w:lang w:val="sr-Latn-RS"/>
        </w:rPr>
        <w:t>e studije nastavilo je da prima stabilne doze MTX (≤ 25 mg/ned</w:t>
      </w:r>
      <w:r w:rsidR="0014708F" w:rsidRPr="00E87295">
        <w:rPr>
          <w:sz w:val="22"/>
          <w:szCs w:val="22"/>
          <w:lang w:val="sr-Latn-RS"/>
        </w:rPr>
        <w:t>j</w:t>
      </w:r>
      <w:r w:rsidRPr="00E87295">
        <w:rPr>
          <w:sz w:val="22"/>
          <w:szCs w:val="22"/>
          <w:lang w:val="sr-Latn-RS"/>
        </w:rPr>
        <w:t>eljno).</w:t>
      </w:r>
    </w:p>
    <w:p w14:paraId="50867AA1" w14:textId="77777777" w:rsidR="001A5B54" w:rsidRPr="00E87295" w:rsidRDefault="001A5B54" w:rsidP="00E87295">
      <w:pPr>
        <w:jc w:val="both"/>
        <w:rPr>
          <w:sz w:val="22"/>
          <w:szCs w:val="22"/>
          <w:lang w:val="sr-Latn-RS"/>
        </w:rPr>
      </w:pPr>
    </w:p>
    <w:p w14:paraId="521B5B63" w14:textId="70CE1466" w:rsidR="001A5B54" w:rsidRPr="00E87295" w:rsidRDefault="001A5B54" w:rsidP="00E87295">
      <w:pPr>
        <w:jc w:val="both"/>
        <w:rPr>
          <w:sz w:val="22"/>
          <w:szCs w:val="22"/>
          <w:lang w:val="sr-Latn-RS"/>
        </w:rPr>
      </w:pPr>
      <w:r w:rsidRPr="00E87295">
        <w:rPr>
          <w:sz w:val="22"/>
          <w:szCs w:val="22"/>
          <w:lang w:val="sr-Latn-RS"/>
        </w:rPr>
        <w:t>U ob</w:t>
      </w:r>
      <w:r w:rsidR="00CF51A4" w:rsidRPr="00E87295">
        <w:rPr>
          <w:sz w:val="22"/>
          <w:szCs w:val="22"/>
          <w:lang w:val="sr-Latn-RS"/>
        </w:rPr>
        <w:t>j</w:t>
      </w:r>
      <w:r w:rsidRPr="00E87295">
        <w:rPr>
          <w:sz w:val="22"/>
          <w:szCs w:val="22"/>
          <w:lang w:val="sr-Latn-RS"/>
        </w:rPr>
        <w:t xml:space="preserve">e studije, preko 90% pacijenata su prethodno koristili csDMARD. U studiji DISCOVER 1, </w:t>
      </w:r>
      <w:bookmarkStart w:id="4" w:name="_Hlk11758671"/>
      <w:r w:rsidRPr="00E87295">
        <w:rPr>
          <w:sz w:val="22"/>
          <w:szCs w:val="22"/>
          <w:lang w:val="sr-Latn-RS"/>
        </w:rPr>
        <w:t>31% pacijenata je prethodno primili terapiju anti-TNFα</w:t>
      </w:r>
      <w:bookmarkEnd w:id="4"/>
      <w:r w:rsidRPr="00E87295">
        <w:rPr>
          <w:sz w:val="22"/>
          <w:szCs w:val="22"/>
          <w:lang w:val="sr-Latn-RS"/>
        </w:rPr>
        <w:t>. U studiji DISCOVER 2, niko od pacijenata nije prethodno primao biološku terapiju.</w:t>
      </w:r>
    </w:p>
    <w:p w14:paraId="7E8DCA31" w14:textId="77777777" w:rsidR="001A5B54" w:rsidRPr="00E87295" w:rsidRDefault="001A5B54" w:rsidP="00E87295">
      <w:pPr>
        <w:jc w:val="both"/>
        <w:rPr>
          <w:sz w:val="22"/>
          <w:szCs w:val="22"/>
          <w:lang w:val="sr-Latn-RS"/>
        </w:rPr>
      </w:pPr>
    </w:p>
    <w:p w14:paraId="2092A2DA" w14:textId="77777777" w:rsidR="001A5B54" w:rsidRPr="00E87295" w:rsidRDefault="001A5B54" w:rsidP="00E87295">
      <w:pPr>
        <w:keepNext/>
        <w:jc w:val="both"/>
        <w:rPr>
          <w:i/>
          <w:iCs/>
          <w:sz w:val="22"/>
          <w:szCs w:val="22"/>
          <w:lang w:val="sr-Latn-RS"/>
        </w:rPr>
      </w:pPr>
      <w:r w:rsidRPr="00E87295">
        <w:rPr>
          <w:i/>
          <w:iCs/>
          <w:sz w:val="22"/>
          <w:szCs w:val="22"/>
          <w:lang w:val="sr-Latn-RS"/>
        </w:rPr>
        <w:t>Znaci i simptomi</w:t>
      </w:r>
    </w:p>
    <w:p w14:paraId="347E5226" w14:textId="64E21ED3" w:rsidR="001A5B54" w:rsidRPr="00E87295" w:rsidRDefault="001A5B54" w:rsidP="00E87295">
      <w:pPr>
        <w:jc w:val="both"/>
        <w:rPr>
          <w:sz w:val="22"/>
          <w:szCs w:val="22"/>
          <w:lang w:val="sr-Latn-RS"/>
        </w:rPr>
      </w:pPr>
      <w:r w:rsidRPr="00E87295">
        <w:rPr>
          <w:sz w:val="22"/>
          <w:szCs w:val="22"/>
          <w:lang w:val="sr-Latn-RS"/>
        </w:rPr>
        <w:t>L</w:t>
      </w:r>
      <w:r w:rsidR="00343954" w:rsidRPr="00E87295">
        <w:rPr>
          <w:sz w:val="22"/>
          <w:szCs w:val="22"/>
          <w:lang w:val="sr-Latn-RS"/>
        </w:rPr>
        <w:t>ij</w:t>
      </w:r>
      <w:r w:rsidRPr="00E87295">
        <w:rPr>
          <w:sz w:val="22"/>
          <w:szCs w:val="22"/>
          <w:lang w:val="sr-Latn-RS"/>
        </w:rPr>
        <w:t>ečenje guselkumabom</w:t>
      </w:r>
      <w:r w:rsidR="0014708F" w:rsidRPr="00E87295">
        <w:rPr>
          <w:sz w:val="22"/>
          <w:szCs w:val="22"/>
          <w:lang w:val="sr-Latn-RS"/>
        </w:rPr>
        <w:t xml:space="preserve"> </w:t>
      </w:r>
      <w:r w:rsidRPr="00E87295">
        <w:rPr>
          <w:sz w:val="22"/>
          <w:szCs w:val="22"/>
          <w:lang w:val="sr-Latn-RS"/>
        </w:rPr>
        <w:t>je u 24-toj ned</w:t>
      </w:r>
      <w:r w:rsidR="00343954" w:rsidRPr="00E87295">
        <w:rPr>
          <w:sz w:val="22"/>
          <w:szCs w:val="22"/>
          <w:lang w:val="sr-Latn-RS"/>
        </w:rPr>
        <w:t>j</w:t>
      </w:r>
      <w:r w:rsidRPr="00E87295">
        <w:rPr>
          <w:sz w:val="22"/>
          <w:szCs w:val="22"/>
          <w:lang w:val="sr-Latn-RS"/>
        </w:rPr>
        <w:t>elji dovelo do značajnog poboljšanja u m</w:t>
      </w:r>
      <w:r w:rsidR="00343954" w:rsidRPr="00E87295">
        <w:rPr>
          <w:sz w:val="22"/>
          <w:szCs w:val="22"/>
          <w:lang w:val="sr-Latn-RS"/>
        </w:rPr>
        <w:t>j</w:t>
      </w:r>
      <w:r w:rsidRPr="00E87295">
        <w:rPr>
          <w:sz w:val="22"/>
          <w:szCs w:val="22"/>
          <w:lang w:val="sr-Latn-RS"/>
        </w:rPr>
        <w:t>erenjima aktivnosti bolesti u poređenju sa placebom. Primarn</w:t>
      </w:r>
      <w:r w:rsidR="0014708F" w:rsidRPr="00E87295">
        <w:rPr>
          <w:sz w:val="22"/>
          <w:szCs w:val="22"/>
          <w:lang w:val="sr-Latn-RS"/>
        </w:rPr>
        <w:t>i parametar praćenja</w:t>
      </w:r>
      <w:r w:rsidRPr="00E87295">
        <w:rPr>
          <w:sz w:val="22"/>
          <w:szCs w:val="22"/>
          <w:lang w:val="sr-Latn-RS"/>
        </w:rPr>
        <w:t xml:space="preserve"> u ob</w:t>
      </w:r>
      <w:r w:rsidR="00343954" w:rsidRPr="00E87295">
        <w:rPr>
          <w:sz w:val="22"/>
          <w:szCs w:val="22"/>
          <w:lang w:val="sr-Latn-RS"/>
        </w:rPr>
        <w:t>j</w:t>
      </w:r>
      <w:r w:rsidRPr="00E87295">
        <w:rPr>
          <w:sz w:val="22"/>
          <w:szCs w:val="22"/>
          <w:lang w:val="sr-Latn-RS"/>
        </w:rPr>
        <w:t>e studije bio je procenat pacijenata koji su 24. ned</w:t>
      </w:r>
      <w:r w:rsidR="00343954" w:rsidRPr="00E87295">
        <w:rPr>
          <w:sz w:val="22"/>
          <w:szCs w:val="22"/>
          <w:lang w:val="sr-Latn-RS"/>
        </w:rPr>
        <w:t>j</w:t>
      </w:r>
      <w:r w:rsidRPr="00E87295">
        <w:rPr>
          <w:sz w:val="22"/>
          <w:szCs w:val="22"/>
          <w:lang w:val="sr-Latn-RS"/>
        </w:rPr>
        <w:t>elje postigli odgovor po kriterijumima Američkog koledža za reumatologiju  (</w:t>
      </w:r>
      <w:r w:rsidR="0014708F" w:rsidRPr="00E87295">
        <w:rPr>
          <w:sz w:val="22"/>
          <w:szCs w:val="22"/>
          <w:lang w:val="sr-Latn-RS"/>
        </w:rPr>
        <w:t xml:space="preserve">engl.  </w:t>
      </w:r>
      <w:r w:rsidR="0014708F" w:rsidRPr="00E87295">
        <w:rPr>
          <w:i/>
          <w:sz w:val="22"/>
          <w:szCs w:val="22"/>
          <w:lang w:val="sr-Latn-RS"/>
        </w:rPr>
        <w:t>American College of Rheumatology</w:t>
      </w:r>
      <w:r w:rsidR="0014708F" w:rsidRPr="00E87295">
        <w:rPr>
          <w:sz w:val="22"/>
          <w:szCs w:val="22"/>
          <w:lang w:val="sr-Latn-RS"/>
        </w:rPr>
        <w:t xml:space="preserve">, </w:t>
      </w:r>
      <w:r w:rsidRPr="00E87295">
        <w:rPr>
          <w:sz w:val="22"/>
          <w:szCs w:val="22"/>
          <w:lang w:val="sr-Latn-RS"/>
        </w:rPr>
        <w:t>ACR) 20. Ključni rezultati efikasnosti prikazani su u Tabeli 8.</w:t>
      </w:r>
    </w:p>
    <w:p w14:paraId="6D22442F" w14:textId="77777777" w:rsidR="001A5B54" w:rsidRPr="00E87295" w:rsidRDefault="001A5B54" w:rsidP="00E87295">
      <w:pPr>
        <w:jc w:val="both"/>
        <w:rPr>
          <w:sz w:val="22"/>
          <w:szCs w:val="22"/>
          <w:lang w:val="sr-Latn-R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1204"/>
        <w:gridCol w:w="1205"/>
        <w:gridCol w:w="1205"/>
        <w:gridCol w:w="1205"/>
        <w:gridCol w:w="1205"/>
        <w:gridCol w:w="1207"/>
      </w:tblGrid>
      <w:tr w:rsidR="001A5B54" w:rsidRPr="00E87295" w14:paraId="20093BFA" w14:textId="77777777" w:rsidTr="00E87295">
        <w:trPr>
          <w:cantSplit/>
          <w:jc w:val="center"/>
        </w:trPr>
        <w:tc>
          <w:tcPr>
            <w:tcW w:w="5000" w:type="pct"/>
            <w:gridSpan w:val="7"/>
            <w:tcBorders>
              <w:top w:val="nil"/>
              <w:left w:val="nil"/>
              <w:bottom w:val="single" w:sz="4" w:space="0" w:color="auto"/>
              <w:right w:val="nil"/>
            </w:tcBorders>
            <w:shd w:val="clear" w:color="auto" w:fill="auto"/>
          </w:tcPr>
          <w:p w14:paraId="569EAABF" w14:textId="77777777" w:rsidR="001A5B54" w:rsidRPr="00E87295" w:rsidRDefault="001A5B54" w:rsidP="00E87295">
            <w:pPr>
              <w:keepNext/>
              <w:ind w:left="1134" w:hanging="1134"/>
              <w:jc w:val="both"/>
              <w:rPr>
                <w:b/>
                <w:bCs/>
                <w:sz w:val="22"/>
                <w:szCs w:val="22"/>
                <w:u w:val="single"/>
                <w:lang w:val="sr-Latn-RS"/>
              </w:rPr>
            </w:pPr>
            <w:bookmarkStart w:id="5" w:name="_Hlk53476329"/>
            <w:r w:rsidRPr="00E87295">
              <w:rPr>
                <w:b/>
                <w:bCs/>
                <w:sz w:val="22"/>
                <w:szCs w:val="22"/>
                <w:lang w:val="sr-Latn-RS"/>
              </w:rPr>
              <w:lastRenderedPageBreak/>
              <w:t>Tabela 8:</w:t>
            </w:r>
            <w:r w:rsidRPr="00E87295">
              <w:rPr>
                <w:b/>
                <w:bCs/>
                <w:sz w:val="22"/>
                <w:szCs w:val="22"/>
                <w:lang w:val="sr-Latn-RS"/>
              </w:rPr>
              <w:tab/>
              <w:t>Klinički odgovori u studijama DISCOVER 1 i DISCOVER 2</w:t>
            </w:r>
          </w:p>
        </w:tc>
      </w:tr>
      <w:tr w:rsidR="001A5B54" w:rsidRPr="00E87295" w14:paraId="353A68E4" w14:textId="77777777" w:rsidTr="00E87295">
        <w:trPr>
          <w:cantSplit/>
          <w:jc w:val="center"/>
        </w:trPr>
        <w:tc>
          <w:tcPr>
            <w:tcW w:w="1015" w:type="pct"/>
            <w:tcBorders>
              <w:top w:val="single" w:sz="4" w:space="0" w:color="auto"/>
              <w:bottom w:val="nil"/>
            </w:tcBorders>
            <w:shd w:val="clear" w:color="auto" w:fill="auto"/>
          </w:tcPr>
          <w:p w14:paraId="1D4EB074" w14:textId="77777777" w:rsidR="001A5B54" w:rsidRPr="00E87295" w:rsidRDefault="001A5B54" w:rsidP="00E87295">
            <w:pPr>
              <w:keepNext/>
              <w:jc w:val="both"/>
              <w:rPr>
                <w:sz w:val="22"/>
                <w:szCs w:val="22"/>
                <w:lang w:val="sr-Latn-RS"/>
              </w:rPr>
            </w:pPr>
          </w:p>
        </w:tc>
        <w:tc>
          <w:tcPr>
            <w:tcW w:w="1992" w:type="pct"/>
            <w:gridSpan w:val="3"/>
            <w:tcBorders>
              <w:top w:val="single" w:sz="4" w:space="0" w:color="auto"/>
              <w:bottom w:val="nil"/>
            </w:tcBorders>
            <w:shd w:val="clear" w:color="auto" w:fill="auto"/>
          </w:tcPr>
          <w:p w14:paraId="6ED40251" w14:textId="77777777" w:rsidR="001A5B54" w:rsidRPr="00E87295" w:rsidRDefault="001A5B54">
            <w:pPr>
              <w:keepNext/>
              <w:jc w:val="center"/>
              <w:rPr>
                <w:sz w:val="22"/>
                <w:szCs w:val="22"/>
                <w:u w:val="single"/>
                <w:lang w:val="sr-Latn-RS"/>
              </w:rPr>
            </w:pPr>
            <w:r w:rsidRPr="00E87295">
              <w:rPr>
                <w:sz w:val="22"/>
                <w:szCs w:val="22"/>
                <w:u w:val="single"/>
                <w:lang w:val="sr-Latn-RS"/>
              </w:rPr>
              <w:t>DISCOVER 1</w:t>
            </w:r>
          </w:p>
        </w:tc>
        <w:tc>
          <w:tcPr>
            <w:tcW w:w="1993" w:type="pct"/>
            <w:gridSpan w:val="3"/>
            <w:tcBorders>
              <w:top w:val="single" w:sz="4" w:space="0" w:color="auto"/>
              <w:bottom w:val="nil"/>
            </w:tcBorders>
            <w:shd w:val="clear" w:color="auto" w:fill="auto"/>
          </w:tcPr>
          <w:p w14:paraId="5669D5C2" w14:textId="77777777" w:rsidR="001A5B54" w:rsidRPr="00E87295" w:rsidRDefault="001A5B54">
            <w:pPr>
              <w:keepNext/>
              <w:jc w:val="center"/>
              <w:rPr>
                <w:sz w:val="22"/>
                <w:szCs w:val="22"/>
                <w:u w:val="single"/>
                <w:lang w:val="sr-Latn-RS"/>
              </w:rPr>
            </w:pPr>
            <w:r w:rsidRPr="00E87295">
              <w:rPr>
                <w:sz w:val="22"/>
                <w:szCs w:val="22"/>
                <w:u w:val="single"/>
                <w:lang w:val="sr-Latn-RS"/>
              </w:rPr>
              <w:t>DISCOVER 2</w:t>
            </w:r>
          </w:p>
        </w:tc>
      </w:tr>
      <w:tr w:rsidR="001A5B54" w:rsidRPr="00C929E2" w14:paraId="1C040CA7" w14:textId="77777777" w:rsidTr="00E87295">
        <w:trPr>
          <w:cantSplit/>
          <w:jc w:val="center"/>
        </w:trPr>
        <w:tc>
          <w:tcPr>
            <w:tcW w:w="1015" w:type="pct"/>
            <w:tcBorders>
              <w:top w:val="nil"/>
            </w:tcBorders>
            <w:shd w:val="clear" w:color="auto" w:fill="auto"/>
          </w:tcPr>
          <w:p w14:paraId="1CD6BE82" w14:textId="77777777" w:rsidR="001A5B54" w:rsidRPr="00E87295" w:rsidRDefault="001A5B54" w:rsidP="00E87295">
            <w:pPr>
              <w:keepNext/>
              <w:jc w:val="both"/>
              <w:rPr>
                <w:sz w:val="22"/>
                <w:szCs w:val="22"/>
                <w:lang w:val="sr-Latn-RS"/>
              </w:rPr>
            </w:pPr>
          </w:p>
        </w:tc>
        <w:tc>
          <w:tcPr>
            <w:tcW w:w="664" w:type="pct"/>
            <w:tcBorders>
              <w:top w:val="nil"/>
            </w:tcBorders>
            <w:shd w:val="clear" w:color="auto" w:fill="auto"/>
          </w:tcPr>
          <w:p w14:paraId="7557463C" w14:textId="77777777" w:rsidR="001A5B54" w:rsidRPr="00E87295" w:rsidRDefault="001A5B54" w:rsidP="00E87295">
            <w:pPr>
              <w:keepNext/>
              <w:jc w:val="both"/>
              <w:rPr>
                <w:sz w:val="22"/>
                <w:szCs w:val="22"/>
                <w:lang w:val="sr-Latn-RS"/>
              </w:rPr>
            </w:pPr>
            <w:r w:rsidRPr="00E87295">
              <w:rPr>
                <w:sz w:val="22"/>
                <w:szCs w:val="22"/>
                <w:lang w:val="sr-Latn-RS"/>
              </w:rPr>
              <w:t>Placebo</w:t>
            </w:r>
          </w:p>
          <w:p w14:paraId="302E50CD" w14:textId="77777777" w:rsidR="001A5B54" w:rsidRPr="00E87295" w:rsidRDefault="001A5B54" w:rsidP="00E87295">
            <w:pPr>
              <w:keepNext/>
              <w:jc w:val="both"/>
              <w:rPr>
                <w:sz w:val="22"/>
                <w:szCs w:val="22"/>
                <w:lang w:val="sr-Latn-RS"/>
              </w:rPr>
            </w:pPr>
            <w:r w:rsidRPr="00E87295">
              <w:rPr>
                <w:sz w:val="22"/>
                <w:szCs w:val="22"/>
                <w:lang w:val="sr-Latn-RS"/>
              </w:rPr>
              <w:t>(N=126)</w:t>
            </w:r>
          </w:p>
        </w:tc>
        <w:tc>
          <w:tcPr>
            <w:tcW w:w="664" w:type="pct"/>
            <w:tcBorders>
              <w:top w:val="nil"/>
            </w:tcBorders>
            <w:shd w:val="clear" w:color="auto" w:fill="auto"/>
          </w:tcPr>
          <w:p w14:paraId="7BDE9C9D" w14:textId="07B8FC3C" w:rsidR="001A5B54" w:rsidRPr="00E87295" w:rsidRDefault="0014708F" w:rsidP="00E87295">
            <w:pPr>
              <w:keepNext/>
              <w:jc w:val="both"/>
              <w:rPr>
                <w:sz w:val="22"/>
                <w:szCs w:val="22"/>
                <w:lang w:val="sr-Latn-RS"/>
              </w:rPr>
            </w:pPr>
            <w:r w:rsidRPr="00E87295">
              <w:rPr>
                <w:sz w:val="22"/>
                <w:szCs w:val="22"/>
                <w:lang w:val="sr-Latn-RS"/>
              </w:rPr>
              <w:t>G</w:t>
            </w:r>
            <w:r w:rsidR="007671AA" w:rsidRPr="00E87295">
              <w:rPr>
                <w:sz w:val="22"/>
                <w:szCs w:val="22"/>
                <w:lang w:val="sr-Latn-RS"/>
              </w:rPr>
              <w:t>uselkumab</w:t>
            </w:r>
            <w:r w:rsidRPr="00E87295">
              <w:rPr>
                <w:sz w:val="22"/>
                <w:szCs w:val="22"/>
                <w:lang w:val="sr-Latn-RS"/>
              </w:rPr>
              <w:t xml:space="preserve"> </w:t>
            </w:r>
            <w:r w:rsidR="001A5B54" w:rsidRPr="00E87295">
              <w:rPr>
                <w:sz w:val="22"/>
                <w:szCs w:val="22"/>
                <w:lang w:val="sr-Latn-RS"/>
              </w:rPr>
              <w:t>100 mg na 8 ned</w:t>
            </w:r>
            <w:r w:rsidR="00343954" w:rsidRPr="00E87295">
              <w:rPr>
                <w:sz w:val="22"/>
                <w:szCs w:val="22"/>
                <w:lang w:val="sr-Latn-RS"/>
              </w:rPr>
              <w:t>j</w:t>
            </w:r>
            <w:r w:rsidR="001A5B54" w:rsidRPr="00E87295">
              <w:rPr>
                <w:sz w:val="22"/>
                <w:szCs w:val="22"/>
                <w:lang w:val="sr-Latn-RS"/>
              </w:rPr>
              <w:t>elja</w:t>
            </w:r>
          </w:p>
          <w:p w14:paraId="262B3291" w14:textId="77777777" w:rsidR="001A5B54" w:rsidRPr="00E87295" w:rsidRDefault="001A5B54" w:rsidP="00E87295">
            <w:pPr>
              <w:keepNext/>
              <w:jc w:val="both"/>
              <w:rPr>
                <w:sz w:val="22"/>
                <w:szCs w:val="22"/>
                <w:lang w:val="sr-Latn-RS"/>
              </w:rPr>
            </w:pPr>
            <w:r w:rsidRPr="00E87295">
              <w:rPr>
                <w:sz w:val="22"/>
                <w:szCs w:val="22"/>
                <w:lang w:val="sr-Latn-RS"/>
              </w:rPr>
              <w:t>(N=127)</w:t>
            </w:r>
          </w:p>
        </w:tc>
        <w:tc>
          <w:tcPr>
            <w:tcW w:w="664" w:type="pct"/>
            <w:tcBorders>
              <w:top w:val="nil"/>
            </w:tcBorders>
            <w:shd w:val="clear" w:color="auto" w:fill="auto"/>
          </w:tcPr>
          <w:p w14:paraId="623F9E25" w14:textId="405DC668" w:rsidR="001A5B54" w:rsidRPr="00E87295" w:rsidRDefault="007671AA" w:rsidP="00E87295">
            <w:pPr>
              <w:keepNext/>
              <w:jc w:val="both"/>
              <w:rPr>
                <w:sz w:val="22"/>
                <w:szCs w:val="22"/>
                <w:lang w:val="sr-Latn-RS"/>
              </w:rPr>
            </w:pPr>
            <w:r w:rsidRPr="00E87295">
              <w:rPr>
                <w:sz w:val="22"/>
                <w:szCs w:val="22"/>
                <w:lang w:val="sr-Latn-RS"/>
              </w:rPr>
              <w:t xml:space="preserve">guselkumab </w:t>
            </w:r>
            <w:r w:rsidR="001A5B54" w:rsidRPr="00E87295">
              <w:rPr>
                <w:sz w:val="22"/>
                <w:szCs w:val="22"/>
                <w:lang w:val="sr-Latn-RS"/>
              </w:rPr>
              <w:t>100 mg na 4 ned</w:t>
            </w:r>
            <w:r w:rsidR="00343954" w:rsidRPr="00E87295">
              <w:rPr>
                <w:sz w:val="22"/>
                <w:szCs w:val="22"/>
                <w:lang w:val="sr-Latn-RS"/>
              </w:rPr>
              <w:t>j</w:t>
            </w:r>
            <w:r w:rsidR="001A5B54" w:rsidRPr="00E87295">
              <w:rPr>
                <w:sz w:val="22"/>
                <w:szCs w:val="22"/>
                <w:lang w:val="sr-Latn-RS"/>
              </w:rPr>
              <w:t>elje</w:t>
            </w:r>
          </w:p>
          <w:p w14:paraId="3DA2D77F" w14:textId="77777777" w:rsidR="001A5B54" w:rsidRPr="00E87295" w:rsidRDefault="001A5B54" w:rsidP="00E87295">
            <w:pPr>
              <w:keepNext/>
              <w:jc w:val="both"/>
              <w:rPr>
                <w:sz w:val="22"/>
                <w:szCs w:val="22"/>
                <w:lang w:val="sr-Latn-RS"/>
              </w:rPr>
            </w:pPr>
            <w:r w:rsidRPr="00E87295">
              <w:rPr>
                <w:sz w:val="22"/>
                <w:szCs w:val="22"/>
                <w:lang w:val="sr-Latn-RS"/>
              </w:rPr>
              <w:t>(N=128)</w:t>
            </w:r>
          </w:p>
        </w:tc>
        <w:tc>
          <w:tcPr>
            <w:tcW w:w="664" w:type="pct"/>
            <w:tcBorders>
              <w:top w:val="nil"/>
            </w:tcBorders>
            <w:shd w:val="clear" w:color="auto" w:fill="auto"/>
          </w:tcPr>
          <w:p w14:paraId="2B31E5C0" w14:textId="77777777" w:rsidR="001A5B54" w:rsidRPr="00E87295" w:rsidRDefault="001A5B54" w:rsidP="00E87295">
            <w:pPr>
              <w:keepNext/>
              <w:jc w:val="both"/>
              <w:rPr>
                <w:sz w:val="22"/>
                <w:szCs w:val="22"/>
                <w:lang w:val="sr-Latn-RS"/>
              </w:rPr>
            </w:pPr>
            <w:r w:rsidRPr="00E87295">
              <w:rPr>
                <w:sz w:val="22"/>
                <w:szCs w:val="22"/>
                <w:lang w:val="sr-Latn-RS"/>
              </w:rPr>
              <w:t>Placebo</w:t>
            </w:r>
          </w:p>
          <w:p w14:paraId="3447BC96" w14:textId="77777777" w:rsidR="001A5B54" w:rsidRPr="00E87295" w:rsidRDefault="001A5B54" w:rsidP="00E87295">
            <w:pPr>
              <w:keepNext/>
              <w:jc w:val="both"/>
              <w:rPr>
                <w:sz w:val="22"/>
                <w:szCs w:val="22"/>
                <w:lang w:val="sr-Latn-RS"/>
              </w:rPr>
            </w:pPr>
            <w:r w:rsidRPr="00E87295">
              <w:rPr>
                <w:sz w:val="22"/>
                <w:szCs w:val="22"/>
                <w:lang w:val="sr-Latn-RS"/>
              </w:rPr>
              <w:t>(N=246)</w:t>
            </w:r>
          </w:p>
        </w:tc>
        <w:tc>
          <w:tcPr>
            <w:tcW w:w="664" w:type="pct"/>
            <w:tcBorders>
              <w:top w:val="nil"/>
            </w:tcBorders>
            <w:shd w:val="clear" w:color="auto" w:fill="auto"/>
          </w:tcPr>
          <w:p w14:paraId="3F1A850F" w14:textId="2C28E9C8" w:rsidR="001A5B54" w:rsidRPr="00E87295" w:rsidRDefault="007671AA" w:rsidP="00E87295">
            <w:pPr>
              <w:keepNext/>
              <w:jc w:val="both"/>
              <w:rPr>
                <w:sz w:val="22"/>
                <w:szCs w:val="22"/>
                <w:lang w:val="sr-Latn-RS"/>
              </w:rPr>
            </w:pPr>
            <w:r w:rsidRPr="00E87295">
              <w:rPr>
                <w:sz w:val="22"/>
                <w:szCs w:val="22"/>
                <w:lang w:val="sr-Latn-RS"/>
              </w:rPr>
              <w:t xml:space="preserve">guselkumab </w:t>
            </w:r>
            <w:r w:rsidR="001A5B54" w:rsidRPr="00E87295">
              <w:rPr>
                <w:sz w:val="22"/>
                <w:szCs w:val="22"/>
                <w:lang w:val="sr-Latn-RS"/>
              </w:rPr>
              <w:t>100 mg na 8 ned</w:t>
            </w:r>
            <w:r w:rsidR="00343954" w:rsidRPr="00E87295">
              <w:rPr>
                <w:sz w:val="22"/>
                <w:szCs w:val="22"/>
                <w:lang w:val="sr-Latn-RS"/>
              </w:rPr>
              <w:t>j</w:t>
            </w:r>
            <w:r w:rsidR="001A5B54" w:rsidRPr="00E87295">
              <w:rPr>
                <w:sz w:val="22"/>
                <w:szCs w:val="22"/>
                <w:lang w:val="sr-Latn-RS"/>
              </w:rPr>
              <w:t>elja</w:t>
            </w:r>
          </w:p>
          <w:p w14:paraId="776F5D9F" w14:textId="77777777" w:rsidR="001A5B54" w:rsidRPr="00E87295" w:rsidRDefault="001A5B54" w:rsidP="00E87295">
            <w:pPr>
              <w:keepNext/>
              <w:jc w:val="both"/>
              <w:rPr>
                <w:sz w:val="22"/>
                <w:szCs w:val="22"/>
                <w:lang w:val="sr-Latn-RS"/>
              </w:rPr>
            </w:pPr>
            <w:r w:rsidRPr="00E87295">
              <w:rPr>
                <w:sz w:val="22"/>
                <w:szCs w:val="22"/>
                <w:lang w:val="sr-Latn-RS"/>
              </w:rPr>
              <w:t>(N=248)</w:t>
            </w:r>
          </w:p>
        </w:tc>
        <w:tc>
          <w:tcPr>
            <w:tcW w:w="665" w:type="pct"/>
            <w:tcBorders>
              <w:top w:val="nil"/>
            </w:tcBorders>
            <w:shd w:val="clear" w:color="auto" w:fill="auto"/>
          </w:tcPr>
          <w:p w14:paraId="0667A06A" w14:textId="06F08F02" w:rsidR="001A5B54" w:rsidRPr="00E87295" w:rsidRDefault="007671AA" w:rsidP="00E87295">
            <w:pPr>
              <w:keepNext/>
              <w:jc w:val="both"/>
              <w:rPr>
                <w:sz w:val="22"/>
                <w:szCs w:val="22"/>
                <w:lang w:val="sr-Latn-RS"/>
              </w:rPr>
            </w:pPr>
            <w:r w:rsidRPr="00E87295">
              <w:rPr>
                <w:sz w:val="22"/>
                <w:szCs w:val="22"/>
                <w:lang w:val="sr-Latn-RS"/>
              </w:rPr>
              <w:t xml:space="preserve">guselkumab </w:t>
            </w:r>
            <w:r w:rsidR="001A5B54" w:rsidRPr="00E87295">
              <w:rPr>
                <w:sz w:val="22"/>
                <w:szCs w:val="22"/>
                <w:lang w:val="sr-Latn-RS"/>
              </w:rPr>
              <w:t>100 mg na 4 ned</w:t>
            </w:r>
            <w:r w:rsidR="00343954" w:rsidRPr="00E87295">
              <w:rPr>
                <w:sz w:val="22"/>
                <w:szCs w:val="22"/>
                <w:lang w:val="sr-Latn-RS"/>
              </w:rPr>
              <w:t>j</w:t>
            </w:r>
            <w:r w:rsidR="001A5B54" w:rsidRPr="00E87295">
              <w:rPr>
                <w:sz w:val="22"/>
                <w:szCs w:val="22"/>
                <w:lang w:val="sr-Latn-RS"/>
              </w:rPr>
              <w:t>elje</w:t>
            </w:r>
          </w:p>
          <w:p w14:paraId="5081BB87" w14:textId="77777777" w:rsidR="001A5B54" w:rsidRPr="00E87295" w:rsidRDefault="001A5B54" w:rsidP="00E87295">
            <w:pPr>
              <w:keepNext/>
              <w:jc w:val="both"/>
              <w:rPr>
                <w:sz w:val="22"/>
                <w:szCs w:val="22"/>
                <w:lang w:val="sr-Latn-RS"/>
              </w:rPr>
            </w:pPr>
            <w:r w:rsidRPr="00E87295">
              <w:rPr>
                <w:sz w:val="22"/>
                <w:szCs w:val="22"/>
                <w:lang w:val="sr-Latn-RS"/>
              </w:rPr>
              <w:t>(N=245)</w:t>
            </w:r>
          </w:p>
        </w:tc>
      </w:tr>
      <w:tr w:rsidR="001A5B54" w:rsidRPr="00E87295" w14:paraId="01A5D888" w14:textId="77777777" w:rsidTr="00E87295">
        <w:trPr>
          <w:cantSplit/>
          <w:jc w:val="center"/>
        </w:trPr>
        <w:tc>
          <w:tcPr>
            <w:tcW w:w="5000" w:type="pct"/>
            <w:gridSpan w:val="7"/>
            <w:tcBorders>
              <w:bottom w:val="nil"/>
            </w:tcBorders>
            <w:shd w:val="clear" w:color="auto" w:fill="auto"/>
            <w:vAlign w:val="center"/>
          </w:tcPr>
          <w:p w14:paraId="626617A4" w14:textId="77777777" w:rsidR="001A5B54" w:rsidRPr="00E87295" w:rsidRDefault="001A5B54" w:rsidP="00E87295">
            <w:pPr>
              <w:keepNext/>
              <w:jc w:val="both"/>
              <w:rPr>
                <w:sz w:val="22"/>
                <w:szCs w:val="22"/>
                <w:lang w:val="sr-Latn-RS"/>
              </w:rPr>
            </w:pPr>
            <w:r w:rsidRPr="00E87295">
              <w:rPr>
                <w:b/>
                <w:sz w:val="22"/>
                <w:szCs w:val="22"/>
                <w:lang w:val="sr-Latn-RS"/>
              </w:rPr>
              <w:t>Odgovor ACR 20</w:t>
            </w:r>
          </w:p>
        </w:tc>
      </w:tr>
      <w:tr w:rsidR="001A5B54" w:rsidRPr="00E87295" w14:paraId="35BE12F0" w14:textId="77777777" w:rsidTr="00E87295">
        <w:trPr>
          <w:cantSplit/>
          <w:jc w:val="center"/>
        </w:trPr>
        <w:tc>
          <w:tcPr>
            <w:tcW w:w="1015" w:type="pct"/>
            <w:tcBorders>
              <w:top w:val="nil"/>
              <w:bottom w:val="nil"/>
            </w:tcBorders>
            <w:shd w:val="clear" w:color="auto" w:fill="auto"/>
            <w:vAlign w:val="center"/>
          </w:tcPr>
          <w:p w14:paraId="527086BD" w14:textId="77777777" w:rsidR="001A5B54" w:rsidRPr="00E87295" w:rsidRDefault="001A5B54" w:rsidP="00E87295">
            <w:pPr>
              <w:jc w:val="both"/>
              <w:rPr>
                <w:sz w:val="22"/>
                <w:szCs w:val="22"/>
                <w:lang w:val="sr-Latn-RS"/>
              </w:rPr>
            </w:pPr>
            <w:r w:rsidRPr="00E87295">
              <w:rPr>
                <w:sz w:val="22"/>
                <w:szCs w:val="22"/>
                <w:lang w:val="sr-Latn-RS"/>
              </w:rPr>
              <w:t>16. nedelja</w:t>
            </w:r>
          </w:p>
        </w:tc>
        <w:tc>
          <w:tcPr>
            <w:tcW w:w="664" w:type="pct"/>
            <w:tcBorders>
              <w:top w:val="nil"/>
              <w:bottom w:val="nil"/>
            </w:tcBorders>
            <w:shd w:val="clear" w:color="auto" w:fill="auto"/>
            <w:vAlign w:val="center"/>
          </w:tcPr>
          <w:p w14:paraId="41EDD661" w14:textId="77777777" w:rsidR="001A5B54" w:rsidRPr="00E87295" w:rsidRDefault="001A5B54" w:rsidP="00E87295">
            <w:pPr>
              <w:jc w:val="both"/>
              <w:rPr>
                <w:sz w:val="22"/>
                <w:szCs w:val="22"/>
                <w:lang w:val="sr-Latn-RS"/>
              </w:rPr>
            </w:pPr>
            <w:r w:rsidRPr="00E87295">
              <w:rPr>
                <w:sz w:val="22"/>
                <w:szCs w:val="22"/>
                <w:lang w:val="sr-Latn-RS"/>
              </w:rPr>
              <w:t>25,4%</w:t>
            </w:r>
          </w:p>
        </w:tc>
        <w:tc>
          <w:tcPr>
            <w:tcW w:w="664" w:type="pct"/>
            <w:tcBorders>
              <w:top w:val="nil"/>
              <w:bottom w:val="nil"/>
            </w:tcBorders>
            <w:shd w:val="clear" w:color="auto" w:fill="auto"/>
            <w:vAlign w:val="center"/>
          </w:tcPr>
          <w:p w14:paraId="5C4624BF" w14:textId="77777777" w:rsidR="001A5B54" w:rsidRPr="00E87295" w:rsidRDefault="001A5B54" w:rsidP="00E87295">
            <w:pPr>
              <w:jc w:val="both"/>
              <w:rPr>
                <w:sz w:val="22"/>
                <w:szCs w:val="22"/>
                <w:lang w:val="sr-Latn-RS"/>
              </w:rPr>
            </w:pPr>
            <w:r w:rsidRPr="00E87295">
              <w:rPr>
                <w:sz w:val="22"/>
                <w:szCs w:val="22"/>
                <w:lang w:val="sr-Latn-RS"/>
              </w:rPr>
              <w:t xml:space="preserve">52,0% </w:t>
            </w:r>
            <w:r w:rsidRPr="00E87295">
              <w:rPr>
                <w:sz w:val="22"/>
                <w:szCs w:val="22"/>
                <w:vertAlign w:val="superscript"/>
                <w:lang w:val="sr-Latn-RS"/>
              </w:rPr>
              <w:t>b</w:t>
            </w:r>
          </w:p>
        </w:tc>
        <w:tc>
          <w:tcPr>
            <w:tcW w:w="664" w:type="pct"/>
            <w:tcBorders>
              <w:top w:val="nil"/>
              <w:bottom w:val="nil"/>
            </w:tcBorders>
            <w:shd w:val="clear" w:color="auto" w:fill="auto"/>
            <w:vAlign w:val="center"/>
          </w:tcPr>
          <w:p w14:paraId="09FCA79B" w14:textId="77777777" w:rsidR="001A5B54" w:rsidRPr="00E87295" w:rsidRDefault="001A5B54" w:rsidP="00E87295">
            <w:pPr>
              <w:jc w:val="both"/>
              <w:rPr>
                <w:sz w:val="22"/>
                <w:szCs w:val="22"/>
                <w:lang w:val="sr-Latn-RS"/>
              </w:rPr>
            </w:pPr>
            <w:r w:rsidRPr="00E87295">
              <w:rPr>
                <w:sz w:val="22"/>
                <w:szCs w:val="22"/>
                <w:lang w:val="sr-Latn-RS"/>
              </w:rPr>
              <w:t>60,2%</w:t>
            </w:r>
            <w:r w:rsidRPr="00E87295">
              <w:rPr>
                <w:sz w:val="22"/>
                <w:szCs w:val="22"/>
                <w:vertAlign w:val="superscript"/>
                <w:lang w:val="sr-Latn-RS"/>
              </w:rPr>
              <w:t xml:space="preserve"> b</w:t>
            </w:r>
          </w:p>
        </w:tc>
        <w:tc>
          <w:tcPr>
            <w:tcW w:w="664" w:type="pct"/>
            <w:tcBorders>
              <w:top w:val="nil"/>
              <w:bottom w:val="nil"/>
            </w:tcBorders>
            <w:shd w:val="clear" w:color="auto" w:fill="auto"/>
            <w:vAlign w:val="center"/>
          </w:tcPr>
          <w:p w14:paraId="3CB68E38" w14:textId="77777777" w:rsidR="001A5B54" w:rsidRPr="00E87295" w:rsidRDefault="001A5B54" w:rsidP="00E87295">
            <w:pPr>
              <w:jc w:val="both"/>
              <w:rPr>
                <w:sz w:val="22"/>
                <w:szCs w:val="22"/>
                <w:lang w:val="sr-Latn-RS"/>
              </w:rPr>
            </w:pPr>
            <w:r w:rsidRPr="00E87295">
              <w:rPr>
                <w:sz w:val="22"/>
                <w:szCs w:val="22"/>
                <w:lang w:val="sr-Latn-RS"/>
              </w:rPr>
              <w:t>33,7%</w:t>
            </w:r>
          </w:p>
        </w:tc>
        <w:tc>
          <w:tcPr>
            <w:tcW w:w="664" w:type="pct"/>
            <w:tcBorders>
              <w:top w:val="nil"/>
              <w:bottom w:val="nil"/>
            </w:tcBorders>
            <w:shd w:val="clear" w:color="auto" w:fill="auto"/>
            <w:vAlign w:val="center"/>
          </w:tcPr>
          <w:p w14:paraId="427ADAED" w14:textId="77777777" w:rsidR="001A5B54" w:rsidRPr="00E87295" w:rsidRDefault="001A5B54" w:rsidP="00E87295">
            <w:pPr>
              <w:jc w:val="both"/>
              <w:rPr>
                <w:sz w:val="22"/>
                <w:szCs w:val="22"/>
                <w:lang w:val="sr-Latn-RS"/>
              </w:rPr>
            </w:pPr>
            <w:r w:rsidRPr="00E87295">
              <w:rPr>
                <w:sz w:val="22"/>
                <w:szCs w:val="22"/>
                <w:lang w:val="sr-Latn-RS"/>
              </w:rPr>
              <w:t>55,2%</w:t>
            </w:r>
            <w:r w:rsidRPr="00E87295">
              <w:rPr>
                <w:sz w:val="22"/>
                <w:szCs w:val="22"/>
                <w:vertAlign w:val="superscript"/>
                <w:lang w:val="sr-Latn-RS"/>
              </w:rPr>
              <w:t xml:space="preserve"> g</w:t>
            </w:r>
          </w:p>
        </w:tc>
        <w:tc>
          <w:tcPr>
            <w:tcW w:w="665" w:type="pct"/>
            <w:tcBorders>
              <w:top w:val="nil"/>
              <w:bottom w:val="nil"/>
            </w:tcBorders>
            <w:shd w:val="clear" w:color="auto" w:fill="auto"/>
            <w:vAlign w:val="center"/>
          </w:tcPr>
          <w:p w14:paraId="7E2D951A" w14:textId="77777777" w:rsidR="001A5B54" w:rsidRPr="00E87295" w:rsidRDefault="001A5B54" w:rsidP="00E87295">
            <w:pPr>
              <w:jc w:val="both"/>
              <w:rPr>
                <w:sz w:val="22"/>
                <w:szCs w:val="22"/>
                <w:lang w:val="sr-Latn-RS"/>
              </w:rPr>
            </w:pPr>
            <w:r w:rsidRPr="00E87295">
              <w:rPr>
                <w:sz w:val="22"/>
                <w:szCs w:val="22"/>
                <w:lang w:val="sr-Latn-RS"/>
              </w:rPr>
              <w:t>55,9%</w:t>
            </w:r>
            <w:r w:rsidRPr="00E87295">
              <w:rPr>
                <w:sz w:val="22"/>
                <w:szCs w:val="22"/>
                <w:vertAlign w:val="superscript"/>
                <w:lang w:val="sr-Latn-RS"/>
              </w:rPr>
              <w:t xml:space="preserve"> c</w:t>
            </w:r>
          </w:p>
        </w:tc>
      </w:tr>
      <w:tr w:rsidR="001A5B54" w:rsidRPr="00E87295" w14:paraId="254633FD" w14:textId="77777777" w:rsidTr="00E87295">
        <w:trPr>
          <w:cantSplit/>
          <w:jc w:val="center"/>
        </w:trPr>
        <w:tc>
          <w:tcPr>
            <w:tcW w:w="1015" w:type="pct"/>
            <w:tcBorders>
              <w:top w:val="nil"/>
              <w:bottom w:val="nil"/>
            </w:tcBorders>
            <w:shd w:val="clear" w:color="auto" w:fill="auto"/>
            <w:vAlign w:val="center"/>
          </w:tcPr>
          <w:p w14:paraId="57E94AD7"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bottom w:val="nil"/>
            </w:tcBorders>
            <w:shd w:val="clear" w:color="auto" w:fill="auto"/>
            <w:vAlign w:val="center"/>
          </w:tcPr>
          <w:p w14:paraId="2BE90927"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bottom w:val="nil"/>
            </w:tcBorders>
            <w:shd w:val="clear" w:color="auto" w:fill="auto"/>
            <w:vAlign w:val="center"/>
          </w:tcPr>
          <w:p w14:paraId="2610D7FD" w14:textId="77777777" w:rsidR="001A5B54" w:rsidRPr="00E87295" w:rsidRDefault="001A5B54" w:rsidP="00E87295">
            <w:pPr>
              <w:jc w:val="both"/>
              <w:rPr>
                <w:color w:val="000000"/>
                <w:sz w:val="22"/>
                <w:szCs w:val="22"/>
                <w:lang w:val="sr-Latn-RS"/>
              </w:rPr>
            </w:pPr>
            <w:r w:rsidRPr="00E87295">
              <w:rPr>
                <w:color w:val="000000"/>
                <w:sz w:val="22"/>
                <w:szCs w:val="22"/>
                <w:lang w:val="sr-Latn-RS"/>
              </w:rPr>
              <w:t>26,7</w:t>
            </w:r>
          </w:p>
          <w:p w14:paraId="6F3ACEF0" w14:textId="77777777" w:rsidR="001A5B54" w:rsidRPr="00E87295" w:rsidRDefault="001A5B54" w:rsidP="00E87295">
            <w:pPr>
              <w:jc w:val="both"/>
              <w:rPr>
                <w:sz w:val="22"/>
                <w:szCs w:val="22"/>
                <w:lang w:val="sr-Latn-RS"/>
              </w:rPr>
            </w:pPr>
            <w:r w:rsidRPr="00E87295">
              <w:rPr>
                <w:color w:val="000000"/>
                <w:sz w:val="22"/>
                <w:szCs w:val="22"/>
                <w:lang w:val="sr-Latn-RS"/>
              </w:rPr>
              <w:t>(15,3; 38,1)</w:t>
            </w:r>
          </w:p>
        </w:tc>
        <w:tc>
          <w:tcPr>
            <w:tcW w:w="664" w:type="pct"/>
            <w:tcBorders>
              <w:top w:val="nil"/>
              <w:bottom w:val="nil"/>
            </w:tcBorders>
            <w:shd w:val="clear" w:color="auto" w:fill="auto"/>
            <w:vAlign w:val="center"/>
          </w:tcPr>
          <w:p w14:paraId="3E21B8B6" w14:textId="77777777" w:rsidR="001A5B54" w:rsidRPr="00E87295" w:rsidRDefault="001A5B54" w:rsidP="00E87295">
            <w:pPr>
              <w:jc w:val="both"/>
              <w:rPr>
                <w:color w:val="000000"/>
                <w:sz w:val="22"/>
                <w:szCs w:val="22"/>
                <w:lang w:val="sr-Latn-RS"/>
              </w:rPr>
            </w:pPr>
            <w:r w:rsidRPr="00E87295">
              <w:rPr>
                <w:color w:val="000000"/>
                <w:sz w:val="22"/>
                <w:szCs w:val="22"/>
                <w:lang w:val="sr-Latn-RS"/>
              </w:rPr>
              <w:t>34,8</w:t>
            </w:r>
          </w:p>
          <w:p w14:paraId="2EB7EAC5" w14:textId="77777777" w:rsidR="001A5B54" w:rsidRPr="00E87295" w:rsidRDefault="001A5B54" w:rsidP="00E87295">
            <w:pPr>
              <w:jc w:val="both"/>
              <w:rPr>
                <w:sz w:val="22"/>
                <w:szCs w:val="22"/>
                <w:lang w:val="sr-Latn-RS"/>
              </w:rPr>
            </w:pPr>
            <w:r w:rsidRPr="00E87295">
              <w:rPr>
                <w:color w:val="000000"/>
                <w:sz w:val="22"/>
                <w:szCs w:val="22"/>
                <w:lang w:val="sr-Latn-RS"/>
              </w:rPr>
              <w:t>(23,5; 46,0)</w:t>
            </w:r>
          </w:p>
        </w:tc>
        <w:tc>
          <w:tcPr>
            <w:tcW w:w="664" w:type="pct"/>
            <w:tcBorders>
              <w:top w:val="nil"/>
              <w:bottom w:val="nil"/>
            </w:tcBorders>
            <w:shd w:val="clear" w:color="auto" w:fill="auto"/>
            <w:vAlign w:val="center"/>
          </w:tcPr>
          <w:p w14:paraId="60B65A6F"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bottom w:val="nil"/>
            </w:tcBorders>
            <w:shd w:val="clear" w:color="auto" w:fill="auto"/>
            <w:vAlign w:val="center"/>
          </w:tcPr>
          <w:p w14:paraId="4EB8507B" w14:textId="77777777" w:rsidR="001A5B54" w:rsidRPr="00E87295" w:rsidRDefault="001A5B54" w:rsidP="00E87295">
            <w:pPr>
              <w:jc w:val="both"/>
              <w:rPr>
                <w:color w:val="000000"/>
                <w:sz w:val="22"/>
                <w:szCs w:val="22"/>
                <w:lang w:val="sr-Latn-RS"/>
              </w:rPr>
            </w:pPr>
            <w:r w:rsidRPr="00E87295">
              <w:rPr>
                <w:color w:val="000000"/>
                <w:sz w:val="22"/>
                <w:szCs w:val="22"/>
                <w:lang w:val="sr-Latn-RS"/>
              </w:rPr>
              <w:t>21,5</w:t>
            </w:r>
          </w:p>
          <w:p w14:paraId="0FF457B4" w14:textId="77777777" w:rsidR="001A5B54" w:rsidRPr="00E87295" w:rsidRDefault="001A5B54" w:rsidP="00E87295">
            <w:pPr>
              <w:jc w:val="both"/>
              <w:rPr>
                <w:sz w:val="22"/>
                <w:szCs w:val="22"/>
                <w:lang w:val="sr-Latn-RS"/>
              </w:rPr>
            </w:pPr>
            <w:r w:rsidRPr="00E87295">
              <w:rPr>
                <w:color w:val="000000"/>
                <w:sz w:val="22"/>
                <w:szCs w:val="22"/>
                <w:lang w:val="sr-Latn-RS"/>
              </w:rPr>
              <w:t>(13,1; 30,0)</w:t>
            </w:r>
          </w:p>
        </w:tc>
        <w:tc>
          <w:tcPr>
            <w:tcW w:w="665" w:type="pct"/>
            <w:tcBorders>
              <w:top w:val="nil"/>
              <w:bottom w:val="nil"/>
            </w:tcBorders>
            <w:shd w:val="clear" w:color="auto" w:fill="auto"/>
            <w:vAlign w:val="center"/>
          </w:tcPr>
          <w:p w14:paraId="2BD53FC7" w14:textId="77777777" w:rsidR="001A5B54" w:rsidRPr="00E87295" w:rsidRDefault="001A5B54" w:rsidP="00E87295">
            <w:pPr>
              <w:jc w:val="both"/>
              <w:rPr>
                <w:color w:val="000000"/>
                <w:sz w:val="22"/>
                <w:szCs w:val="22"/>
                <w:lang w:val="sr-Latn-RS"/>
              </w:rPr>
            </w:pPr>
            <w:r w:rsidRPr="00E87295">
              <w:rPr>
                <w:color w:val="000000"/>
                <w:sz w:val="22"/>
                <w:szCs w:val="22"/>
                <w:lang w:val="sr-Latn-RS"/>
              </w:rPr>
              <w:t>22,2</w:t>
            </w:r>
          </w:p>
          <w:p w14:paraId="2EFC6F4A" w14:textId="77777777" w:rsidR="001A5B54" w:rsidRPr="00E87295" w:rsidRDefault="001A5B54" w:rsidP="00E87295">
            <w:pPr>
              <w:jc w:val="both"/>
              <w:rPr>
                <w:sz w:val="22"/>
                <w:szCs w:val="22"/>
                <w:lang w:val="sr-Latn-RS"/>
              </w:rPr>
            </w:pPr>
            <w:r w:rsidRPr="00E87295">
              <w:rPr>
                <w:color w:val="000000"/>
                <w:sz w:val="22"/>
                <w:szCs w:val="22"/>
                <w:lang w:val="sr-Latn-RS"/>
              </w:rPr>
              <w:t>(13,7; 30,7)</w:t>
            </w:r>
          </w:p>
        </w:tc>
      </w:tr>
      <w:tr w:rsidR="001A5B54" w:rsidRPr="00E87295" w14:paraId="1E7BF23B" w14:textId="77777777" w:rsidTr="00E87295">
        <w:trPr>
          <w:cantSplit/>
          <w:jc w:val="center"/>
        </w:trPr>
        <w:tc>
          <w:tcPr>
            <w:tcW w:w="1015" w:type="pct"/>
            <w:tcBorders>
              <w:top w:val="nil"/>
              <w:bottom w:val="nil"/>
            </w:tcBorders>
            <w:shd w:val="clear" w:color="auto" w:fill="auto"/>
            <w:vAlign w:val="center"/>
          </w:tcPr>
          <w:p w14:paraId="11453D0A" w14:textId="6CDFA6C8" w:rsidR="001A5B54" w:rsidRPr="00E87295" w:rsidRDefault="001A5B54" w:rsidP="00E87295">
            <w:pPr>
              <w:jc w:val="both"/>
              <w:rPr>
                <w:sz w:val="22"/>
                <w:szCs w:val="22"/>
                <w:lang w:val="sr-Latn-RS"/>
              </w:rPr>
            </w:pPr>
            <w:r w:rsidRPr="00E87295">
              <w:rPr>
                <w:sz w:val="22"/>
                <w:szCs w:val="22"/>
                <w:lang w:val="sr-Latn-RS"/>
              </w:rPr>
              <w:t>24. ned</w:t>
            </w:r>
            <w:r w:rsidR="00343954" w:rsidRPr="00E87295">
              <w:rPr>
                <w:sz w:val="22"/>
                <w:szCs w:val="22"/>
                <w:lang w:val="sr-Latn-RS"/>
              </w:rPr>
              <w:t>j</w:t>
            </w:r>
            <w:r w:rsidRPr="00E87295">
              <w:rPr>
                <w:sz w:val="22"/>
                <w:szCs w:val="22"/>
                <w:lang w:val="sr-Latn-RS"/>
              </w:rPr>
              <w:t>elja</w:t>
            </w:r>
          </w:p>
        </w:tc>
        <w:tc>
          <w:tcPr>
            <w:tcW w:w="664" w:type="pct"/>
            <w:tcBorders>
              <w:top w:val="nil"/>
              <w:bottom w:val="nil"/>
            </w:tcBorders>
            <w:shd w:val="clear" w:color="auto" w:fill="auto"/>
            <w:vAlign w:val="center"/>
          </w:tcPr>
          <w:p w14:paraId="28437117" w14:textId="77777777" w:rsidR="001A5B54" w:rsidRPr="00E87295" w:rsidRDefault="001A5B54" w:rsidP="00E87295">
            <w:pPr>
              <w:jc w:val="both"/>
              <w:rPr>
                <w:sz w:val="22"/>
                <w:szCs w:val="22"/>
                <w:lang w:val="sr-Latn-RS"/>
              </w:rPr>
            </w:pPr>
            <w:r w:rsidRPr="00E87295">
              <w:rPr>
                <w:sz w:val="22"/>
                <w:szCs w:val="22"/>
                <w:lang w:val="sr-Latn-RS"/>
              </w:rPr>
              <w:t>22,2%</w:t>
            </w:r>
          </w:p>
        </w:tc>
        <w:tc>
          <w:tcPr>
            <w:tcW w:w="664" w:type="pct"/>
            <w:tcBorders>
              <w:top w:val="nil"/>
              <w:bottom w:val="nil"/>
            </w:tcBorders>
            <w:shd w:val="clear" w:color="auto" w:fill="auto"/>
            <w:vAlign w:val="center"/>
          </w:tcPr>
          <w:p w14:paraId="3E564BA2" w14:textId="77777777" w:rsidR="001A5B54" w:rsidRPr="00E87295" w:rsidRDefault="001A5B54" w:rsidP="00E87295">
            <w:pPr>
              <w:jc w:val="both"/>
              <w:rPr>
                <w:sz w:val="22"/>
                <w:szCs w:val="22"/>
                <w:lang w:val="sr-Latn-RS"/>
              </w:rPr>
            </w:pPr>
            <w:r w:rsidRPr="00E87295">
              <w:rPr>
                <w:sz w:val="22"/>
                <w:szCs w:val="22"/>
                <w:lang w:val="sr-Latn-RS"/>
              </w:rPr>
              <w:t>52,0%</w:t>
            </w:r>
            <w:r w:rsidRPr="00E87295">
              <w:rPr>
                <w:sz w:val="22"/>
                <w:szCs w:val="22"/>
                <w:vertAlign w:val="superscript"/>
                <w:lang w:val="sr-Latn-RS"/>
              </w:rPr>
              <w:t xml:space="preserve"> a</w:t>
            </w:r>
          </w:p>
        </w:tc>
        <w:tc>
          <w:tcPr>
            <w:tcW w:w="664" w:type="pct"/>
            <w:tcBorders>
              <w:top w:val="nil"/>
              <w:bottom w:val="nil"/>
            </w:tcBorders>
            <w:shd w:val="clear" w:color="auto" w:fill="auto"/>
            <w:vAlign w:val="center"/>
          </w:tcPr>
          <w:p w14:paraId="0FA05C3F" w14:textId="77777777" w:rsidR="001A5B54" w:rsidRPr="00E87295" w:rsidRDefault="001A5B54" w:rsidP="00E87295">
            <w:pPr>
              <w:jc w:val="both"/>
              <w:rPr>
                <w:sz w:val="22"/>
                <w:szCs w:val="22"/>
                <w:lang w:val="sr-Latn-RS"/>
              </w:rPr>
            </w:pPr>
            <w:r w:rsidRPr="00E87295">
              <w:rPr>
                <w:sz w:val="22"/>
                <w:szCs w:val="22"/>
                <w:lang w:val="sr-Latn-RS"/>
              </w:rPr>
              <w:t xml:space="preserve">59,4% </w:t>
            </w:r>
            <w:r w:rsidRPr="00E87295">
              <w:rPr>
                <w:sz w:val="22"/>
                <w:szCs w:val="22"/>
                <w:vertAlign w:val="superscript"/>
                <w:lang w:val="sr-Latn-RS"/>
              </w:rPr>
              <w:t>a</w:t>
            </w:r>
          </w:p>
        </w:tc>
        <w:tc>
          <w:tcPr>
            <w:tcW w:w="664" w:type="pct"/>
            <w:tcBorders>
              <w:top w:val="nil"/>
              <w:bottom w:val="nil"/>
            </w:tcBorders>
            <w:shd w:val="clear" w:color="auto" w:fill="auto"/>
            <w:vAlign w:val="center"/>
          </w:tcPr>
          <w:p w14:paraId="15FFA0ED" w14:textId="77777777" w:rsidR="001A5B54" w:rsidRPr="00E87295" w:rsidRDefault="001A5B54" w:rsidP="00E87295">
            <w:pPr>
              <w:jc w:val="both"/>
              <w:rPr>
                <w:sz w:val="22"/>
                <w:szCs w:val="22"/>
                <w:lang w:val="sr-Latn-RS"/>
              </w:rPr>
            </w:pPr>
            <w:r w:rsidRPr="00E87295">
              <w:rPr>
                <w:sz w:val="22"/>
                <w:szCs w:val="22"/>
                <w:lang w:val="sr-Latn-RS"/>
              </w:rPr>
              <w:t>32,9%</w:t>
            </w:r>
          </w:p>
        </w:tc>
        <w:tc>
          <w:tcPr>
            <w:tcW w:w="664" w:type="pct"/>
            <w:tcBorders>
              <w:top w:val="nil"/>
              <w:bottom w:val="nil"/>
            </w:tcBorders>
            <w:shd w:val="clear" w:color="auto" w:fill="auto"/>
            <w:vAlign w:val="center"/>
          </w:tcPr>
          <w:p w14:paraId="0ACD54E1" w14:textId="77777777" w:rsidR="001A5B54" w:rsidRPr="00E87295" w:rsidRDefault="001A5B54" w:rsidP="00E87295">
            <w:pPr>
              <w:jc w:val="both"/>
              <w:rPr>
                <w:sz w:val="22"/>
                <w:szCs w:val="22"/>
                <w:lang w:val="sr-Latn-RS"/>
              </w:rPr>
            </w:pPr>
            <w:r w:rsidRPr="00E87295">
              <w:rPr>
                <w:sz w:val="22"/>
                <w:szCs w:val="22"/>
                <w:lang w:val="sr-Latn-RS"/>
              </w:rPr>
              <w:t xml:space="preserve">64,1% </w:t>
            </w:r>
            <w:r w:rsidRPr="00E87295">
              <w:rPr>
                <w:sz w:val="22"/>
                <w:szCs w:val="22"/>
                <w:vertAlign w:val="superscript"/>
                <w:lang w:val="sr-Latn-RS"/>
              </w:rPr>
              <w:t>a</w:t>
            </w:r>
          </w:p>
        </w:tc>
        <w:tc>
          <w:tcPr>
            <w:tcW w:w="665" w:type="pct"/>
            <w:tcBorders>
              <w:top w:val="nil"/>
              <w:bottom w:val="nil"/>
            </w:tcBorders>
            <w:shd w:val="clear" w:color="auto" w:fill="auto"/>
            <w:vAlign w:val="center"/>
          </w:tcPr>
          <w:p w14:paraId="023DF8BC" w14:textId="77777777" w:rsidR="001A5B54" w:rsidRPr="00E87295" w:rsidRDefault="001A5B54" w:rsidP="00E87295">
            <w:pPr>
              <w:jc w:val="both"/>
              <w:rPr>
                <w:sz w:val="22"/>
                <w:szCs w:val="22"/>
                <w:lang w:val="sr-Latn-RS"/>
              </w:rPr>
            </w:pPr>
            <w:r w:rsidRPr="00E87295">
              <w:rPr>
                <w:sz w:val="22"/>
                <w:szCs w:val="22"/>
                <w:lang w:val="sr-Latn-RS"/>
              </w:rPr>
              <w:t>63,7%</w:t>
            </w:r>
            <w:r w:rsidRPr="00E87295">
              <w:rPr>
                <w:sz w:val="22"/>
                <w:szCs w:val="22"/>
                <w:vertAlign w:val="superscript"/>
                <w:lang w:val="sr-Latn-RS"/>
              </w:rPr>
              <w:t xml:space="preserve"> a</w:t>
            </w:r>
          </w:p>
        </w:tc>
      </w:tr>
      <w:tr w:rsidR="001A5B54" w:rsidRPr="00E87295" w14:paraId="55D9AA11" w14:textId="77777777" w:rsidTr="00E87295">
        <w:trPr>
          <w:cantSplit/>
          <w:jc w:val="center"/>
        </w:trPr>
        <w:tc>
          <w:tcPr>
            <w:tcW w:w="1015" w:type="pct"/>
            <w:tcBorders>
              <w:top w:val="nil"/>
            </w:tcBorders>
            <w:shd w:val="clear" w:color="auto" w:fill="auto"/>
            <w:vAlign w:val="center"/>
          </w:tcPr>
          <w:p w14:paraId="1408822D"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tcBorders>
            <w:shd w:val="clear" w:color="auto" w:fill="auto"/>
            <w:vAlign w:val="center"/>
          </w:tcPr>
          <w:p w14:paraId="2576C06E"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57C10BC2" w14:textId="77777777" w:rsidR="001A5B54" w:rsidRPr="00E87295" w:rsidRDefault="001A5B54" w:rsidP="00E87295">
            <w:pPr>
              <w:jc w:val="both"/>
              <w:rPr>
                <w:color w:val="000000"/>
                <w:sz w:val="22"/>
                <w:szCs w:val="22"/>
                <w:lang w:val="sr-Latn-RS"/>
              </w:rPr>
            </w:pPr>
            <w:r w:rsidRPr="00E87295">
              <w:rPr>
                <w:color w:val="000000"/>
                <w:sz w:val="22"/>
                <w:szCs w:val="22"/>
                <w:lang w:val="sr-Latn-RS"/>
              </w:rPr>
              <w:t>29,8</w:t>
            </w:r>
          </w:p>
          <w:p w14:paraId="23ECFC7A" w14:textId="77777777" w:rsidR="001A5B54" w:rsidRPr="00E87295" w:rsidRDefault="001A5B54" w:rsidP="00E87295">
            <w:pPr>
              <w:jc w:val="both"/>
              <w:rPr>
                <w:sz w:val="22"/>
                <w:szCs w:val="22"/>
                <w:lang w:val="sr-Latn-RS"/>
              </w:rPr>
            </w:pPr>
            <w:r w:rsidRPr="00E87295">
              <w:rPr>
                <w:color w:val="000000"/>
                <w:sz w:val="22"/>
                <w:szCs w:val="22"/>
                <w:lang w:val="sr-Latn-RS"/>
              </w:rPr>
              <w:t>(18,6;41,1)</w:t>
            </w:r>
          </w:p>
        </w:tc>
        <w:tc>
          <w:tcPr>
            <w:tcW w:w="664" w:type="pct"/>
            <w:tcBorders>
              <w:top w:val="nil"/>
            </w:tcBorders>
            <w:shd w:val="clear" w:color="auto" w:fill="auto"/>
            <w:vAlign w:val="center"/>
          </w:tcPr>
          <w:p w14:paraId="559E967B" w14:textId="77777777" w:rsidR="001A5B54" w:rsidRPr="00E87295" w:rsidRDefault="001A5B54" w:rsidP="00E87295">
            <w:pPr>
              <w:jc w:val="both"/>
              <w:rPr>
                <w:color w:val="000000"/>
                <w:sz w:val="22"/>
                <w:szCs w:val="22"/>
                <w:lang w:val="sr-Latn-RS"/>
              </w:rPr>
            </w:pPr>
            <w:r w:rsidRPr="00E87295">
              <w:rPr>
                <w:color w:val="000000"/>
                <w:sz w:val="22"/>
                <w:szCs w:val="22"/>
                <w:lang w:val="sr-Latn-RS"/>
              </w:rPr>
              <w:t>37,1</w:t>
            </w:r>
          </w:p>
          <w:p w14:paraId="3FFFD56F" w14:textId="77777777" w:rsidR="001A5B54" w:rsidRPr="00E87295" w:rsidRDefault="001A5B54" w:rsidP="00E87295">
            <w:pPr>
              <w:jc w:val="both"/>
              <w:rPr>
                <w:sz w:val="22"/>
                <w:szCs w:val="22"/>
                <w:lang w:val="sr-Latn-RS"/>
              </w:rPr>
            </w:pPr>
            <w:r w:rsidRPr="00E87295">
              <w:rPr>
                <w:color w:val="000000"/>
                <w:sz w:val="22"/>
                <w:szCs w:val="22"/>
                <w:lang w:val="sr-Latn-RS"/>
              </w:rPr>
              <w:t>(26,1; 48,2)</w:t>
            </w:r>
          </w:p>
        </w:tc>
        <w:tc>
          <w:tcPr>
            <w:tcW w:w="664" w:type="pct"/>
            <w:tcBorders>
              <w:top w:val="nil"/>
            </w:tcBorders>
            <w:shd w:val="clear" w:color="auto" w:fill="auto"/>
            <w:vAlign w:val="center"/>
          </w:tcPr>
          <w:p w14:paraId="54ABDA9D"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5FEEAA53" w14:textId="77777777" w:rsidR="001A5B54" w:rsidRPr="00E87295" w:rsidRDefault="001A5B54" w:rsidP="00E87295">
            <w:pPr>
              <w:jc w:val="both"/>
              <w:rPr>
                <w:color w:val="000000"/>
                <w:sz w:val="22"/>
                <w:szCs w:val="22"/>
                <w:lang w:val="sr-Latn-RS"/>
              </w:rPr>
            </w:pPr>
            <w:r w:rsidRPr="00E87295">
              <w:rPr>
                <w:color w:val="000000"/>
                <w:sz w:val="22"/>
                <w:szCs w:val="22"/>
                <w:lang w:val="sr-Latn-RS"/>
              </w:rPr>
              <w:t>31,2</w:t>
            </w:r>
          </w:p>
          <w:p w14:paraId="62092491" w14:textId="77777777" w:rsidR="001A5B54" w:rsidRPr="00E87295" w:rsidRDefault="001A5B54" w:rsidP="00E87295">
            <w:pPr>
              <w:jc w:val="both"/>
              <w:rPr>
                <w:sz w:val="22"/>
                <w:szCs w:val="22"/>
                <w:lang w:val="sr-Latn-RS"/>
              </w:rPr>
            </w:pPr>
            <w:r w:rsidRPr="00E87295">
              <w:rPr>
                <w:color w:val="000000"/>
                <w:sz w:val="22"/>
                <w:szCs w:val="22"/>
                <w:lang w:val="sr-Latn-RS"/>
              </w:rPr>
              <w:t>(22,9; 39,5)</w:t>
            </w:r>
          </w:p>
        </w:tc>
        <w:tc>
          <w:tcPr>
            <w:tcW w:w="665" w:type="pct"/>
            <w:tcBorders>
              <w:top w:val="nil"/>
            </w:tcBorders>
            <w:shd w:val="clear" w:color="auto" w:fill="auto"/>
            <w:vAlign w:val="center"/>
          </w:tcPr>
          <w:p w14:paraId="13CCB688" w14:textId="77777777" w:rsidR="001A5B54" w:rsidRPr="00E87295" w:rsidRDefault="001A5B54" w:rsidP="00E87295">
            <w:pPr>
              <w:jc w:val="both"/>
              <w:rPr>
                <w:color w:val="000000"/>
                <w:sz w:val="22"/>
                <w:szCs w:val="22"/>
                <w:lang w:val="sr-Latn-RS"/>
              </w:rPr>
            </w:pPr>
            <w:r w:rsidRPr="00E87295">
              <w:rPr>
                <w:color w:val="000000"/>
                <w:sz w:val="22"/>
                <w:szCs w:val="22"/>
                <w:lang w:val="sr-Latn-RS"/>
              </w:rPr>
              <w:t>30,8</w:t>
            </w:r>
          </w:p>
          <w:p w14:paraId="2F832971" w14:textId="77777777" w:rsidR="001A5B54" w:rsidRPr="00E87295" w:rsidRDefault="001A5B54" w:rsidP="00E87295">
            <w:pPr>
              <w:jc w:val="both"/>
              <w:rPr>
                <w:sz w:val="22"/>
                <w:szCs w:val="22"/>
                <w:lang w:val="sr-Latn-RS"/>
              </w:rPr>
            </w:pPr>
            <w:r w:rsidRPr="00E87295">
              <w:rPr>
                <w:color w:val="000000"/>
                <w:sz w:val="22"/>
                <w:szCs w:val="22"/>
                <w:lang w:val="sr-Latn-RS"/>
              </w:rPr>
              <w:t>(22,4; 39,1)</w:t>
            </w:r>
          </w:p>
        </w:tc>
      </w:tr>
      <w:tr w:rsidR="001A5B54" w:rsidRPr="00E87295" w14:paraId="2C345078" w14:textId="77777777" w:rsidTr="00E87295">
        <w:trPr>
          <w:cantSplit/>
          <w:jc w:val="center"/>
        </w:trPr>
        <w:tc>
          <w:tcPr>
            <w:tcW w:w="5000" w:type="pct"/>
            <w:gridSpan w:val="7"/>
            <w:tcBorders>
              <w:bottom w:val="nil"/>
            </w:tcBorders>
            <w:shd w:val="clear" w:color="auto" w:fill="auto"/>
            <w:vAlign w:val="center"/>
          </w:tcPr>
          <w:p w14:paraId="1A5E3C19" w14:textId="77777777" w:rsidR="001A5B54" w:rsidRPr="00E87295" w:rsidRDefault="001A5B54" w:rsidP="00E87295">
            <w:pPr>
              <w:keepNext/>
              <w:jc w:val="both"/>
              <w:rPr>
                <w:sz w:val="22"/>
                <w:szCs w:val="22"/>
                <w:lang w:val="sr-Latn-RS"/>
              </w:rPr>
            </w:pPr>
            <w:r w:rsidRPr="00E87295">
              <w:rPr>
                <w:b/>
                <w:sz w:val="22"/>
                <w:szCs w:val="22"/>
                <w:lang w:val="sr-Latn-RS"/>
              </w:rPr>
              <w:t>Odgovor ACR 50</w:t>
            </w:r>
          </w:p>
        </w:tc>
      </w:tr>
      <w:tr w:rsidR="001A5B54" w:rsidRPr="00E87295" w14:paraId="0D66B7EF" w14:textId="77777777" w:rsidTr="00E87295">
        <w:trPr>
          <w:cantSplit/>
          <w:jc w:val="center"/>
        </w:trPr>
        <w:tc>
          <w:tcPr>
            <w:tcW w:w="1015" w:type="pct"/>
            <w:tcBorders>
              <w:top w:val="nil"/>
              <w:bottom w:val="nil"/>
            </w:tcBorders>
            <w:shd w:val="clear" w:color="auto" w:fill="auto"/>
            <w:vAlign w:val="center"/>
          </w:tcPr>
          <w:p w14:paraId="6DFFC6B6" w14:textId="77777777" w:rsidR="001A5B54" w:rsidRPr="00E87295" w:rsidRDefault="001A5B54" w:rsidP="00E87295">
            <w:pPr>
              <w:jc w:val="both"/>
              <w:rPr>
                <w:sz w:val="22"/>
                <w:szCs w:val="22"/>
                <w:lang w:val="sr-Latn-RS"/>
              </w:rPr>
            </w:pPr>
            <w:r w:rsidRPr="00E87295">
              <w:rPr>
                <w:sz w:val="22"/>
                <w:szCs w:val="22"/>
                <w:lang w:val="sr-Latn-RS"/>
              </w:rPr>
              <w:t>16. nedelja</w:t>
            </w:r>
          </w:p>
        </w:tc>
        <w:tc>
          <w:tcPr>
            <w:tcW w:w="664" w:type="pct"/>
            <w:tcBorders>
              <w:top w:val="nil"/>
              <w:bottom w:val="nil"/>
            </w:tcBorders>
            <w:shd w:val="clear" w:color="auto" w:fill="auto"/>
            <w:vAlign w:val="center"/>
          </w:tcPr>
          <w:p w14:paraId="08771A06" w14:textId="77777777" w:rsidR="001A5B54" w:rsidRPr="00E87295" w:rsidRDefault="001A5B54" w:rsidP="00E87295">
            <w:pPr>
              <w:jc w:val="both"/>
              <w:rPr>
                <w:sz w:val="22"/>
                <w:szCs w:val="22"/>
                <w:lang w:val="sr-Latn-RS"/>
              </w:rPr>
            </w:pPr>
            <w:r w:rsidRPr="00E87295">
              <w:rPr>
                <w:sz w:val="22"/>
                <w:szCs w:val="22"/>
                <w:lang w:val="sr-Latn-RS"/>
              </w:rPr>
              <w:t>12,7%</w:t>
            </w:r>
          </w:p>
        </w:tc>
        <w:tc>
          <w:tcPr>
            <w:tcW w:w="664" w:type="pct"/>
            <w:tcBorders>
              <w:top w:val="nil"/>
              <w:bottom w:val="nil"/>
            </w:tcBorders>
            <w:shd w:val="clear" w:color="auto" w:fill="auto"/>
            <w:vAlign w:val="center"/>
          </w:tcPr>
          <w:p w14:paraId="5C2E0CDA" w14:textId="77777777" w:rsidR="001A5B54" w:rsidRPr="00E87295" w:rsidRDefault="001A5B54" w:rsidP="00E87295">
            <w:pPr>
              <w:jc w:val="both"/>
              <w:rPr>
                <w:sz w:val="22"/>
                <w:szCs w:val="22"/>
                <w:vertAlign w:val="superscript"/>
                <w:lang w:val="sr-Latn-RS"/>
              </w:rPr>
            </w:pPr>
            <w:r w:rsidRPr="00E87295">
              <w:rPr>
                <w:sz w:val="22"/>
                <w:szCs w:val="22"/>
                <w:lang w:val="sr-Latn-RS"/>
              </w:rPr>
              <w:t xml:space="preserve">22,8% </w:t>
            </w:r>
            <w:r w:rsidRPr="00E87295">
              <w:rPr>
                <w:sz w:val="22"/>
                <w:szCs w:val="22"/>
                <w:vertAlign w:val="superscript"/>
                <w:lang w:val="sr-Latn-RS"/>
              </w:rPr>
              <w:t>d</w:t>
            </w:r>
            <w:r w:rsidRPr="00E87295">
              <w:rPr>
                <w:sz w:val="22"/>
                <w:szCs w:val="22"/>
                <w:lang w:val="sr-Latn-RS"/>
              </w:rPr>
              <w:t xml:space="preserve"> </w:t>
            </w:r>
          </w:p>
        </w:tc>
        <w:tc>
          <w:tcPr>
            <w:tcW w:w="664" w:type="pct"/>
            <w:tcBorders>
              <w:top w:val="nil"/>
              <w:bottom w:val="nil"/>
            </w:tcBorders>
            <w:shd w:val="clear" w:color="auto" w:fill="auto"/>
            <w:vAlign w:val="center"/>
          </w:tcPr>
          <w:p w14:paraId="6DAFFBA2" w14:textId="77777777" w:rsidR="001A5B54" w:rsidRPr="00E87295" w:rsidRDefault="001A5B54" w:rsidP="00E87295">
            <w:pPr>
              <w:jc w:val="both"/>
              <w:rPr>
                <w:sz w:val="22"/>
                <w:szCs w:val="22"/>
                <w:vertAlign w:val="superscript"/>
                <w:lang w:val="sr-Latn-RS"/>
              </w:rPr>
            </w:pPr>
            <w:r w:rsidRPr="00E87295">
              <w:rPr>
                <w:sz w:val="22"/>
                <w:szCs w:val="22"/>
                <w:lang w:val="sr-Latn-RS"/>
              </w:rPr>
              <w:t xml:space="preserve">26,6% </w:t>
            </w:r>
            <w:r w:rsidRPr="00E87295">
              <w:rPr>
                <w:sz w:val="22"/>
                <w:szCs w:val="22"/>
                <w:vertAlign w:val="superscript"/>
                <w:lang w:val="sr-Latn-RS"/>
              </w:rPr>
              <w:t>c</w:t>
            </w:r>
          </w:p>
        </w:tc>
        <w:tc>
          <w:tcPr>
            <w:tcW w:w="664" w:type="pct"/>
            <w:tcBorders>
              <w:top w:val="nil"/>
              <w:bottom w:val="nil"/>
            </w:tcBorders>
            <w:shd w:val="clear" w:color="auto" w:fill="auto"/>
            <w:vAlign w:val="center"/>
          </w:tcPr>
          <w:p w14:paraId="13555A09" w14:textId="77777777" w:rsidR="001A5B54" w:rsidRPr="00E87295" w:rsidRDefault="001A5B54" w:rsidP="00E87295">
            <w:pPr>
              <w:jc w:val="both"/>
              <w:rPr>
                <w:sz w:val="22"/>
                <w:szCs w:val="22"/>
                <w:lang w:val="sr-Latn-RS"/>
              </w:rPr>
            </w:pPr>
            <w:r w:rsidRPr="00E87295">
              <w:rPr>
                <w:sz w:val="22"/>
                <w:szCs w:val="22"/>
                <w:lang w:val="sr-Latn-RS"/>
              </w:rPr>
              <w:t>9,3%</w:t>
            </w:r>
          </w:p>
        </w:tc>
        <w:tc>
          <w:tcPr>
            <w:tcW w:w="664" w:type="pct"/>
            <w:tcBorders>
              <w:top w:val="nil"/>
              <w:bottom w:val="nil"/>
            </w:tcBorders>
            <w:shd w:val="clear" w:color="auto" w:fill="auto"/>
            <w:vAlign w:val="center"/>
          </w:tcPr>
          <w:p w14:paraId="4C6BB933" w14:textId="77777777" w:rsidR="001A5B54" w:rsidRPr="00E87295" w:rsidRDefault="001A5B54" w:rsidP="00E87295">
            <w:pPr>
              <w:jc w:val="both"/>
              <w:rPr>
                <w:sz w:val="22"/>
                <w:szCs w:val="22"/>
                <w:vertAlign w:val="superscript"/>
                <w:lang w:val="sr-Latn-RS"/>
              </w:rPr>
            </w:pPr>
            <w:r w:rsidRPr="00E87295">
              <w:rPr>
                <w:sz w:val="22"/>
                <w:szCs w:val="22"/>
                <w:lang w:val="sr-Latn-RS"/>
              </w:rPr>
              <w:t xml:space="preserve">28,6% </w:t>
            </w:r>
            <w:r w:rsidRPr="00E87295">
              <w:rPr>
                <w:sz w:val="22"/>
                <w:szCs w:val="22"/>
                <w:vertAlign w:val="superscript"/>
                <w:lang w:val="sr-Latn-RS"/>
              </w:rPr>
              <w:t>g</w:t>
            </w:r>
          </w:p>
        </w:tc>
        <w:tc>
          <w:tcPr>
            <w:tcW w:w="665" w:type="pct"/>
            <w:tcBorders>
              <w:top w:val="nil"/>
              <w:bottom w:val="nil"/>
            </w:tcBorders>
            <w:shd w:val="clear" w:color="auto" w:fill="auto"/>
            <w:vAlign w:val="center"/>
          </w:tcPr>
          <w:p w14:paraId="5BACC0A1" w14:textId="77777777" w:rsidR="001A5B54" w:rsidRPr="00E87295" w:rsidRDefault="001A5B54" w:rsidP="00E87295">
            <w:pPr>
              <w:jc w:val="both"/>
              <w:rPr>
                <w:sz w:val="22"/>
                <w:szCs w:val="22"/>
                <w:vertAlign w:val="superscript"/>
                <w:lang w:val="sr-Latn-RS"/>
              </w:rPr>
            </w:pPr>
            <w:r w:rsidRPr="00E87295">
              <w:rPr>
                <w:sz w:val="22"/>
                <w:szCs w:val="22"/>
                <w:lang w:val="sr-Latn-RS"/>
              </w:rPr>
              <w:t xml:space="preserve">20,8% </w:t>
            </w:r>
            <w:r w:rsidRPr="00E87295">
              <w:rPr>
                <w:sz w:val="22"/>
                <w:szCs w:val="22"/>
                <w:vertAlign w:val="superscript"/>
                <w:lang w:val="sr-Latn-RS"/>
              </w:rPr>
              <w:t>c</w:t>
            </w:r>
          </w:p>
        </w:tc>
      </w:tr>
      <w:tr w:rsidR="001A5B54" w:rsidRPr="00E87295" w14:paraId="64CF5651" w14:textId="77777777" w:rsidTr="00E87295">
        <w:trPr>
          <w:cantSplit/>
          <w:jc w:val="center"/>
        </w:trPr>
        <w:tc>
          <w:tcPr>
            <w:tcW w:w="1015" w:type="pct"/>
            <w:tcBorders>
              <w:top w:val="nil"/>
              <w:bottom w:val="nil"/>
            </w:tcBorders>
            <w:shd w:val="clear" w:color="auto" w:fill="auto"/>
            <w:vAlign w:val="center"/>
          </w:tcPr>
          <w:p w14:paraId="38AAFE54"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bottom w:val="nil"/>
            </w:tcBorders>
            <w:shd w:val="clear" w:color="auto" w:fill="auto"/>
            <w:vAlign w:val="center"/>
          </w:tcPr>
          <w:p w14:paraId="12EBA054"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bottom w:val="nil"/>
            </w:tcBorders>
            <w:shd w:val="clear" w:color="auto" w:fill="auto"/>
            <w:vAlign w:val="center"/>
          </w:tcPr>
          <w:p w14:paraId="747278C0" w14:textId="77777777" w:rsidR="001A5B54" w:rsidRPr="00E87295" w:rsidRDefault="001A5B54" w:rsidP="00E87295">
            <w:pPr>
              <w:jc w:val="both"/>
              <w:rPr>
                <w:color w:val="000000"/>
                <w:sz w:val="22"/>
                <w:szCs w:val="22"/>
                <w:lang w:val="sr-Latn-RS"/>
              </w:rPr>
            </w:pPr>
            <w:r w:rsidRPr="00E87295">
              <w:rPr>
                <w:color w:val="000000"/>
                <w:sz w:val="22"/>
                <w:szCs w:val="22"/>
                <w:lang w:val="sr-Latn-RS"/>
              </w:rPr>
              <w:t>10,2</w:t>
            </w:r>
          </w:p>
          <w:p w14:paraId="668F4D77" w14:textId="77777777" w:rsidR="001A5B54" w:rsidRPr="00E87295" w:rsidRDefault="001A5B54" w:rsidP="00E87295">
            <w:pPr>
              <w:jc w:val="both"/>
              <w:rPr>
                <w:sz w:val="22"/>
                <w:szCs w:val="22"/>
                <w:lang w:val="sr-Latn-RS"/>
              </w:rPr>
            </w:pPr>
            <w:r w:rsidRPr="00E87295">
              <w:rPr>
                <w:color w:val="000000"/>
                <w:sz w:val="22"/>
                <w:szCs w:val="22"/>
                <w:lang w:val="sr-Latn-RS"/>
              </w:rPr>
              <w:t>(1,0; 19,3)</w:t>
            </w:r>
          </w:p>
        </w:tc>
        <w:tc>
          <w:tcPr>
            <w:tcW w:w="664" w:type="pct"/>
            <w:tcBorders>
              <w:top w:val="nil"/>
              <w:bottom w:val="nil"/>
            </w:tcBorders>
            <w:shd w:val="clear" w:color="auto" w:fill="auto"/>
            <w:vAlign w:val="center"/>
          </w:tcPr>
          <w:p w14:paraId="229BC7D7" w14:textId="77777777" w:rsidR="001A5B54" w:rsidRPr="00E87295" w:rsidRDefault="001A5B54" w:rsidP="00E87295">
            <w:pPr>
              <w:jc w:val="both"/>
              <w:rPr>
                <w:color w:val="000000"/>
                <w:sz w:val="22"/>
                <w:szCs w:val="22"/>
                <w:lang w:val="sr-Latn-RS"/>
              </w:rPr>
            </w:pPr>
            <w:r w:rsidRPr="00E87295">
              <w:rPr>
                <w:color w:val="000000"/>
                <w:sz w:val="22"/>
                <w:szCs w:val="22"/>
                <w:lang w:val="sr-Latn-RS"/>
              </w:rPr>
              <w:t>13,9</w:t>
            </w:r>
          </w:p>
          <w:p w14:paraId="4D4E5560" w14:textId="77777777" w:rsidR="001A5B54" w:rsidRPr="00E87295" w:rsidRDefault="001A5B54" w:rsidP="00E87295">
            <w:pPr>
              <w:jc w:val="both"/>
              <w:rPr>
                <w:sz w:val="22"/>
                <w:szCs w:val="22"/>
                <w:lang w:val="sr-Latn-RS"/>
              </w:rPr>
            </w:pPr>
            <w:r w:rsidRPr="00E87295">
              <w:rPr>
                <w:color w:val="000000"/>
                <w:sz w:val="22"/>
                <w:szCs w:val="22"/>
                <w:lang w:val="sr-Latn-RS"/>
              </w:rPr>
              <w:t>(4,4; 23,4)</w:t>
            </w:r>
          </w:p>
        </w:tc>
        <w:tc>
          <w:tcPr>
            <w:tcW w:w="664" w:type="pct"/>
            <w:tcBorders>
              <w:top w:val="nil"/>
              <w:bottom w:val="nil"/>
            </w:tcBorders>
            <w:shd w:val="clear" w:color="auto" w:fill="auto"/>
            <w:vAlign w:val="center"/>
          </w:tcPr>
          <w:p w14:paraId="512E2EA6"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bottom w:val="nil"/>
            </w:tcBorders>
            <w:shd w:val="clear" w:color="auto" w:fill="auto"/>
            <w:vAlign w:val="center"/>
          </w:tcPr>
          <w:p w14:paraId="73C069EC" w14:textId="77777777" w:rsidR="001A5B54" w:rsidRPr="00E87295" w:rsidRDefault="001A5B54" w:rsidP="00E87295">
            <w:pPr>
              <w:jc w:val="both"/>
              <w:rPr>
                <w:color w:val="000000"/>
                <w:sz w:val="22"/>
                <w:szCs w:val="22"/>
                <w:lang w:val="sr-Latn-RS"/>
              </w:rPr>
            </w:pPr>
            <w:r w:rsidRPr="00E87295">
              <w:rPr>
                <w:color w:val="000000"/>
                <w:sz w:val="22"/>
                <w:szCs w:val="22"/>
                <w:lang w:val="sr-Latn-RS"/>
              </w:rPr>
              <w:t>19,3</w:t>
            </w:r>
          </w:p>
          <w:p w14:paraId="37AC77D9" w14:textId="77777777" w:rsidR="001A5B54" w:rsidRPr="00E87295" w:rsidRDefault="001A5B54" w:rsidP="00E87295">
            <w:pPr>
              <w:jc w:val="both"/>
              <w:rPr>
                <w:sz w:val="22"/>
                <w:szCs w:val="22"/>
                <w:lang w:val="sr-Latn-RS"/>
              </w:rPr>
            </w:pPr>
            <w:r w:rsidRPr="00E87295">
              <w:rPr>
                <w:color w:val="000000"/>
                <w:sz w:val="22"/>
                <w:szCs w:val="22"/>
                <w:lang w:val="sr-Latn-RS"/>
              </w:rPr>
              <w:t>(12,6; 25,9)</w:t>
            </w:r>
          </w:p>
        </w:tc>
        <w:tc>
          <w:tcPr>
            <w:tcW w:w="665" w:type="pct"/>
            <w:tcBorders>
              <w:top w:val="nil"/>
              <w:bottom w:val="nil"/>
            </w:tcBorders>
            <w:shd w:val="clear" w:color="auto" w:fill="auto"/>
            <w:vAlign w:val="center"/>
          </w:tcPr>
          <w:p w14:paraId="6E7E9612" w14:textId="77777777" w:rsidR="001A5B54" w:rsidRPr="00E87295" w:rsidRDefault="001A5B54" w:rsidP="00E87295">
            <w:pPr>
              <w:jc w:val="both"/>
              <w:rPr>
                <w:color w:val="000000"/>
                <w:sz w:val="22"/>
                <w:szCs w:val="22"/>
                <w:lang w:val="sr-Latn-RS"/>
              </w:rPr>
            </w:pPr>
            <w:r w:rsidRPr="00E87295">
              <w:rPr>
                <w:color w:val="000000"/>
                <w:sz w:val="22"/>
                <w:szCs w:val="22"/>
                <w:lang w:val="sr-Latn-RS"/>
              </w:rPr>
              <w:t>11,5</w:t>
            </w:r>
          </w:p>
          <w:p w14:paraId="0950335E" w14:textId="77777777" w:rsidR="001A5B54" w:rsidRPr="00E87295" w:rsidRDefault="001A5B54" w:rsidP="00E87295">
            <w:pPr>
              <w:jc w:val="both"/>
              <w:rPr>
                <w:sz w:val="22"/>
                <w:szCs w:val="22"/>
                <w:lang w:val="sr-Latn-RS"/>
              </w:rPr>
            </w:pPr>
            <w:r w:rsidRPr="00E87295">
              <w:rPr>
                <w:color w:val="000000"/>
                <w:sz w:val="22"/>
                <w:szCs w:val="22"/>
                <w:lang w:val="sr-Latn-RS"/>
              </w:rPr>
              <w:t>(5,2;  17,7)</w:t>
            </w:r>
          </w:p>
        </w:tc>
      </w:tr>
      <w:tr w:rsidR="001A5B54" w:rsidRPr="00E87295" w14:paraId="5D1A44C3" w14:textId="77777777" w:rsidTr="00E87295">
        <w:trPr>
          <w:cantSplit/>
          <w:jc w:val="center"/>
        </w:trPr>
        <w:tc>
          <w:tcPr>
            <w:tcW w:w="1015" w:type="pct"/>
            <w:tcBorders>
              <w:top w:val="nil"/>
              <w:bottom w:val="nil"/>
            </w:tcBorders>
            <w:shd w:val="clear" w:color="auto" w:fill="auto"/>
            <w:vAlign w:val="center"/>
          </w:tcPr>
          <w:p w14:paraId="012F51F9" w14:textId="34B3B2D0" w:rsidR="001A5B54" w:rsidRPr="00E87295" w:rsidRDefault="001A5B54" w:rsidP="00E87295">
            <w:pPr>
              <w:jc w:val="both"/>
              <w:rPr>
                <w:sz w:val="22"/>
                <w:szCs w:val="22"/>
                <w:lang w:val="sr-Latn-RS"/>
              </w:rPr>
            </w:pPr>
            <w:r w:rsidRPr="00E87295">
              <w:rPr>
                <w:sz w:val="22"/>
                <w:szCs w:val="22"/>
                <w:lang w:val="sr-Latn-RS"/>
              </w:rPr>
              <w:t>24. ned</w:t>
            </w:r>
            <w:r w:rsidR="00343954" w:rsidRPr="00E87295">
              <w:rPr>
                <w:sz w:val="22"/>
                <w:szCs w:val="22"/>
                <w:lang w:val="sr-Latn-RS"/>
              </w:rPr>
              <w:t>j</w:t>
            </w:r>
            <w:r w:rsidRPr="00E87295">
              <w:rPr>
                <w:sz w:val="22"/>
                <w:szCs w:val="22"/>
                <w:lang w:val="sr-Latn-RS"/>
              </w:rPr>
              <w:t>elja</w:t>
            </w:r>
          </w:p>
        </w:tc>
        <w:tc>
          <w:tcPr>
            <w:tcW w:w="664" w:type="pct"/>
            <w:tcBorders>
              <w:top w:val="nil"/>
              <w:bottom w:val="nil"/>
            </w:tcBorders>
            <w:shd w:val="clear" w:color="auto" w:fill="auto"/>
            <w:vAlign w:val="center"/>
          </w:tcPr>
          <w:p w14:paraId="0F686A31" w14:textId="77777777" w:rsidR="001A5B54" w:rsidRPr="00E87295" w:rsidRDefault="001A5B54" w:rsidP="00E87295">
            <w:pPr>
              <w:jc w:val="both"/>
              <w:rPr>
                <w:sz w:val="22"/>
                <w:szCs w:val="22"/>
                <w:lang w:val="sr-Latn-RS"/>
              </w:rPr>
            </w:pPr>
            <w:r w:rsidRPr="00E87295">
              <w:rPr>
                <w:sz w:val="22"/>
                <w:szCs w:val="22"/>
                <w:lang w:val="sr-Latn-RS"/>
              </w:rPr>
              <w:t>8,7%</w:t>
            </w:r>
          </w:p>
        </w:tc>
        <w:tc>
          <w:tcPr>
            <w:tcW w:w="664" w:type="pct"/>
            <w:tcBorders>
              <w:top w:val="nil"/>
              <w:bottom w:val="nil"/>
            </w:tcBorders>
            <w:shd w:val="clear" w:color="auto" w:fill="auto"/>
            <w:vAlign w:val="center"/>
          </w:tcPr>
          <w:p w14:paraId="33BE9E23" w14:textId="77777777" w:rsidR="001A5B54" w:rsidRPr="00E87295" w:rsidRDefault="001A5B54" w:rsidP="00E87295">
            <w:pPr>
              <w:jc w:val="both"/>
              <w:rPr>
                <w:sz w:val="22"/>
                <w:szCs w:val="22"/>
                <w:lang w:val="sr-Latn-RS"/>
              </w:rPr>
            </w:pPr>
            <w:r w:rsidRPr="00E87295">
              <w:rPr>
                <w:sz w:val="22"/>
                <w:szCs w:val="22"/>
                <w:lang w:val="sr-Latn-RS"/>
              </w:rPr>
              <w:t xml:space="preserve">29,9% </w:t>
            </w:r>
            <w:r w:rsidRPr="00E87295">
              <w:rPr>
                <w:sz w:val="22"/>
                <w:szCs w:val="22"/>
                <w:vertAlign w:val="superscript"/>
                <w:lang w:val="sr-Latn-RS"/>
              </w:rPr>
              <w:t>b</w:t>
            </w:r>
          </w:p>
        </w:tc>
        <w:tc>
          <w:tcPr>
            <w:tcW w:w="664" w:type="pct"/>
            <w:tcBorders>
              <w:top w:val="nil"/>
              <w:bottom w:val="nil"/>
            </w:tcBorders>
            <w:shd w:val="clear" w:color="auto" w:fill="auto"/>
            <w:vAlign w:val="center"/>
          </w:tcPr>
          <w:p w14:paraId="32C57CDE" w14:textId="77777777" w:rsidR="001A5B54" w:rsidRPr="00E87295" w:rsidRDefault="001A5B54" w:rsidP="00E87295">
            <w:pPr>
              <w:jc w:val="both"/>
              <w:rPr>
                <w:sz w:val="22"/>
                <w:szCs w:val="22"/>
                <w:lang w:val="sr-Latn-RS"/>
              </w:rPr>
            </w:pPr>
            <w:r w:rsidRPr="00E87295">
              <w:rPr>
                <w:sz w:val="22"/>
                <w:szCs w:val="22"/>
                <w:lang w:val="sr-Latn-RS"/>
              </w:rPr>
              <w:t xml:space="preserve">35,9% </w:t>
            </w:r>
            <w:r w:rsidRPr="00E87295">
              <w:rPr>
                <w:sz w:val="22"/>
                <w:szCs w:val="22"/>
                <w:vertAlign w:val="superscript"/>
                <w:lang w:val="sr-Latn-RS"/>
              </w:rPr>
              <w:t>b</w:t>
            </w:r>
          </w:p>
        </w:tc>
        <w:tc>
          <w:tcPr>
            <w:tcW w:w="664" w:type="pct"/>
            <w:tcBorders>
              <w:top w:val="nil"/>
              <w:bottom w:val="nil"/>
            </w:tcBorders>
            <w:shd w:val="clear" w:color="auto" w:fill="auto"/>
            <w:vAlign w:val="center"/>
          </w:tcPr>
          <w:p w14:paraId="5D54322B" w14:textId="77777777" w:rsidR="001A5B54" w:rsidRPr="00E87295" w:rsidRDefault="001A5B54" w:rsidP="00E87295">
            <w:pPr>
              <w:jc w:val="both"/>
              <w:rPr>
                <w:sz w:val="22"/>
                <w:szCs w:val="22"/>
                <w:lang w:val="sr-Latn-RS"/>
              </w:rPr>
            </w:pPr>
            <w:r w:rsidRPr="00E87295">
              <w:rPr>
                <w:sz w:val="22"/>
                <w:szCs w:val="22"/>
                <w:lang w:val="sr-Latn-RS"/>
              </w:rPr>
              <w:t>14,2%</w:t>
            </w:r>
          </w:p>
        </w:tc>
        <w:tc>
          <w:tcPr>
            <w:tcW w:w="664" w:type="pct"/>
            <w:tcBorders>
              <w:top w:val="nil"/>
              <w:bottom w:val="nil"/>
            </w:tcBorders>
            <w:shd w:val="clear" w:color="auto" w:fill="auto"/>
            <w:vAlign w:val="center"/>
          </w:tcPr>
          <w:p w14:paraId="021571D5" w14:textId="77777777" w:rsidR="001A5B54" w:rsidRPr="00E87295" w:rsidRDefault="001A5B54" w:rsidP="00E87295">
            <w:pPr>
              <w:jc w:val="both"/>
              <w:rPr>
                <w:sz w:val="22"/>
                <w:szCs w:val="22"/>
                <w:lang w:val="sr-Latn-RS"/>
              </w:rPr>
            </w:pPr>
            <w:r w:rsidRPr="00E87295">
              <w:rPr>
                <w:sz w:val="22"/>
                <w:szCs w:val="22"/>
                <w:lang w:val="sr-Latn-RS"/>
              </w:rPr>
              <w:t xml:space="preserve">31,5% </w:t>
            </w:r>
            <w:r w:rsidRPr="00E87295">
              <w:rPr>
                <w:sz w:val="22"/>
                <w:szCs w:val="22"/>
                <w:vertAlign w:val="superscript"/>
                <w:lang w:val="sr-Latn-RS"/>
              </w:rPr>
              <w:t>g</w:t>
            </w:r>
          </w:p>
        </w:tc>
        <w:tc>
          <w:tcPr>
            <w:tcW w:w="665" w:type="pct"/>
            <w:tcBorders>
              <w:top w:val="nil"/>
              <w:bottom w:val="nil"/>
            </w:tcBorders>
            <w:shd w:val="clear" w:color="auto" w:fill="auto"/>
            <w:vAlign w:val="center"/>
          </w:tcPr>
          <w:p w14:paraId="0BBC97DA" w14:textId="77777777" w:rsidR="001A5B54" w:rsidRPr="00E87295" w:rsidRDefault="001A5B54" w:rsidP="00E87295">
            <w:pPr>
              <w:jc w:val="both"/>
              <w:rPr>
                <w:sz w:val="22"/>
                <w:szCs w:val="22"/>
                <w:lang w:val="sr-Latn-RS"/>
              </w:rPr>
            </w:pPr>
            <w:r w:rsidRPr="00E87295">
              <w:rPr>
                <w:sz w:val="22"/>
                <w:szCs w:val="22"/>
                <w:lang w:val="sr-Latn-RS"/>
              </w:rPr>
              <w:t xml:space="preserve">33,1% </w:t>
            </w:r>
            <w:r w:rsidRPr="00E87295">
              <w:rPr>
                <w:sz w:val="22"/>
                <w:szCs w:val="22"/>
                <w:vertAlign w:val="superscript"/>
                <w:lang w:val="sr-Latn-RS"/>
              </w:rPr>
              <w:t>c</w:t>
            </w:r>
          </w:p>
        </w:tc>
      </w:tr>
      <w:tr w:rsidR="001A5B54" w:rsidRPr="00E87295" w14:paraId="18E1DC8A" w14:textId="77777777" w:rsidTr="00E87295">
        <w:trPr>
          <w:cantSplit/>
          <w:jc w:val="center"/>
        </w:trPr>
        <w:tc>
          <w:tcPr>
            <w:tcW w:w="1015" w:type="pct"/>
            <w:tcBorders>
              <w:top w:val="nil"/>
            </w:tcBorders>
            <w:shd w:val="clear" w:color="auto" w:fill="auto"/>
            <w:vAlign w:val="center"/>
          </w:tcPr>
          <w:p w14:paraId="53CCD102"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tcBorders>
            <w:shd w:val="clear" w:color="auto" w:fill="auto"/>
            <w:vAlign w:val="center"/>
          </w:tcPr>
          <w:p w14:paraId="737B2505"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56483537" w14:textId="77777777" w:rsidR="001A5B54" w:rsidRPr="00E87295" w:rsidRDefault="001A5B54" w:rsidP="00E87295">
            <w:pPr>
              <w:jc w:val="both"/>
              <w:rPr>
                <w:color w:val="000000"/>
                <w:sz w:val="22"/>
                <w:szCs w:val="22"/>
                <w:lang w:val="sr-Latn-RS"/>
              </w:rPr>
            </w:pPr>
            <w:r w:rsidRPr="00E87295">
              <w:rPr>
                <w:color w:val="000000"/>
                <w:sz w:val="22"/>
                <w:szCs w:val="22"/>
                <w:lang w:val="sr-Latn-RS"/>
              </w:rPr>
              <w:t>21,4</w:t>
            </w:r>
          </w:p>
          <w:p w14:paraId="2B2E5753" w14:textId="77777777" w:rsidR="001A5B54" w:rsidRPr="00E87295" w:rsidRDefault="001A5B54" w:rsidP="00E87295">
            <w:pPr>
              <w:jc w:val="both"/>
              <w:rPr>
                <w:sz w:val="22"/>
                <w:szCs w:val="22"/>
                <w:lang w:val="sr-Latn-RS"/>
              </w:rPr>
            </w:pPr>
            <w:r w:rsidRPr="00E87295">
              <w:rPr>
                <w:color w:val="000000"/>
                <w:sz w:val="22"/>
                <w:szCs w:val="22"/>
                <w:lang w:val="sr-Latn-RS"/>
              </w:rPr>
              <w:t>(12,1; 30,7)</w:t>
            </w:r>
          </w:p>
        </w:tc>
        <w:tc>
          <w:tcPr>
            <w:tcW w:w="664" w:type="pct"/>
            <w:tcBorders>
              <w:top w:val="nil"/>
            </w:tcBorders>
            <w:shd w:val="clear" w:color="auto" w:fill="auto"/>
            <w:vAlign w:val="center"/>
          </w:tcPr>
          <w:p w14:paraId="2BD8C48D" w14:textId="77777777" w:rsidR="001A5B54" w:rsidRPr="00E87295" w:rsidRDefault="001A5B54" w:rsidP="00E87295">
            <w:pPr>
              <w:jc w:val="both"/>
              <w:rPr>
                <w:color w:val="000000"/>
                <w:sz w:val="22"/>
                <w:szCs w:val="22"/>
                <w:lang w:val="sr-Latn-RS"/>
              </w:rPr>
            </w:pPr>
            <w:r w:rsidRPr="00E87295">
              <w:rPr>
                <w:color w:val="000000"/>
                <w:sz w:val="22"/>
                <w:szCs w:val="22"/>
                <w:lang w:val="sr-Latn-RS"/>
              </w:rPr>
              <w:t>27,2</w:t>
            </w:r>
          </w:p>
          <w:p w14:paraId="35F90DF2" w14:textId="77777777" w:rsidR="001A5B54" w:rsidRPr="00E87295" w:rsidRDefault="001A5B54" w:rsidP="00E87295">
            <w:pPr>
              <w:jc w:val="both"/>
              <w:rPr>
                <w:sz w:val="22"/>
                <w:szCs w:val="22"/>
                <w:lang w:val="sr-Latn-RS"/>
              </w:rPr>
            </w:pPr>
            <w:r w:rsidRPr="00E87295">
              <w:rPr>
                <w:color w:val="000000"/>
                <w:sz w:val="22"/>
                <w:szCs w:val="22"/>
                <w:lang w:val="sr-Latn-RS"/>
              </w:rPr>
              <w:t>(17,6;  36,8)</w:t>
            </w:r>
          </w:p>
        </w:tc>
        <w:tc>
          <w:tcPr>
            <w:tcW w:w="664" w:type="pct"/>
            <w:tcBorders>
              <w:top w:val="nil"/>
            </w:tcBorders>
            <w:shd w:val="clear" w:color="auto" w:fill="auto"/>
            <w:vAlign w:val="center"/>
          </w:tcPr>
          <w:p w14:paraId="2E98C3A6"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35967CC4" w14:textId="77777777" w:rsidR="001A5B54" w:rsidRPr="00E87295" w:rsidRDefault="001A5B54" w:rsidP="00E87295">
            <w:pPr>
              <w:jc w:val="both"/>
              <w:rPr>
                <w:color w:val="000000"/>
                <w:sz w:val="22"/>
                <w:szCs w:val="22"/>
                <w:lang w:val="sr-Latn-RS"/>
              </w:rPr>
            </w:pPr>
            <w:r w:rsidRPr="00E87295">
              <w:rPr>
                <w:color w:val="000000"/>
                <w:sz w:val="22"/>
                <w:szCs w:val="22"/>
                <w:lang w:val="sr-Latn-RS"/>
              </w:rPr>
              <w:t>17,2</w:t>
            </w:r>
          </w:p>
          <w:p w14:paraId="693D2D4A" w14:textId="77777777" w:rsidR="001A5B54" w:rsidRPr="00E87295" w:rsidRDefault="001A5B54" w:rsidP="00E87295">
            <w:pPr>
              <w:jc w:val="both"/>
              <w:rPr>
                <w:sz w:val="22"/>
                <w:szCs w:val="22"/>
                <w:lang w:val="sr-Latn-RS"/>
              </w:rPr>
            </w:pPr>
            <w:r w:rsidRPr="00E87295">
              <w:rPr>
                <w:color w:val="000000"/>
                <w:sz w:val="22"/>
                <w:szCs w:val="22"/>
                <w:lang w:val="sr-Latn-RS"/>
              </w:rPr>
              <w:t>(10,0, 24,4)</w:t>
            </w:r>
          </w:p>
        </w:tc>
        <w:tc>
          <w:tcPr>
            <w:tcW w:w="665" w:type="pct"/>
            <w:tcBorders>
              <w:top w:val="nil"/>
            </w:tcBorders>
            <w:shd w:val="clear" w:color="auto" w:fill="auto"/>
            <w:vAlign w:val="center"/>
          </w:tcPr>
          <w:p w14:paraId="6AFF51A9" w14:textId="77777777" w:rsidR="001A5B54" w:rsidRPr="00E87295" w:rsidRDefault="001A5B54" w:rsidP="00E87295">
            <w:pPr>
              <w:jc w:val="both"/>
              <w:rPr>
                <w:color w:val="000000"/>
                <w:sz w:val="22"/>
                <w:szCs w:val="22"/>
                <w:lang w:val="sr-Latn-RS"/>
              </w:rPr>
            </w:pPr>
            <w:r w:rsidRPr="00E87295">
              <w:rPr>
                <w:color w:val="000000"/>
                <w:sz w:val="22"/>
                <w:szCs w:val="22"/>
                <w:lang w:val="sr-Latn-RS"/>
              </w:rPr>
              <w:t>18,8</w:t>
            </w:r>
          </w:p>
          <w:p w14:paraId="5FECC22B" w14:textId="77777777" w:rsidR="001A5B54" w:rsidRPr="00E87295" w:rsidRDefault="001A5B54" w:rsidP="00E87295">
            <w:pPr>
              <w:jc w:val="both"/>
              <w:rPr>
                <w:sz w:val="22"/>
                <w:szCs w:val="22"/>
                <w:lang w:val="sr-Latn-RS"/>
              </w:rPr>
            </w:pPr>
            <w:r w:rsidRPr="00E87295">
              <w:rPr>
                <w:color w:val="000000"/>
                <w:sz w:val="22"/>
                <w:szCs w:val="22"/>
                <w:lang w:val="sr-Latn-RS"/>
              </w:rPr>
              <w:t>(11,5; 26,1)</w:t>
            </w:r>
          </w:p>
        </w:tc>
      </w:tr>
      <w:tr w:rsidR="001A5B54" w:rsidRPr="00E87295" w14:paraId="5BA21AD8" w14:textId="77777777" w:rsidTr="00E87295">
        <w:trPr>
          <w:cantSplit/>
          <w:jc w:val="center"/>
        </w:trPr>
        <w:tc>
          <w:tcPr>
            <w:tcW w:w="5000" w:type="pct"/>
            <w:gridSpan w:val="7"/>
            <w:tcBorders>
              <w:bottom w:val="nil"/>
            </w:tcBorders>
            <w:shd w:val="clear" w:color="auto" w:fill="auto"/>
            <w:vAlign w:val="center"/>
          </w:tcPr>
          <w:p w14:paraId="2BD669B5" w14:textId="77777777" w:rsidR="001A5B54" w:rsidRPr="00E87295" w:rsidRDefault="001A5B54" w:rsidP="00E87295">
            <w:pPr>
              <w:keepNext/>
              <w:jc w:val="both"/>
              <w:rPr>
                <w:sz w:val="22"/>
                <w:szCs w:val="22"/>
                <w:lang w:val="sr-Latn-RS"/>
              </w:rPr>
            </w:pPr>
            <w:r w:rsidRPr="00E87295">
              <w:rPr>
                <w:b/>
                <w:sz w:val="22"/>
                <w:szCs w:val="22"/>
                <w:lang w:val="sr-Latn-RS"/>
              </w:rPr>
              <w:t>Odgovor ACR 70</w:t>
            </w:r>
          </w:p>
        </w:tc>
      </w:tr>
      <w:tr w:rsidR="001A5B54" w:rsidRPr="00E87295" w14:paraId="7088032D" w14:textId="77777777" w:rsidTr="00E87295">
        <w:trPr>
          <w:cantSplit/>
          <w:jc w:val="center"/>
        </w:trPr>
        <w:tc>
          <w:tcPr>
            <w:tcW w:w="1015" w:type="pct"/>
            <w:tcBorders>
              <w:top w:val="nil"/>
              <w:bottom w:val="nil"/>
            </w:tcBorders>
            <w:shd w:val="clear" w:color="auto" w:fill="auto"/>
            <w:vAlign w:val="center"/>
          </w:tcPr>
          <w:p w14:paraId="74ECC55B" w14:textId="5B0E42F6" w:rsidR="001A5B54" w:rsidRPr="00E87295" w:rsidRDefault="001A5B54" w:rsidP="00E87295">
            <w:pPr>
              <w:jc w:val="both"/>
              <w:rPr>
                <w:sz w:val="22"/>
                <w:szCs w:val="22"/>
                <w:lang w:val="sr-Latn-RS"/>
              </w:rPr>
            </w:pPr>
            <w:r w:rsidRPr="00E87295">
              <w:rPr>
                <w:sz w:val="22"/>
                <w:szCs w:val="22"/>
                <w:lang w:val="sr-Latn-RS"/>
              </w:rPr>
              <w:t>24. ned</w:t>
            </w:r>
            <w:r w:rsidR="00343954" w:rsidRPr="00E87295">
              <w:rPr>
                <w:sz w:val="22"/>
                <w:szCs w:val="22"/>
                <w:lang w:val="sr-Latn-RS"/>
              </w:rPr>
              <w:t>j</w:t>
            </w:r>
            <w:r w:rsidRPr="00E87295">
              <w:rPr>
                <w:sz w:val="22"/>
                <w:szCs w:val="22"/>
                <w:lang w:val="sr-Latn-RS"/>
              </w:rPr>
              <w:t>elja</w:t>
            </w:r>
          </w:p>
        </w:tc>
        <w:tc>
          <w:tcPr>
            <w:tcW w:w="664" w:type="pct"/>
            <w:tcBorders>
              <w:top w:val="nil"/>
              <w:bottom w:val="nil"/>
            </w:tcBorders>
            <w:shd w:val="clear" w:color="auto" w:fill="auto"/>
            <w:vAlign w:val="center"/>
          </w:tcPr>
          <w:p w14:paraId="3A5C1BAF" w14:textId="77777777" w:rsidR="001A5B54" w:rsidRPr="00E87295" w:rsidRDefault="001A5B54" w:rsidP="00E87295">
            <w:pPr>
              <w:jc w:val="both"/>
              <w:rPr>
                <w:sz w:val="22"/>
                <w:szCs w:val="22"/>
                <w:lang w:val="sr-Latn-RS"/>
              </w:rPr>
            </w:pPr>
            <w:r w:rsidRPr="00E87295">
              <w:rPr>
                <w:sz w:val="22"/>
                <w:szCs w:val="22"/>
                <w:lang w:val="sr-Latn-RS"/>
              </w:rPr>
              <w:t>5,6%</w:t>
            </w:r>
          </w:p>
        </w:tc>
        <w:tc>
          <w:tcPr>
            <w:tcW w:w="664" w:type="pct"/>
            <w:tcBorders>
              <w:top w:val="nil"/>
              <w:bottom w:val="nil"/>
            </w:tcBorders>
            <w:shd w:val="clear" w:color="auto" w:fill="auto"/>
            <w:vAlign w:val="center"/>
          </w:tcPr>
          <w:p w14:paraId="7A9EEA81" w14:textId="77777777" w:rsidR="001A5B54" w:rsidRPr="00E87295" w:rsidRDefault="001A5B54" w:rsidP="00E87295">
            <w:pPr>
              <w:jc w:val="both"/>
              <w:rPr>
                <w:sz w:val="22"/>
                <w:szCs w:val="22"/>
                <w:vertAlign w:val="superscript"/>
                <w:lang w:val="sr-Latn-RS"/>
              </w:rPr>
            </w:pPr>
            <w:r w:rsidRPr="00E87295">
              <w:rPr>
                <w:sz w:val="22"/>
                <w:szCs w:val="22"/>
                <w:lang w:val="sr-Latn-RS"/>
              </w:rPr>
              <w:t xml:space="preserve">11,8% </w:t>
            </w:r>
            <w:r w:rsidRPr="00E87295">
              <w:rPr>
                <w:sz w:val="22"/>
                <w:szCs w:val="22"/>
                <w:vertAlign w:val="superscript"/>
                <w:lang w:val="sr-Latn-RS"/>
              </w:rPr>
              <w:t xml:space="preserve">d </w:t>
            </w:r>
          </w:p>
        </w:tc>
        <w:tc>
          <w:tcPr>
            <w:tcW w:w="664" w:type="pct"/>
            <w:tcBorders>
              <w:top w:val="nil"/>
              <w:bottom w:val="nil"/>
            </w:tcBorders>
            <w:shd w:val="clear" w:color="auto" w:fill="auto"/>
            <w:vAlign w:val="center"/>
          </w:tcPr>
          <w:p w14:paraId="3D974037" w14:textId="77777777" w:rsidR="001A5B54" w:rsidRPr="00E87295" w:rsidRDefault="001A5B54" w:rsidP="00E87295">
            <w:pPr>
              <w:jc w:val="both"/>
              <w:rPr>
                <w:sz w:val="22"/>
                <w:szCs w:val="22"/>
                <w:lang w:val="sr-Latn-RS"/>
              </w:rPr>
            </w:pPr>
            <w:r w:rsidRPr="00E87295">
              <w:rPr>
                <w:sz w:val="22"/>
                <w:szCs w:val="22"/>
                <w:lang w:val="sr-Latn-RS"/>
              </w:rPr>
              <w:t>20,3%</w:t>
            </w:r>
            <w:r w:rsidRPr="00E87295">
              <w:rPr>
                <w:sz w:val="22"/>
                <w:szCs w:val="22"/>
                <w:vertAlign w:val="superscript"/>
                <w:lang w:val="sr-Latn-RS"/>
              </w:rPr>
              <w:t xml:space="preserve"> b</w:t>
            </w:r>
          </w:p>
        </w:tc>
        <w:tc>
          <w:tcPr>
            <w:tcW w:w="664" w:type="pct"/>
            <w:tcBorders>
              <w:top w:val="nil"/>
              <w:bottom w:val="nil"/>
            </w:tcBorders>
            <w:shd w:val="clear" w:color="auto" w:fill="auto"/>
            <w:vAlign w:val="center"/>
          </w:tcPr>
          <w:p w14:paraId="6E874070" w14:textId="77777777" w:rsidR="001A5B54" w:rsidRPr="00E87295" w:rsidRDefault="001A5B54" w:rsidP="00E87295">
            <w:pPr>
              <w:jc w:val="both"/>
              <w:rPr>
                <w:sz w:val="22"/>
                <w:szCs w:val="22"/>
                <w:lang w:val="sr-Latn-RS"/>
              </w:rPr>
            </w:pPr>
            <w:r w:rsidRPr="00E87295">
              <w:rPr>
                <w:sz w:val="22"/>
                <w:szCs w:val="22"/>
                <w:lang w:val="sr-Latn-RS"/>
              </w:rPr>
              <w:t>4,1%</w:t>
            </w:r>
          </w:p>
        </w:tc>
        <w:tc>
          <w:tcPr>
            <w:tcW w:w="664" w:type="pct"/>
            <w:tcBorders>
              <w:top w:val="nil"/>
              <w:bottom w:val="nil"/>
            </w:tcBorders>
            <w:shd w:val="clear" w:color="auto" w:fill="auto"/>
            <w:vAlign w:val="center"/>
          </w:tcPr>
          <w:p w14:paraId="55C00D4F" w14:textId="77777777" w:rsidR="001A5B54" w:rsidRPr="00E87295" w:rsidRDefault="001A5B54" w:rsidP="00E87295">
            <w:pPr>
              <w:jc w:val="both"/>
              <w:rPr>
                <w:sz w:val="22"/>
                <w:szCs w:val="22"/>
                <w:lang w:val="sr-Latn-RS"/>
              </w:rPr>
            </w:pPr>
            <w:r w:rsidRPr="00E87295">
              <w:rPr>
                <w:sz w:val="22"/>
                <w:szCs w:val="22"/>
                <w:lang w:val="sr-Latn-RS"/>
              </w:rPr>
              <w:t>18,5%</w:t>
            </w:r>
            <w:r w:rsidRPr="00E87295">
              <w:rPr>
                <w:sz w:val="22"/>
                <w:szCs w:val="22"/>
                <w:vertAlign w:val="superscript"/>
                <w:lang w:val="sr-Latn-RS"/>
              </w:rPr>
              <w:t xml:space="preserve"> g</w:t>
            </w:r>
          </w:p>
        </w:tc>
        <w:tc>
          <w:tcPr>
            <w:tcW w:w="665" w:type="pct"/>
            <w:tcBorders>
              <w:top w:val="nil"/>
              <w:bottom w:val="nil"/>
            </w:tcBorders>
            <w:shd w:val="clear" w:color="auto" w:fill="auto"/>
            <w:vAlign w:val="center"/>
          </w:tcPr>
          <w:p w14:paraId="43CB7D05" w14:textId="77777777" w:rsidR="001A5B54" w:rsidRPr="00E87295" w:rsidRDefault="001A5B54" w:rsidP="00E87295">
            <w:pPr>
              <w:jc w:val="both"/>
              <w:rPr>
                <w:sz w:val="22"/>
                <w:szCs w:val="22"/>
                <w:lang w:val="sr-Latn-RS"/>
              </w:rPr>
            </w:pPr>
            <w:r w:rsidRPr="00E87295">
              <w:rPr>
                <w:sz w:val="22"/>
                <w:szCs w:val="22"/>
                <w:lang w:val="sr-Latn-RS"/>
              </w:rPr>
              <w:t>13,1%</w:t>
            </w:r>
            <w:r w:rsidRPr="00E87295">
              <w:rPr>
                <w:sz w:val="22"/>
                <w:szCs w:val="22"/>
                <w:vertAlign w:val="superscript"/>
                <w:lang w:val="sr-Latn-RS"/>
              </w:rPr>
              <w:t xml:space="preserve"> c</w:t>
            </w:r>
          </w:p>
        </w:tc>
      </w:tr>
      <w:tr w:rsidR="001A5B54" w:rsidRPr="00E87295" w14:paraId="48C4652D" w14:textId="77777777" w:rsidTr="00E87295">
        <w:trPr>
          <w:cantSplit/>
          <w:jc w:val="center"/>
        </w:trPr>
        <w:tc>
          <w:tcPr>
            <w:tcW w:w="1015" w:type="pct"/>
            <w:tcBorders>
              <w:top w:val="nil"/>
            </w:tcBorders>
            <w:shd w:val="clear" w:color="auto" w:fill="auto"/>
            <w:vAlign w:val="center"/>
          </w:tcPr>
          <w:p w14:paraId="2CEED7CD"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tcBorders>
            <w:shd w:val="clear" w:color="auto" w:fill="auto"/>
            <w:vAlign w:val="center"/>
          </w:tcPr>
          <w:p w14:paraId="61D99017"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72799A2B" w14:textId="77777777" w:rsidR="001A5B54" w:rsidRPr="00E87295" w:rsidRDefault="001A5B54" w:rsidP="00E87295">
            <w:pPr>
              <w:jc w:val="both"/>
              <w:rPr>
                <w:color w:val="000000"/>
                <w:sz w:val="22"/>
                <w:szCs w:val="22"/>
                <w:lang w:val="sr-Latn-RS"/>
              </w:rPr>
            </w:pPr>
            <w:r w:rsidRPr="00E87295">
              <w:rPr>
                <w:color w:val="000000"/>
                <w:sz w:val="22"/>
                <w:szCs w:val="22"/>
                <w:lang w:val="sr-Latn-RS"/>
              </w:rPr>
              <w:t>6,4</w:t>
            </w:r>
          </w:p>
          <w:p w14:paraId="3E1C5F54" w14:textId="77777777" w:rsidR="001A5B54" w:rsidRPr="00E87295" w:rsidRDefault="001A5B54" w:rsidP="00E87295">
            <w:pPr>
              <w:jc w:val="both"/>
              <w:rPr>
                <w:sz w:val="22"/>
                <w:szCs w:val="22"/>
                <w:lang w:val="sr-Latn-RS"/>
              </w:rPr>
            </w:pPr>
            <w:r w:rsidRPr="00E87295">
              <w:rPr>
                <w:color w:val="000000"/>
                <w:sz w:val="22"/>
                <w:szCs w:val="22"/>
                <w:lang w:val="sr-Latn-RS"/>
              </w:rPr>
              <w:t>(-0,3; 13,1)</w:t>
            </w:r>
          </w:p>
        </w:tc>
        <w:tc>
          <w:tcPr>
            <w:tcW w:w="664" w:type="pct"/>
            <w:tcBorders>
              <w:top w:val="nil"/>
            </w:tcBorders>
            <w:shd w:val="clear" w:color="auto" w:fill="auto"/>
            <w:vAlign w:val="center"/>
          </w:tcPr>
          <w:p w14:paraId="6181EF28" w14:textId="77777777" w:rsidR="001A5B54" w:rsidRPr="00E87295" w:rsidRDefault="001A5B54" w:rsidP="00E87295">
            <w:pPr>
              <w:jc w:val="both"/>
              <w:rPr>
                <w:color w:val="000000"/>
                <w:sz w:val="22"/>
                <w:szCs w:val="22"/>
                <w:lang w:val="sr-Latn-RS"/>
              </w:rPr>
            </w:pPr>
            <w:r w:rsidRPr="00E87295">
              <w:rPr>
                <w:color w:val="000000"/>
                <w:sz w:val="22"/>
                <w:szCs w:val="22"/>
                <w:lang w:val="sr-Latn-RS"/>
              </w:rPr>
              <w:t>14,8</w:t>
            </w:r>
          </w:p>
          <w:p w14:paraId="50C0C2F9" w14:textId="77777777" w:rsidR="001A5B54" w:rsidRPr="00E87295" w:rsidRDefault="001A5B54" w:rsidP="00E87295">
            <w:pPr>
              <w:jc w:val="both"/>
              <w:rPr>
                <w:sz w:val="22"/>
                <w:szCs w:val="22"/>
                <w:lang w:val="sr-Latn-RS"/>
              </w:rPr>
            </w:pPr>
            <w:r w:rsidRPr="00E87295">
              <w:rPr>
                <w:color w:val="000000"/>
                <w:sz w:val="22"/>
                <w:szCs w:val="22"/>
                <w:lang w:val="sr-Latn-RS"/>
              </w:rPr>
              <w:t>(6,9; 22,7)</w:t>
            </w:r>
          </w:p>
        </w:tc>
        <w:tc>
          <w:tcPr>
            <w:tcW w:w="664" w:type="pct"/>
            <w:tcBorders>
              <w:top w:val="nil"/>
            </w:tcBorders>
            <w:shd w:val="clear" w:color="auto" w:fill="auto"/>
            <w:vAlign w:val="center"/>
          </w:tcPr>
          <w:p w14:paraId="0E04A473"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63258905" w14:textId="77777777" w:rsidR="001A5B54" w:rsidRPr="00E87295" w:rsidRDefault="001A5B54" w:rsidP="00E87295">
            <w:pPr>
              <w:jc w:val="both"/>
              <w:rPr>
                <w:color w:val="000000"/>
                <w:sz w:val="22"/>
                <w:szCs w:val="22"/>
                <w:lang w:val="sr-Latn-RS"/>
              </w:rPr>
            </w:pPr>
            <w:r w:rsidRPr="00E87295">
              <w:rPr>
                <w:color w:val="000000"/>
                <w:sz w:val="22"/>
                <w:szCs w:val="22"/>
                <w:lang w:val="sr-Latn-RS"/>
              </w:rPr>
              <w:t>14,5</w:t>
            </w:r>
          </w:p>
          <w:p w14:paraId="32067C54" w14:textId="77777777" w:rsidR="001A5B54" w:rsidRPr="00E87295" w:rsidRDefault="001A5B54" w:rsidP="00E87295">
            <w:pPr>
              <w:jc w:val="both"/>
              <w:rPr>
                <w:sz w:val="22"/>
                <w:szCs w:val="22"/>
                <w:lang w:val="sr-Latn-RS"/>
              </w:rPr>
            </w:pPr>
            <w:r w:rsidRPr="00E87295">
              <w:rPr>
                <w:color w:val="000000"/>
                <w:sz w:val="22"/>
                <w:szCs w:val="22"/>
                <w:lang w:val="sr-Latn-RS"/>
              </w:rPr>
              <w:t>(9,1; 19,9)</w:t>
            </w:r>
          </w:p>
        </w:tc>
        <w:tc>
          <w:tcPr>
            <w:tcW w:w="665" w:type="pct"/>
            <w:tcBorders>
              <w:top w:val="nil"/>
            </w:tcBorders>
            <w:shd w:val="clear" w:color="auto" w:fill="auto"/>
            <w:vAlign w:val="center"/>
          </w:tcPr>
          <w:p w14:paraId="3DDC717E" w14:textId="77777777" w:rsidR="001A5B54" w:rsidRPr="00E87295" w:rsidRDefault="001A5B54" w:rsidP="00E87295">
            <w:pPr>
              <w:jc w:val="both"/>
              <w:rPr>
                <w:color w:val="000000"/>
                <w:sz w:val="22"/>
                <w:szCs w:val="22"/>
                <w:lang w:val="sr-Latn-RS"/>
              </w:rPr>
            </w:pPr>
            <w:r w:rsidRPr="00E87295">
              <w:rPr>
                <w:color w:val="000000"/>
                <w:sz w:val="22"/>
                <w:szCs w:val="22"/>
                <w:lang w:val="sr-Latn-RS"/>
              </w:rPr>
              <w:t>9,0</w:t>
            </w:r>
          </w:p>
          <w:p w14:paraId="4CFAB37B" w14:textId="77777777" w:rsidR="001A5B54" w:rsidRPr="00E87295" w:rsidRDefault="001A5B54" w:rsidP="00E87295">
            <w:pPr>
              <w:jc w:val="both"/>
              <w:rPr>
                <w:sz w:val="22"/>
                <w:szCs w:val="22"/>
                <w:lang w:val="sr-Latn-RS"/>
              </w:rPr>
            </w:pPr>
            <w:r w:rsidRPr="00E87295">
              <w:rPr>
                <w:color w:val="000000"/>
                <w:sz w:val="22"/>
                <w:szCs w:val="22"/>
                <w:lang w:val="sr-Latn-RS"/>
              </w:rPr>
              <w:t>(4,1; 13,8)</w:t>
            </w:r>
          </w:p>
        </w:tc>
      </w:tr>
      <w:tr w:rsidR="001A5B54" w:rsidRPr="00E87295" w14:paraId="5724757C" w14:textId="77777777" w:rsidTr="00E87295">
        <w:trPr>
          <w:cantSplit/>
          <w:jc w:val="center"/>
        </w:trPr>
        <w:tc>
          <w:tcPr>
            <w:tcW w:w="5000" w:type="pct"/>
            <w:gridSpan w:val="7"/>
            <w:tcBorders>
              <w:top w:val="nil"/>
              <w:bottom w:val="nil"/>
            </w:tcBorders>
            <w:shd w:val="clear" w:color="auto" w:fill="auto"/>
          </w:tcPr>
          <w:p w14:paraId="316A53FA" w14:textId="4D9F7717" w:rsidR="001A5B54" w:rsidRPr="00E87295" w:rsidRDefault="007671AA" w:rsidP="00E87295">
            <w:pPr>
              <w:keepNext/>
              <w:keepLines/>
              <w:tabs>
                <w:tab w:val="left" w:pos="288"/>
                <w:tab w:val="left" w:pos="576"/>
                <w:tab w:val="left" w:pos="864"/>
              </w:tabs>
              <w:jc w:val="both"/>
              <w:rPr>
                <w:sz w:val="22"/>
                <w:szCs w:val="22"/>
                <w:lang w:val="sr-Latn-RS"/>
              </w:rPr>
            </w:pPr>
            <w:r w:rsidRPr="00E87295">
              <w:rPr>
                <w:b/>
                <w:sz w:val="22"/>
                <w:szCs w:val="22"/>
                <w:lang w:val="sr-Latn-RS"/>
              </w:rPr>
              <w:t>Srednja vr</w:t>
            </w:r>
            <w:r w:rsidR="00B94F3E" w:rsidRPr="00E87295">
              <w:rPr>
                <w:b/>
                <w:sz w:val="22"/>
                <w:szCs w:val="22"/>
                <w:lang w:val="sr-Latn-RS"/>
              </w:rPr>
              <w:t>ij</w:t>
            </w:r>
            <w:r w:rsidRPr="00E87295">
              <w:rPr>
                <w:b/>
                <w:sz w:val="22"/>
                <w:szCs w:val="22"/>
                <w:lang w:val="sr-Latn-RS"/>
              </w:rPr>
              <w:t>ednost LS prom</w:t>
            </w:r>
            <w:r w:rsidR="004C4050" w:rsidRPr="00E87295">
              <w:rPr>
                <w:b/>
                <w:sz w:val="22"/>
                <w:szCs w:val="22"/>
                <w:lang w:val="sr-Latn-RS"/>
              </w:rPr>
              <w:t>j</w:t>
            </w:r>
            <w:r w:rsidRPr="00E87295">
              <w:rPr>
                <w:b/>
                <w:sz w:val="22"/>
                <w:szCs w:val="22"/>
                <w:lang w:val="sr-Latn-RS"/>
              </w:rPr>
              <w:t>ene</w:t>
            </w:r>
            <w:r w:rsidRPr="00E87295">
              <w:rPr>
                <w:b/>
                <w:sz w:val="22"/>
                <w:szCs w:val="22"/>
                <w:vertAlign w:val="superscript"/>
                <w:lang w:val="sr-Latn-RS"/>
              </w:rPr>
              <w:t>i</w:t>
            </w:r>
            <w:r w:rsidRPr="00E87295">
              <w:rPr>
                <w:b/>
                <w:sz w:val="22"/>
                <w:szCs w:val="22"/>
                <w:lang w:val="sr-Latn-RS"/>
              </w:rPr>
              <w:t xml:space="preserve"> </w:t>
            </w:r>
            <w:r w:rsidR="004C4050" w:rsidRPr="00E87295">
              <w:rPr>
                <w:b/>
                <w:sz w:val="22"/>
                <w:szCs w:val="22"/>
                <w:lang w:val="sr-Latn-RS"/>
              </w:rPr>
              <w:t>indeksa aktivnosti bolesti (</w:t>
            </w:r>
            <w:r w:rsidRPr="00E87295">
              <w:rPr>
                <w:b/>
                <w:sz w:val="22"/>
                <w:szCs w:val="22"/>
                <w:lang w:val="sr-Latn-RS"/>
              </w:rPr>
              <w:t>DAS 28 (CRP)</w:t>
            </w:r>
            <w:r w:rsidR="004C4050" w:rsidRPr="00E87295">
              <w:rPr>
                <w:b/>
                <w:sz w:val="22"/>
                <w:szCs w:val="22"/>
                <w:lang w:val="sr-Latn-RS"/>
              </w:rPr>
              <w:t>)</w:t>
            </w:r>
            <w:r w:rsidRPr="00E87295">
              <w:rPr>
                <w:b/>
                <w:sz w:val="22"/>
                <w:szCs w:val="22"/>
                <w:lang w:val="sr-Latn-RS"/>
              </w:rPr>
              <w:t xml:space="preserve"> u odnosu na početnu vr</w:t>
            </w:r>
            <w:r w:rsidR="00B94F3E" w:rsidRPr="00E87295">
              <w:rPr>
                <w:b/>
                <w:sz w:val="22"/>
                <w:szCs w:val="22"/>
                <w:lang w:val="sr-Latn-RS"/>
              </w:rPr>
              <w:t>ij</w:t>
            </w:r>
            <w:r w:rsidRPr="00E87295">
              <w:rPr>
                <w:b/>
                <w:sz w:val="22"/>
                <w:szCs w:val="22"/>
                <w:lang w:val="sr-Latn-RS"/>
              </w:rPr>
              <w:t>ednost</w:t>
            </w:r>
          </w:p>
        </w:tc>
      </w:tr>
      <w:tr w:rsidR="001A5B54" w:rsidRPr="00E87295" w14:paraId="4F2B9592" w14:textId="77777777" w:rsidTr="00E87295">
        <w:trPr>
          <w:cantSplit/>
          <w:jc w:val="center"/>
        </w:trPr>
        <w:tc>
          <w:tcPr>
            <w:tcW w:w="1015" w:type="pct"/>
            <w:tcBorders>
              <w:top w:val="nil"/>
              <w:bottom w:val="nil"/>
            </w:tcBorders>
            <w:shd w:val="clear" w:color="auto" w:fill="auto"/>
          </w:tcPr>
          <w:p w14:paraId="2CBC03D1" w14:textId="4D2BBE65" w:rsidR="001A5B54" w:rsidRPr="00E87295" w:rsidRDefault="001A5B54" w:rsidP="00E87295">
            <w:pPr>
              <w:jc w:val="both"/>
              <w:rPr>
                <w:b/>
                <w:sz w:val="22"/>
                <w:szCs w:val="22"/>
                <w:lang w:val="sr-Latn-RS"/>
              </w:rPr>
            </w:pPr>
            <w:r w:rsidRPr="00E87295">
              <w:rPr>
                <w:sz w:val="22"/>
                <w:szCs w:val="22"/>
                <w:lang w:val="sr-Latn-RS"/>
              </w:rPr>
              <w:t>24. ned</w:t>
            </w:r>
            <w:r w:rsidR="00343954" w:rsidRPr="00E87295">
              <w:rPr>
                <w:sz w:val="22"/>
                <w:szCs w:val="22"/>
                <w:lang w:val="sr-Latn-RS"/>
              </w:rPr>
              <w:t>j</w:t>
            </w:r>
            <w:r w:rsidRPr="00E87295">
              <w:rPr>
                <w:sz w:val="22"/>
                <w:szCs w:val="22"/>
                <w:lang w:val="sr-Latn-RS"/>
              </w:rPr>
              <w:t>elja</w:t>
            </w:r>
            <w:r w:rsidRPr="00E87295">
              <w:rPr>
                <w:sz w:val="22"/>
                <w:szCs w:val="22"/>
                <w:vertAlign w:val="superscript"/>
                <w:lang w:val="sr-Latn-RS"/>
              </w:rPr>
              <w:t xml:space="preserve"> c</w:t>
            </w:r>
          </w:p>
        </w:tc>
        <w:tc>
          <w:tcPr>
            <w:tcW w:w="664" w:type="pct"/>
            <w:tcBorders>
              <w:top w:val="nil"/>
              <w:bottom w:val="nil"/>
            </w:tcBorders>
            <w:shd w:val="clear" w:color="auto" w:fill="auto"/>
          </w:tcPr>
          <w:p w14:paraId="43EB46BC"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-0,70</w:t>
            </w:r>
          </w:p>
        </w:tc>
        <w:tc>
          <w:tcPr>
            <w:tcW w:w="664" w:type="pct"/>
            <w:tcBorders>
              <w:top w:val="nil"/>
              <w:bottom w:val="nil"/>
            </w:tcBorders>
            <w:shd w:val="clear" w:color="auto" w:fill="auto"/>
          </w:tcPr>
          <w:p w14:paraId="34058406"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 xml:space="preserve">-1,43 </w:t>
            </w:r>
            <w:r w:rsidRPr="00E87295">
              <w:rPr>
                <w:sz w:val="22"/>
                <w:szCs w:val="22"/>
                <w:vertAlign w:val="superscript"/>
                <w:lang w:val="sr-Latn-RS"/>
              </w:rPr>
              <w:t>b</w:t>
            </w:r>
          </w:p>
        </w:tc>
        <w:tc>
          <w:tcPr>
            <w:tcW w:w="664" w:type="pct"/>
            <w:tcBorders>
              <w:top w:val="nil"/>
              <w:bottom w:val="nil"/>
            </w:tcBorders>
            <w:shd w:val="clear" w:color="auto" w:fill="auto"/>
          </w:tcPr>
          <w:p w14:paraId="52A698F8"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-1,61</w:t>
            </w:r>
            <w:r w:rsidRPr="00E87295">
              <w:rPr>
                <w:sz w:val="22"/>
                <w:szCs w:val="22"/>
                <w:vertAlign w:val="superscript"/>
                <w:lang w:val="sr-Latn-RS"/>
              </w:rPr>
              <w:t xml:space="preserve"> b</w:t>
            </w:r>
          </w:p>
        </w:tc>
        <w:tc>
          <w:tcPr>
            <w:tcW w:w="664" w:type="pct"/>
            <w:tcBorders>
              <w:top w:val="nil"/>
              <w:bottom w:val="nil"/>
            </w:tcBorders>
            <w:shd w:val="clear" w:color="auto" w:fill="auto"/>
          </w:tcPr>
          <w:p w14:paraId="5C47442C"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-0,97</w:t>
            </w:r>
          </w:p>
        </w:tc>
        <w:tc>
          <w:tcPr>
            <w:tcW w:w="664" w:type="pct"/>
            <w:tcBorders>
              <w:top w:val="nil"/>
              <w:bottom w:val="nil"/>
            </w:tcBorders>
            <w:shd w:val="clear" w:color="auto" w:fill="auto"/>
          </w:tcPr>
          <w:p w14:paraId="350F4345" w14:textId="77777777" w:rsidR="001A5B54" w:rsidRPr="00E87295" w:rsidRDefault="001A5B54" w:rsidP="00E87295">
            <w:pPr>
              <w:jc w:val="both"/>
              <w:rPr>
                <w:sz w:val="22"/>
                <w:szCs w:val="22"/>
                <w:lang w:val="sr-Latn-RS"/>
              </w:rPr>
            </w:pPr>
            <w:r w:rsidRPr="00E87295">
              <w:rPr>
                <w:sz w:val="22"/>
                <w:szCs w:val="22"/>
                <w:lang w:val="sr-Latn-RS"/>
              </w:rPr>
              <w:t xml:space="preserve">-1,59 </w:t>
            </w:r>
            <w:r w:rsidRPr="00E87295">
              <w:rPr>
                <w:sz w:val="22"/>
                <w:szCs w:val="22"/>
                <w:vertAlign w:val="superscript"/>
                <w:lang w:val="sr-Latn-RS"/>
              </w:rPr>
              <w:t>b</w:t>
            </w:r>
          </w:p>
        </w:tc>
        <w:tc>
          <w:tcPr>
            <w:tcW w:w="665" w:type="pct"/>
            <w:tcBorders>
              <w:top w:val="nil"/>
              <w:bottom w:val="nil"/>
            </w:tcBorders>
            <w:shd w:val="clear" w:color="auto" w:fill="auto"/>
          </w:tcPr>
          <w:p w14:paraId="25948E80"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-1,62</w:t>
            </w:r>
            <w:r w:rsidRPr="00E87295">
              <w:rPr>
                <w:sz w:val="22"/>
                <w:szCs w:val="22"/>
                <w:vertAlign w:val="superscript"/>
                <w:lang w:val="sr-Latn-RS"/>
              </w:rPr>
              <w:t xml:space="preserve"> b</w:t>
            </w:r>
          </w:p>
        </w:tc>
      </w:tr>
      <w:tr w:rsidR="001A5B54" w:rsidRPr="00E87295" w14:paraId="0E1530B2" w14:textId="77777777" w:rsidTr="00E87295">
        <w:trPr>
          <w:cantSplit/>
          <w:jc w:val="center"/>
        </w:trPr>
        <w:tc>
          <w:tcPr>
            <w:tcW w:w="1015" w:type="pct"/>
            <w:tcBorders>
              <w:top w:val="nil"/>
              <w:bottom w:val="single" w:sz="4" w:space="0" w:color="auto"/>
            </w:tcBorders>
            <w:shd w:val="clear" w:color="auto" w:fill="auto"/>
          </w:tcPr>
          <w:p w14:paraId="5615F068"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bottom w:val="single" w:sz="4" w:space="0" w:color="auto"/>
            </w:tcBorders>
            <w:shd w:val="clear" w:color="auto" w:fill="auto"/>
            <w:vAlign w:val="center"/>
          </w:tcPr>
          <w:p w14:paraId="22B4B4FA"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w:t>
            </w:r>
          </w:p>
        </w:tc>
        <w:tc>
          <w:tcPr>
            <w:tcW w:w="664" w:type="pct"/>
            <w:tcBorders>
              <w:top w:val="nil"/>
              <w:bottom w:val="single" w:sz="4" w:space="0" w:color="auto"/>
            </w:tcBorders>
            <w:shd w:val="clear" w:color="auto" w:fill="auto"/>
            <w:vAlign w:val="center"/>
          </w:tcPr>
          <w:p w14:paraId="098FA394" w14:textId="77777777" w:rsidR="001A5B54" w:rsidRPr="00E87295" w:rsidRDefault="001A5B54" w:rsidP="00E87295">
            <w:pPr>
              <w:tabs>
                <w:tab w:val="left" w:pos="288"/>
                <w:tab w:val="left" w:pos="864"/>
              </w:tabs>
              <w:jc w:val="both"/>
              <w:rPr>
                <w:color w:val="000000"/>
                <w:sz w:val="22"/>
                <w:szCs w:val="22"/>
                <w:lang w:val="sr-Latn-RS"/>
              </w:rPr>
            </w:pPr>
            <w:r w:rsidRPr="00E87295">
              <w:rPr>
                <w:color w:val="000000"/>
                <w:sz w:val="22"/>
                <w:szCs w:val="22"/>
                <w:lang w:val="sr-Latn-RS"/>
              </w:rPr>
              <w:t>-0,73</w:t>
            </w:r>
          </w:p>
          <w:p w14:paraId="6683268D" w14:textId="77777777" w:rsidR="001A5B54" w:rsidRPr="00E87295" w:rsidRDefault="001A5B54" w:rsidP="00E87295">
            <w:pPr>
              <w:tabs>
                <w:tab w:val="left" w:pos="288"/>
                <w:tab w:val="left" w:pos="864"/>
              </w:tabs>
              <w:jc w:val="both"/>
              <w:rPr>
                <w:sz w:val="22"/>
                <w:szCs w:val="22"/>
                <w:lang w:val="sr-Latn-RS"/>
              </w:rPr>
            </w:pPr>
            <w:r w:rsidRPr="00E87295">
              <w:rPr>
                <w:color w:val="000000"/>
                <w:sz w:val="22"/>
                <w:szCs w:val="22"/>
                <w:lang w:val="sr-Latn-RS"/>
              </w:rPr>
              <w:t>(-0,98; -0,48)</w:t>
            </w:r>
          </w:p>
        </w:tc>
        <w:tc>
          <w:tcPr>
            <w:tcW w:w="664" w:type="pct"/>
            <w:tcBorders>
              <w:top w:val="nil"/>
              <w:bottom w:val="single" w:sz="4" w:space="0" w:color="auto"/>
            </w:tcBorders>
            <w:shd w:val="clear" w:color="auto" w:fill="auto"/>
            <w:vAlign w:val="center"/>
          </w:tcPr>
          <w:p w14:paraId="506ADB7E" w14:textId="77777777" w:rsidR="001A5B54" w:rsidRPr="00E87295" w:rsidRDefault="001A5B54" w:rsidP="00E87295">
            <w:pPr>
              <w:tabs>
                <w:tab w:val="left" w:pos="288"/>
                <w:tab w:val="left" w:pos="864"/>
              </w:tabs>
              <w:jc w:val="both"/>
              <w:rPr>
                <w:color w:val="000000"/>
                <w:sz w:val="22"/>
                <w:szCs w:val="22"/>
                <w:lang w:val="sr-Latn-RS"/>
              </w:rPr>
            </w:pPr>
            <w:r w:rsidRPr="00E87295">
              <w:rPr>
                <w:color w:val="000000"/>
                <w:sz w:val="22"/>
                <w:szCs w:val="22"/>
                <w:lang w:val="sr-Latn-RS"/>
              </w:rPr>
              <w:t>-0,91</w:t>
            </w:r>
          </w:p>
          <w:p w14:paraId="2E735CAC" w14:textId="77777777" w:rsidR="001A5B54" w:rsidRPr="00E87295" w:rsidRDefault="001A5B54" w:rsidP="00E87295">
            <w:pPr>
              <w:tabs>
                <w:tab w:val="left" w:pos="288"/>
                <w:tab w:val="left" w:pos="864"/>
              </w:tabs>
              <w:jc w:val="both"/>
              <w:rPr>
                <w:sz w:val="22"/>
                <w:szCs w:val="22"/>
                <w:lang w:val="sr-Latn-RS"/>
              </w:rPr>
            </w:pPr>
            <w:r w:rsidRPr="00E87295">
              <w:rPr>
                <w:color w:val="000000"/>
                <w:sz w:val="22"/>
                <w:szCs w:val="22"/>
                <w:lang w:val="sr-Latn-RS"/>
              </w:rPr>
              <w:t>(-1,16; -0,66)</w:t>
            </w:r>
          </w:p>
        </w:tc>
        <w:tc>
          <w:tcPr>
            <w:tcW w:w="664" w:type="pct"/>
            <w:tcBorders>
              <w:top w:val="nil"/>
              <w:bottom w:val="single" w:sz="4" w:space="0" w:color="auto"/>
            </w:tcBorders>
            <w:shd w:val="clear" w:color="auto" w:fill="auto"/>
            <w:vAlign w:val="center"/>
          </w:tcPr>
          <w:p w14:paraId="1AB6FB8B"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w:t>
            </w:r>
          </w:p>
        </w:tc>
        <w:tc>
          <w:tcPr>
            <w:tcW w:w="664" w:type="pct"/>
            <w:tcBorders>
              <w:top w:val="nil"/>
              <w:bottom w:val="single" w:sz="4" w:space="0" w:color="auto"/>
            </w:tcBorders>
            <w:shd w:val="clear" w:color="auto" w:fill="auto"/>
            <w:vAlign w:val="center"/>
          </w:tcPr>
          <w:p w14:paraId="78DCBACA" w14:textId="77777777" w:rsidR="001A5B54" w:rsidRPr="00E87295" w:rsidRDefault="001A5B54" w:rsidP="00E87295">
            <w:pPr>
              <w:jc w:val="both"/>
              <w:rPr>
                <w:color w:val="000000"/>
                <w:sz w:val="22"/>
                <w:szCs w:val="22"/>
                <w:lang w:val="sr-Latn-RS"/>
              </w:rPr>
            </w:pPr>
            <w:r w:rsidRPr="00E87295">
              <w:rPr>
                <w:color w:val="000000"/>
                <w:sz w:val="22"/>
                <w:szCs w:val="22"/>
                <w:lang w:val="sr-Latn-RS"/>
              </w:rPr>
              <w:t>-0,61</w:t>
            </w:r>
          </w:p>
          <w:p w14:paraId="46F6D988" w14:textId="77777777" w:rsidR="001A5B54" w:rsidRPr="00E87295" w:rsidRDefault="001A5B54" w:rsidP="00E87295">
            <w:pPr>
              <w:jc w:val="both"/>
              <w:rPr>
                <w:sz w:val="22"/>
                <w:szCs w:val="22"/>
                <w:lang w:val="sr-Latn-RS"/>
              </w:rPr>
            </w:pPr>
            <w:r w:rsidRPr="00E87295">
              <w:rPr>
                <w:color w:val="000000"/>
                <w:sz w:val="22"/>
                <w:szCs w:val="22"/>
                <w:lang w:val="sr-Latn-RS"/>
              </w:rPr>
              <w:t>(-0,80; -0,43)</w:t>
            </w:r>
          </w:p>
        </w:tc>
        <w:tc>
          <w:tcPr>
            <w:tcW w:w="665" w:type="pct"/>
            <w:tcBorders>
              <w:top w:val="nil"/>
              <w:bottom w:val="single" w:sz="4" w:space="0" w:color="auto"/>
            </w:tcBorders>
            <w:shd w:val="clear" w:color="auto" w:fill="auto"/>
            <w:vAlign w:val="center"/>
          </w:tcPr>
          <w:p w14:paraId="070423E1" w14:textId="77777777" w:rsidR="001A5B54" w:rsidRPr="00E87295" w:rsidRDefault="001A5B54" w:rsidP="00E87295">
            <w:pPr>
              <w:tabs>
                <w:tab w:val="left" w:pos="288"/>
                <w:tab w:val="left" w:pos="864"/>
              </w:tabs>
              <w:jc w:val="both"/>
              <w:rPr>
                <w:color w:val="000000"/>
                <w:sz w:val="22"/>
                <w:szCs w:val="22"/>
                <w:lang w:val="sr-Latn-RS"/>
              </w:rPr>
            </w:pPr>
            <w:r w:rsidRPr="00E87295">
              <w:rPr>
                <w:color w:val="000000"/>
                <w:sz w:val="22"/>
                <w:szCs w:val="22"/>
                <w:lang w:val="sr-Latn-RS"/>
              </w:rPr>
              <w:t>-0,65</w:t>
            </w:r>
          </w:p>
          <w:p w14:paraId="44E130AD" w14:textId="77777777" w:rsidR="001A5B54" w:rsidRPr="00E87295" w:rsidRDefault="001A5B54" w:rsidP="00E87295">
            <w:pPr>
              <w:tabs>
                <w:tab w:val="left" w:pos="288"/>
                <w:tab w:val="left" w:pos="864"/>
              </w:tabs>
              <w:jc w:val="both"/>
              <w:rPr>
                <w:sz w:val="22"/>
                <w:szCs w:val="22"/>
                <w:lang w:val="sr-Latn-RS"/>
              </w:rPr>
            </w:pPr>
            <w:r w:rsidRPr="00E87295">
              <w:rPr>
                <w:color w:val="000000"/>
                <w:sz w:val="22"/>
                <w:szCs w:val="22"/>
                <w:lang w:val="sr-Latn-RS"/>
              </w:rPr>
              <w:t>(-0,83; -0,47)</w:t>
            </w:r>
          </w:p>
        </w:tc>
      </w:tr>
      <w:tr w:rsidR="001A5B54" w:rsidRPr="00E87295" w14:paraId="552B55CF" w14:textId="77777777" w:rsidTr="00E87295">
        <w:trPr>
          <w:cantSplit/>
          <w:jc w:val="center"/>
        </w:trPr>
        <w:tc>
          <w:tcPr>
            <w:tcW w:w="5000" w:type="pct"/>
            <w:gridSpan w:val="7"/>
            <w:tcBorders>
              <w:top w:val="nil"/>
              <w:bottom w:val="nil"/>
            </w:tcBorders>
            <w:shd w:val="clear" w:color="auto" w:fill="auto"/>
          </w:tcPr>
          <w:p w14:paraId="5DF9D9F4" w14:textId="7DEEFB70" w:rsidR="001A5B54" w:rsidRPr="00E87295" w:rsidRDefault="001A5B54" w:rsidP="00E87295">
            <w:pPr>
              <w:keepNext/>
              <w:keepLines/>
              <w:tabs>
                <w:tab w:val="left" w:pos="288"/>
                <w:tab w:val="left" w:pos="864"/>
              </w:tabs>
              <w:jc w:val="both"/>
              <w:rPr>
                <w:sz w:val="22"/>
                <w:szCs w:val="22"/>
                <w:lang w:val="sr-Latn-RS"/>
              </w:rPr>
            </w:pPr>
            <w:r w:rsidRPr="00E87295">
              <w:rPr>
                <w:b/>
                <w:sz w:val="22"/>
                <w:szCs w:val="22"/>
                <w:lang w:val="sr-Latn-RS"/>
              </w:rPr>
              <w:t>Minimalna aktivnost bolesti</w:t>
            </w:r>
            <w:r w:rsidR="007671AA" w:rsidRPr="00E87295">
              <w:rPr>
                <w:b/>
                <w:sz w:val="22"/>
                <w:szCs w:val="22"/>
                <w:lang w:val="sr-Latn-RS"/>
              </w:rPr>
              <w:t xml:space="preserve"> (engl. </w:t>
            </w:r>
            <w:r w:rsidR="007671AA" w:rsidRPr="00E87295">
              <w:rPr>
                <w:b/>
                <w:i/>
                <w:iCs/>
                <w:sz w:val="22"/>
                <w:szCs w:val="22"/>
                <w:lang w:val="sr-Latn-RS"/>
              </w:rPr>
              <w:t>Minimal Disease Activity</w:t>
            </w:r>
            <w:r w:rsidR="007671AA" w:rsidRPr="00E87295">
              <w:rPr>
                <w:b/>
                <w:sz w:val="22"/>
                <w:szCs w:val="22"/>
                <w:lang w:val="sr-Latn-RS"/>
              </w:rPr>
              <w:t xml:space="preserve"> - MDA)</w:t>
            </w:r>
          </w:p>
        </w:tc>
      </w:tr>
      <w:tr w:rsidR="001A5B54" w:rsidRPr="00E87295" w14:paraId="0560A555" w14:textId="77777777" w:rsidTr="00E87295">
        <w:trPr>
          <w:cantSplit/>
          <w:jc w:val="center"/>
        </w:trPr>
        <w:tc>
          <w:tcPr>
            <w:tcW w:w="1015" w:type="pct"/>
            <w:tcBorders>
              <w:top w:val="nil"/>
              <w:bottom w:val="nil"/>
            </w:tcBorders>
            <w:shd w:val="clear" w:color="auto" w:fill="auto"/>
          </w:tcPr>
          <w:p w14:paraId="7A87BCD0" w14:textId="2233F92B" w:rsidR="001A5B54" w:rsidRPr="00E87295" w:rsidRDefault="001A5B54" w:rsidP="00E87295">
            <w:pPr>
              <w:jc w:val="both"/>
              <w:rPr>
                <w:sz w:val="22"/>
                <w:szCs w:val="22"/>
                <w:lang w:val="sr-Latn-RS"/>
              </w:rPr>
            </w:pPr>
            <w:r w:rsidRPr="00E87295">
              <w:rPr>
                <w:sz w:val="22"/>
                <w:szCs w:val="22"/>
                <w:lang w:val="sr-Latn-RS"/>
              </w:rPr>
              <w:t>24. ned</w:t>
            </w:r>
            <w:r w:rsidR="00343954" w:rsidRPr="00E87295">
              <w:rPr>
                <w:sz w:val="22"/>
                <w:szCs w:val="22"/>
                <w:lang w:val="sr-Latn-RS"/>
              </w:rPr>
              <w:t>j</w:t>
            </w:r>
            <w:r w:rsidRPr="00E87295">
              <w:rPr>
                <w:sz w:val="22"/>
                <w:szCs w:val="22"/>
                <w:lang w:val="sr-Latn-RS"/>
              </w:rPr>
              <w:t>elja</w:t>
            </w:r>
          </w:p>
        </w:tc>
        <w:tc>
          <w:tcPr>
            <w:tcW w:w="664" w:type="pct"/>
            <w:tcBorders>
              <w:top w:val="nil"/>
              <w:bottom w:val="nil"/>
            </w:tcBorders>
            <w:shd w:val="clear" w:color="auto" w:fill="auto"/>
          </w:tcPr>
          <w:p w14:paraId="446376DE"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11,1%</w:t>
            </w:r>
          </w:p>
        </w:tc>
        <w:tc>
          <w:tcPr>
            <w:tcW w:w="664" w:type="pct"/>
            <w:tcBorders>
              <w:top w:val="nil"/>
              <w:bottom w:val="nil"/>
            </w:tcBorders>
            <w:shd w:val="clear" w:color="auto" w:fill="auto"/>
          </w:tcPr>
          <w:p w14:paraId="36D3ED81"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22,8%</w:t>
            </w:r>
            <w:r w:rsidRPr="00E87295">
              <w:rPr>
                <w:sz w:val="22"/>
                <w:szCs w:val="22"/>
                <w:vertAlign w:val="superscript"/>
                <w:lang w:val="sr-Latn-RS"/>
              </w:rPr>
              <w:t xml:space="preserve"> f</w:t>
            </w:r>
          </w:p>
        </w:tc>
        <w:tc>
          <w:tcPr>
            <w:tcW w:w="664" w:type="pct"/>
            <w:tcBorders>
              <w:top w:val="nil"/>
              <w:bottom w:val="nil"/>
            </w:tcBorders>
            <w:shd w:val="clear" w:color="auto" w:fill="auto"/>
          </w:tcPr>
          <w:p w14:paraId="7B4B32F2"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30,5%</w:t>
            </w:r>
            <w:r w:rsidRPr="00E87295">
              <w:rPr>
                <w:sz w:val="22"/>
                <w:szCs w:val="22"/>
                <w:vertAlign w:val="superscript"/>
                <w:lang w:val="sr-Latn-RS"/>
              </w:rPr>
              <w:t xml:space="preserve"> e</w:t>
            </w:r>
          </w:p>
        </w:tc>
        <w:tc>
          <w:tcPr>
            <w:tcW w:w="664" w:type="pct"/>
            <w:tcBorders>
              <w:top w:val="nil"/>
              <w:bottom w:val="nil"/>
            </w:tcBorders>
            <w:shd w:val="clear" w:color="auto" w:fill="auto"/>
          </w:tcPr>
          <w:p w14:paraId="0EEE59E4"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6,1%</w:t>
            </w:r>
          </w:p>
        </w:tc>
        <w:tc>
          <w:tcPr>
            <w:tcW w:w="664" w:type="pct"/>
            <w:tcBorders>
              <w:top w:val="nil"/>
              <w:bottom w:val="nil"/>
            </w:tcBorders>
            <w:shd w:val="clear" w:color="auto" w:fill="auto"/>
          </w:tcPr>
          <w:p w14:paraId="68FB2990" w14:textId="77777777" w:rsidR="001A5B54" w:rsidRPr="00E87295" w:rsidRDefault="001A5B54" w:rsidP="00E87295">
            <w:pPr>
              <w:jc w:val="both"/>
              <w:rPr>
                <w:sz w:val="22"/>
                <w:szCs w:val="22"/>
                <w:lang w:val="sr-Latn-RS"/>
              </w:rPr>
            </w:pPr>
            <w:r w:rsidRPr="00E87295">
              <w:rPr>
                <w:sz w:val="22"/>
                <w:szCs w:val="22"/>
                <w:lang w:val="sr-Latn-RS"/>
              </w:rPr>
              <w:t>25,0%</w:t>
            </w:r>
            <w:r w:rsidRPr="00E87295">
              <w:rPr>
                <w:sz w:val="22"/>
                <w:szCs w:val="22"/>
                <w:vertAlign w:val="superscript"/>
                <w:lang w:val="sr-Latn-RS"/>
              </w:rPr>
              <w:t xml:space="preserve"> e</w:t>
            </w:r>
          </w:p>
        </w:tc>
        <w:tc>
          <w:tcPr>
            <w:tcW w:w="665" w:type="pct"/>
            <w:tcBorders>
              <w:top w:val="nil"/>
              <w:bottom w:val="nil"/>
            </w:tcBorders>
            <w:shd w:val="clear" w:color="auto" w:fill="auto"/>
          </w:tcPr>
          <w:p w14:paraId="067659D3"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18,8%</w:t>
            </w:r>
            <w:r w:rsidRPr="00E87295">
              <w:rPr>
                <w:sz w:val="22"/>
                <w:szCs w:val="22"/>
                <w:vertAlign w:val="superscript"/>
                <w:lang w:val="sr-Latn-RS"/>
              </w:rPr>
              <w:t xml:space="preserve"> e</w:t>
            </w:r>
          </w:p>
        </w:tc>
      </w:tr>
      <w:tr w:rsidR="001A5B54" w:rsidRPr="00E87295" w14:paraId="394F3A31" w14:textId="77777777" w:rsidTr="00E87295">
        <w:trPr>
          <w:cantSplit/>
          <w:jc w:val="center"/>
        </w:trPr>
        <w:tc>
          <w:tcPr>
            <w:tcW w:w="1015" w:type="pct"/>
            <w:tcBorders>
              <w:top w:val="nil"/>
              <w:bottom w:val="single" w:sz="4" w:space="0" w:color="auto"/>
            </w:tcBorders>
            <w:shd w:val="clear" w:color="auto" w:fill="auto"/>
          </w:tcPr>
          <w:p w14:paraId="67B371C3"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bottom w:val="single" w:sz="4" w:space="0" w:color="auto"/>
            </w:tcBorders>
            <w:shd w:val="clear" w:color="auto" w:fill="auto"/>
            <w:vAlign w:val="center"/>
          </w:tcPr>
          <w:p w14:paraId="6A203568"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w:t>
            </w:r>
          </w:p>
        </w:tc>
        <w:tc>
          <w:tcPr>
            <w:tcW w:w="664" w:type="pct"/>
            <w:tcBorders>
              <w:top w:val="nil"/>
              <w:bottom w:val="single" w:sz="4" w:space="0" w:color="auto"/>
            </w:tcBorders>
            <w:shd w:val="clear" w:color="auto" w:fill="auto"/>
            <w:vAlign w:val="center"/>
          </w:tcPr>
          <w:p w14:paraId="70ADC260" w14:textId="77777777" w:rsidR="001A5B54" w:rsidRPr="00E87295" w:rsidRDefault="001A5B54" w:rsidP="00E87295">
            <w:pPr>
              <w:tabs>
                <w:tab w:val="left" w:pos="288"/>
                <w:tab w:val="left" w:pos="864"/>
              </w:tabs>
              <w:jc w:val="both"/>
              <w:rPr>
                <w:color w:val="000000"/>
                <w:sz w:val="22"/>
                <w:szCs w:val="22"/>
                <w:lang w:val="sr-Latn-RS"/>
              </w:rPr>
            </w:pPr>
            <w:r w:rsidRPr="00E87295">
              <w:rPr>
                <w:color w:val="000000"/>
                <w:sz w:val="22"/>
                <w:szCs w:val="22"/>
                <w:lang w:val="sr-Latn-RS"/>
              </w:rPr>
              <w:t>11,9</w:t>
            </w:r>
          </w:p>
          <w:p w14:paraId="5506D6C8" w14:textId="77777777" w:rsidR="001A5B54" w:rsidRPr="00E87295" w:rsidRDefault="001A5B54" w:rsidP="00E87295">
            <w:pPr>
              <w:tabs>
                <w:tab w:val="left" w:pos="288"/>
                <w:tab w:val="left" w:pos="864"/>
              </w:tabs>
              <w:jc w:val="both"/>
              <w:rPr>
                <w:sz w:val="22"/>
                <w:szCs w:val="22"/>
                <w:lang w:val="sr-Latn-RS"/>
              </w:rPr>
            </w:pPr>
            <w:r w:rsidRPr="00E87295">
              <w:rPr>
                <w:color w:val="000000"/>
                <w:sz w:val="22"/>
                <w:szCs w:val="22"/>
                <w:lang w:val="sr-Latn-RS"/>
              </w:rPr>
              <w:t>(2,9; 20,9)</w:t>
            </w:r>
          </w:p>
        </w:tc>
        <w:tc>
          <w:tcPr>
            <w:tcW w:w="664" w:type="pct"/>
            <w:tcBorders>
              <w:top w:val="nil"/>
              <w:bottom w:val="single" w:sz="4" w:space="0" w:color="auto"/>
            </w:tcBorders>
            <w:shd w:val="clear" w:color="auto" w:fill="auto"/>
            <w:vAlign w:val="center"/>
          </w:tcPr>
          <w:p w14:paraId="026AA4E1" w14:textId="77777777" w:rsidR="001A5B54" w:rsidRPr="00E87295" w:rsidRDefault="001A5B54" w:rsidP="00E87295">
            <w:pPr>
              <w:tabs>
                <w:tab w:val="left" w:pos="288"/>
                <w:tab w:val="left" w:pos="864"/>
              </w:tabs>
              <w:jc w:val="both"/>
              <w:rPr>
                <w:color w:val="000000"/>
                <w:sz w:val="22"/>
                <w:szCs w:val="22"/>
                <w:lang w:val="sr-Latn-RS"/>
              </w:rPr>
            </w:pPr>
            <w:r w:rsidRPr="00E87295">
              <w:rPr>
                <w:color w:val="000000"/>
                <w:sz w:val="22"/>
                <w:szCs w:val="22"/>
                <w:lang w:val="sr-Latn-RS"/>
              </w:rPr>
              <w:t>19,3</w:t>
            </w:r>
          </w:p>
          <w:p w14:paraId="504406A2" w14:textId="77777777" w:rsidR="001A5B54" w:rsidRPr="00E87295" w:rsidRDefault="001A5B54" w:rsidP="00E87295">
            <w:pPr>
              <w:tabs>
                <w:tab w:val="left" w:pos="288"/>
                <w:tab w:val="left" w:pos="864"/>
              </w:tabs>
              <w:jc w:val="both"/>
              <w:rPr>
                <w:sz w:val="22"/>
                <w:szCs w:val="22"/>
                <w:lang w:val="sr-Latn-RS"/>
              </w:rPr>
            </w:pPr>
            <w:r w:rsidRPr="00E87295">
              <w:rPr>
                <w:color w:val="000000"/>
                <w:sz w:val="22"/>
                <w:szCs w:val="22"/>
                <w:lang w:val="sr-Latn-RS"/>
              </w:rPr>
              <w:t>(9,7; 28,9)</w:t>
            </w:r>
          </w:p>
        </w:tc>
        <w:tc>
          <w:tcPr>
            <w:tcW w:w="664" w:type="pct"/>
            <w:tcBorders>
              <w:top w:val="nil"/>
              <w:bottom w:val="single" w:sz="4" w:space="0" w:color="auto"/>
            </w:tcBorders>
            <w:shd w:val="clear" w:color="auto" w:fill="auto"/>
            <w:vAlign w:val="center"/>
          </w:tcPr>
          <w:p w14:paraId="5CBF45DA" w14:textId="77777777" w:rsidR="001A5B54" w:rsidRPr="00E87295" w:rsidRDefault="001A5B54" w:rsidP="00E87295">
            <w:pPr>
              <w:tabs>
                <w:tab w:val="left" w:pos="288"/>
                <w:tab w:val="left" w:pos="864"/>
              </w:tabs>
              <w:jc w:val="both"/>
              <w:rPr>
                <w:sz w:val="22"/>
                <w:szCs w:val="22"/>
                <w:lang w:val="sr-Latn-RS"/>
              </w:rPr>
            </w:pPr>
            <w:r w:rsidRPr="00E87295">
              <w:rPr>
                <w:sz w:val="22"/>
                <w:szCs w:val="22"/>
                <w:lang w:val="sr-Latn-RS"/>
              </w:rPr>
              <w:t>-</w:t>
            </w:r>
          </w:p>
        </w:tc>
        <w:tc>
          <w:tcPr>
            <w:tcW w:w="664" w:type="pct"/>
            <w:tcBorders>
              <w:top w:val="nil"/>
              <w:bottom w:val="single" w:sz="4" w:space="0" w:color="auto"/>
            </w:tcBorders>
            <w:shd w:val="clear" w:color="auto" w:fill="auto"/>
            <w:vAlign w:val="center"/>
          </w:tcPr>
          <w:p w14:paraId="30E7943D" w14:textId="77777777" w:rsidR="001A5B54" w:rsidRPr="00E87295" w:rsidRDefault="001A5B54" w:rsidP="00E87295">
            <w:pPr>
              <w:jc w:val="both"/>
              <w:rPr>
                <w:color w:val="000000"/>
                <w:sz w:val="22"/>
                <w:szCs w:val="22"/>
                <w:lang w:val="sr-Latn-RS"/>
              </w:rPr>
            </w:pPr>
            <w:r w:rsidRPr="00E87295">
              <w:rPr>
                <w:color w:val="000000"/>
                <w:sz w:val="22"/>
                <w:szCs w:val="22"/>
                <w:lang w:val="sr-Latn-RS"/>
              </w:rPr>
              <w:t>18,9</w:t>
            </w:r>
          </w:p>
          <w:p w14:paraId="3F2EAC0C" w14:textId="77777777" w:rsidR="001A5B54" w:rsidRPr="00E87295" w:rsidRDefault="001A5B54" w:rsidP="00E87295">
            <w:pPr>
              <w:jc w:val="both"/>
              <w:rPr>
                <w:sz w:val="22"/>
                <w:szCs w:val="22"/>
                <w:lang w:val="sr-Latn-RS"/>
              </w:rPr>
            </w:pPr>
            <w:r w:rsidRPr="00E87295">
              <w:rPr>
                <w:color w:val="000000"/>
                <w:sz w:val="22"/>
                <w:szCs w:val="22"/>
                <w:lang w:val="sr-Latn-RS"/>
              </w:rPr>
              <w:t>(12,8; 25,0)</w:t>
            </w:r>
          </w:p>
        </w:tc>
        <w:tc>
          <w:tcPr>
            <w:tcW w:w="665" w:type="pct"/>
            <w:tcBorders>
              <w:top w:val="nil"/>
              <w:bottom w:val="single" w:sz="4" w:space="0" w:color="auto"/>
            </w:tcBorders>
            <w:shd w:val="clear" w:color="auto" w:fill="auto"/>
            <w:vAlign w:val="center"/>
          </w:tcPr>
          <w:p w14:paraId="7C8B1190" w14:textId="77777777" w:rsidR="001A5B54" w:rsidRPr="00E87295" w:rsidRDefault="001A5B54" w:rsidP="00E87295">
            <w:pPr>
              <w:tabs>
                <w:tab w:val="left" w:pos="288"/>
                <w:tab w:val="left" w:pos="864"/>
              </w:tabs>
              <w:jc w:val="both"/>
              <w:rPr>
                <w:color w:val="000000"/>
                <w:sz w:val="22"/>
                <w:szCs w:val="22"/>
                <w:lang w:val="sr-Latn-RS"/>
              </w:rPr>
            </w:pPr>
            <w:r w:rsidRPr="00E87295">
              <w:rPr>
                <w:color w:val="000000"/>
                <w:sz w:val="22"/>
                <w:szCs w:val="22"/>
                <w:lang w:val="sr-Latn-RS"/>
              </w:rPr>
              <w:t>12,7</w:t>
            </w:r>
          </w:p>
          <w:p w14:paraId="7E2DACE8" w14:textId="77777777" w:rsidR="001A5B54" w:rsidRPr="00E87295" w:rsidRDefault="001A5B54" w:rsidP="00E87295">
            <w:pPr>
              <w:tabs>
                <w:tab w:val="left" w:pos="288"/>
                <w:tab w:val="left" w:pos="864"/>
              </w:tabs>
              <w:jc w:val="both"/>
              <w:rPr>
                <w:sz w:val="22"/>
                <w:szCs w:val="22"/>
                <w:lang w:val="sr-Latn-RS"/>
              </w:rPr>
            </w:pPr>
            <w:r w:rsidRPr="00E87295">
              <w:rPr>
                <w:color w:val="000000"/>
                <w:sz w:val="22"/>
                <w:szCs w:val="22"/>
                <w:lang w:val="sr-Latn-RS"/>
              </w:rPr>
              <w:t>(7,0; 18,4)</w:t>
            </w:r>
          </w:p>
        </w:tc>
      </w:tr>
      <w:tr w:rsidR="001A5B54" w:rsidRPr="00E87295" w14:paraId="3115DB4A" w14:textId="77777777" w:rsidTr="00E87295">
        <w:trPr>
          <w:cantSplit/>
          <w:jc w:val="center"/>
        </w:trPr>
        <w:tc>
          <w:tcPr>
            <w:tcW w:w="5000" w:type="pct"/>
            <w:gridSpan w:val="7"/>
            <w:tcBorders>
              <w:bottom w:val="nil"/>
            </w:tcBorders>
            <w:shd w:val="clear" w:color="auto" w:fill="auto"/>
          </w:tcPr>
          <w:p w14:paraId="2F7831A9" w14:textId="77777777" w:rsidR="001A5B54" w:rsidRPr="00E87295" w:rsidRDefault="001A5B54" w:rsidP="00E87295">
            <w:pPr>
              <w:keepNext/>
              <w:jc w:val="both"/>
              <w:rPr>
                <w:b/>
                <w:i/>
                <w:sz w:val="22"/>
                <w:szCs w:val="22"/>
                <w:lang w:val="sr-Latn-RS"/>
              </w:rPr>
            </w:pPr>
            <w:r w:rsidRPr="00E87295">
              <w:rPr>
                <w:b/>
                <w:i/>
                <w:iCs/>
                <w:sz w:val="22"/>
                <w:szCs w:val="22"/>
                <w:lang w:val="sr-Latn-RS"/>
              </w:rPr>
              <w:t>Pacijenti sa ≥ 3% BSA i IGA ≥ 2</w:t>
            </w:r>
          </w:p>
        </w:tc>
      </w:tr>
      <w:tr w:rsidR="001A5B54" w:rsidRPr="00E87295" w14:paraId="4CFD09A8" w14:textId="77777777" w:rsidTr="00E87295">
        <w:trPr>
          <w:cantSplit/>
          <w:jc w:val="center"/>
        </w:trPr>
        <w:tc>
          <w:tcPr>
            <w:tcW w:w="1015" w:type="pct"/>
            <w:tcBorders>
              <w:top w:val="nil"/>
            </w:tcBorders>
            <w:shd w:val="clear" w:color="auto" w:fill="auto"/>
            <w:vAlign w:val="center"/>
          </w:tcPr>
          <w:p w14:paraId="2E8A76E2" w14:textId="77777777" w:rsidR="001A5B54" w:rsidRPr="00E87295" w:rsidRDefault="001A5B54" w:rsidP="00E87295">
            <w:pPr>
              <w:jc w:val="both"/>
              <w:rPr>
                <w:i/>
                <w:sz w:val="22"/>
                <w:szCs w:val="22"/>
                <w:lang w:val="sr-Latn-RS"/>
              </w:rPr>
            </w:pPr>
          </w:p>
        </w:tc>
        <w:tc>
          <w:tcPr>
            <w:tcW w:w="664" w:type="pct"/>
            <w:tcBorders>
              <w:top w:val="nil"/>
            </w:tcBorders>
            <w:shd w:val="clear" w:color="auto" w:fill="auto"/>
            <w:vAlign w:val="center"/>
          </w:tcPr>
          <w:p w14:paraId="10FF7D24" w14:textId="77777777" w:rsidR="001A5B54" w:rsidRPr="00E87295" w:rsidRDefault="001A5B54" w:rsidP="00E87295">
            <w:pPr>
              <w:jc w:val="both"/>
              <w:rPr>
                <w:sz w:val="22"/>
                <w:szCs w:val="22"/>
                <w:lang w:val="sr-Latn-RS"/>
              </w:rPr>
            </w:pPr>
            <w:r w:rsidRPr="00E87295">
              <w:rPr>
                <w:sz w:val="22"/>
                <w:szCs w:val="22"/>
                <w:lang w:val="sr-Latn-RS"/>
              </w:rPr>
              <w:t>n=78</w:t>
            </w:r>
          </w:p>
        </w:tc>
        <w:tc>
          <w:tcPr>
            <w:tcW w:w="664" w:type="pct"/>
            <w:tcBorders>
              <w:top w:val="nil"/>
            </w:tcBorders>
            <w:shd w:val="clear" w:color="auto" w:fill="auto"/>
            <w:vAlign w:val="center"/>
          </w:tcPr>
          <w:p w14:paraId="34709B08" w14:textId="77777777" w:rsidR="001A5B54" w:rsidRPr="00E87295" w:rsidRDefault="001A5B54" w:rsidP="00E87295">
            <w:pPr>
              <w:jc w:val="both"/>
              <w:rPr>
                <w:sz w:val="22"/>
                <w:szCs w:val="22"/>
                <w:lang w:val="sr-Latn-RS"/>
              </w:rPr>
            </w:pPr>
            <w:r w:rsidRPr="00E87295">
              <w:rPr>
                <w:sz w:val="22"/>
                <w:szCs w:val="22"/>
                <w:lang w:val="sr-Latn-RS"/>
              </w:rPr>
              <w:t>n=82</w:t>
            </w:r>
          </w:p>
        </w:tc>
        <w:tc>
          <w:tcPr>
            <w:tcW w:w="664" w:type="pct"/>
            <w:tcBorders>
              <w:top w:val="nil"/>
            </w:tcBorders>
            <w:shd w:val="clear" w:color="auto" w:fill="auto"/>
            <w:vAlign w:val="center"/>
          </w:tcPr>
          <w:p w14:paraId="5EF84A49" w14:textId="77777777" w:rsidR="001A5B54" w:rsidRPr="00E87295" w:rsidRDefault="001A5B54" w:rsidP="00E87295">
            <w:pPr>
              <w:jc w:val="both"/>
              <w:rPr>
                <w:sz w:val="22"/>
                <w:szCs w:val="22"/>
                <w:lang w:val="sr-Latn-RS"/>
              </w:rPr>
            </w:pPr>
            <w:r w:rsidRPr="00E87295">
              <w:rPr>
                <w:sz w:val="22"/>
                <w:szCs w:val="22"/>
                <w:lang w:val="sr-Latn-RS"/>
              </w:rPr>
              <w:t>n=89</w:t>
            </w:r>
          </w:p>
        </w:tc>
        <w:tc>
          <w:tcPr>
            <w:tcW w:w="664" w:type="pct"/>
            <w:tcBorders>
              <w:top w:val="nil"/>
            </w:tcBorders>
            <w:shd w:val="clear" w:color="auto" w:fill="auto"/>
            <w:vAlign w:val="center"/>
          </w:tcPr>
          <w:p w14:paraId="7646BE30" w14:textId="77777777" w:rsidR="001A5B54" w:rsidRPr="00E87295" w:rsidRDefault="001A5B54" w:rsidP="00E87295">
            <w:pPr>
              <w:jc w:val="both"/>
              <w:rPr>
                <w:sz w:val="22"/>
                <w:szCs w:val="22"/>
                <w:lang w:val="sr-Latn-RS"/>
              </w:rPr>
            </w:pPr>
            <w:r w:rsidRPr="00E87295">
              <w:rPr>
                <w:sz w:val="22"/>
                <w:szCs w:val="22"/>
                <w:lang w:val="sr-Latn-RS"/>
              </w:rPr>
              <w:t>n=183</w:t>
            </w:r>
          </w:p>
        </w:tc>
        <w:tc>
          <w:tcPr>
            <w:tcW w:w="664" w:type="pct"/>
            <w:tcBorders>
              <w:top w:val="nil"/>
            </w:tcBorders>
            <w:shd w:val="clear" w:color="auto" w:fill="auto"/>
            <w:vAlign w:val="center"/>
          </w:tcPr>
          <w:p w14:paraId="12FB3851" w14:textId="77777777" w:rsidR="001A5B54" w:rsidRPr="00E87295" w:rsidRDefault="001A5B54" w:rsidP="00E87295">
            <w:pPr>
              <w:jc w:val="both"/>
              <w:rPr>
                <w:sz w:val="22"/>
                <w:szCs w:val="22"/>
                <w:lang w:val="sr-Latn-RS"/>
              </w:rPr>
            </w:pPr>
            <w:r w:rsidRPr="00E87295">
              <w:rPr>
                <w:sz w:val="22"/>
                <w:szCs w:val="22"/>
                <w:lang w:val="sr-Latn-RS"/>
              </w:rPr>
              <w:t>n=176</w:t>
            </w:r>
          </w:p>
        </w:tc>
        <w:tc>
          <w:tcPr>
            <w:tcW w:w="665" w:type="pct"/>
            <w:tcBorders>
              <w:top w:val="nil"/>
            </w:tcBorders>
            <w:shd w:val="clear" w:color="auto" w:fill="auto"/>
            <w:vAlign w:val="center"/>
          </w:tcPr>
          <w:p w14:paraId="4AAC3F16" w14:textId="77777777" w:rsidR="001A5B54" w:rsidRPr="00E87295" w:rsidRDefault="001A5B54" w:rsidP="00E87295">
            <w:pPr>
              <w:jc w:val="both"/>
              <w:rPr>
                <w:sz w:val="22"/>
                <w:szCs w:val="22"/>
                <w:lang w:val="sr-Latn-RS"/>
              </w:rPr>
            </w:pPr>
            <w:r w:rsidRPr="00E87295">
              <w:rPr>
                <w:sz w:val="22"/>
                <w:szCs w:val="22"/>
                <w:lang w:val="sr-Latn-RS"/>
              </w:rPr>
              <w:t>n=184</w:t>
            </w:r>
          </w:p>
        </w:tc>
      </w:tr>
      <w:tr w:rsidR="001A5B54" w:rsidRPr="00E87295" w14:paraId="14F749EA" w14:textId="77777777" w:rsidTr="00E87295">
        <w:trPr>
          <w:cantSplit/>
          <w:jc w:val="center"/>
        </w:trPr>
        <w:tc>
          <w:tcPr>
            <w:tcW w:w="5000" w:type="pct"/>
            <w:gridSpan w:val="7"/>
            <w:tcBorders>
              <w:bottom w:val="nil"/>
            </w:tcBorders>
            <w:shd w:val="clear" w:color="auto" w:fill="auto"/>
            <w:vAlign w:val="center"/>
          </w:tcPr>
          <w:p w14:paraId="226843A1" w14:textId="77777777" w:rsidR="001A5B54" w:rsidRPr="00E87295" w:rsidRDefault="001A5B54" w:rsidP="00E87295">
            <w:pPr>
              <w:keepNext/>
              <w:jc w:val="both"/>
              <w:rPr>
                <w:b/>
                <w:snapToGrid w:val="0"/>
                <w:sz w:val="22"/>
                <w:szCs w:val="22"/>
                <w:lang w:val="sr-Latn-RS"/>
              </w:rPr>
            </w:pPr>
            <w:r w:rsidRPr="00E87295">
              <w:rPr>
                <w:b/>
                <w:snapToGrid w:val="0"/>
                <w:sz w:val="22"/>
                <w:szCs w:val="22"/>
                <w:lang w:val="sr-Latn-RS"/>
              </w:rPr>
              <w:t>Odgovor IGA</w:t>
            </w:r>
            <w:r w:rsidRPr="00E87295">
              <w:rPr>
                <w:sz w:val="22"/>
                <w:szCs w:val="22"/>
                <w:vertAlign w:val="superscript"/>
                <w:lang w:val="sr-Latn-RS"/>
              </w:rPr>
              <w:t xml:space="preserve"> h</w:t>
            </w:r>
          </w:p>
        </w:tc>
      </w:tr>
      <w:tr w:rsidR="001A5B54" w:rsidRPr="00E87295" w14:paraId="61477214" w14:textId="77777777" w:rsidTr="00E87295">
        <w:trPr>
          <w:cantSplit/>
          <w:jc w:val="center"/>
        </w:trPr>
        <w:tc>
          <w:tcPr>
            <w:tcW w:w="1015" w:type="pct"/>
            <w:tcBorders>
              <w:top w:val="nil"/>
              <w:bottom w:val="nil"/>
            </w:tcBorders>
            <w:shd w:val="clear" w:color="auto" w:fill="auto"/>
            <w:vAlign w:val="center"/>
          </w:tcPr>
          <w:p w14:paraId="6DDB41FD" w14:textId="0EC22CF8" w:rsidR="001A5B54" w:rsidRPr="00E87295" w:rsidRDefault="001A5B54" w:rsidP="00E87295">
            <w:pPr>
              <w:jc w:val="both"/>
              <w:rPr>
                <w:b/>
                <w:snapToGrid w:val="0"/>
                <w:sz w:val="22"/>
                <w:szCs w:val="22"/>
                <w:lang w:val="sr-Latn-RS"/>
              </w:rPr>
            </w:pPr>
            <w:r w:rsidRPr="00E87295">
              <w:rPr>
                <w:snapToGrid w:val="0"/>
                <w:sz w:val="22"/>
                <w:szCs w:val="22"/>
                <w:lang w:val="sr-Latn-RS"/>
              </w:rPr>
              <w:t>24. ned</w:t>
            </w:r>
            <w:r w:rsidR="00343954" w:rsidRPr="00E87295">
              <w:rPr>
                <w:snapToGrid w:val="0"/>
                <w:sz w:val="22"/>
                <w:szCs w:val="22"/>
                <w:lang w:val="sr-Latn-RS"/>
              </w:rPr>
              <w:t>j</w:t>
            </w:r>
            <w:r w:rsidRPr="00E87295">
              <w:rPr>
                <w:snapToGrid w:val="0"/>
                <w:sz w:val="22"/>
                <w:szCs w:val="22"/>
                <w:lang w:val="sr-Latn-RS"/>
              </w:rPr>
              <w:t>elja</w:t>
            </w:r>
          </w:p>
        </w:tc>
        <w:tc>
          <w:tcPr>
            <w:tcW w:w="664" w:type="pct"/>
            <w:tcBorders>
              <w:top w:val="nil"/>
              <w:bottom w:val="nil"/>
            </w:tcBorders>
            <w:shd w:val="clear" w:color="auto" w:fill="auto"/>
            <w:vAlign w:val="center"/>
          </w:tcPr>
          <w:p w14:paraId="0F7F78A8" w14:textId="77777777" w:rsidR="001A5B54" w:rsidRPr="00E87295" w:rsidRDefault="001A5B54" w:rsidP="00E87295">
            <w:pPr>
              <w:jc w:val="both"/>
              <w:rPr>
                <w:sz w:val="22"/>
                <w:szCs w:val="22"/>
                <w:lang w:val="sr-Latn-RS"/>
              </w:rPr>
            </w:pPr>
            <w:r w:rsidRPr="00E87295">
              <w:rPr>
                <w:sz w:val="22"/>
                <w:szCs w:val="22"/>
                <w:lang w:val="sr-Latn-RS"/>
              </w:rPr>
              <w:t>15,4%</w:t>
            </w:r>
          </w:p>
        </w:tc>
        <w:tc>
          <w:tcPr>
            <w:tcW w:w="664" w:type="pct"/>
            <w:tcBorders>
              <w:top w:val="nil"/>
              <w:bottom w:val="nil"/>
            </w:tcBorders>
            <w:shd w:val="clear" w:color="auto" w:fill="auto"/>
            <w:vAlign w:val="center"/>
          </w:tcPr>
          <w:p w14:paraId="28446E52" w14:textId="77777777" w:rsidR="001A5B54" w:rsidRPr="00E87295" w:rsidRDefault="001A5B54" w:rsidP="00E87295">
            <w:pPr>
              <w:jc w:val="both"/>
              <w:rPr>
                <w:sz w:val="22"/>
                <w:szCs w:val="22"/>
                <w:lang w:val="sr-Latn-RS"/>
              </w:rPr>
            </w:pPr>
            <w:r w:rsidRPr="00E87295">
              <w:rPr>
                <w:sz w:val="22"/>
                <w:szCs w:val="22"/>
                <w:lang w:val="sr-Latn-RS"/>
              </w:rPr>
              <w:t>57,3%</w:t>
            </w:r>
            <w:r w:rsidRPr="00E87295">
              <w:rPr>
                <w:sz w:val="22"/>
                <w:szCs w:val="22"/>
                <w:vertAlign w:val="superscript"/>
                <w:lang w:val="sr-Latn-RS"/>
              </w:rPr>
              <w:t xml:space="preserve"> b</w:t>
            </w:r>
          </w:p>
        </w:tc>
        <w:tc>
          <w:tcPr>
            <w:tcW w:w="664" w:type="pct"/>
            <w:tcBorders>
              <w:top w:val="nil"/>
              <w:bottom w:val="nil"/>
            </w:tcBorders>
            <w:shd w:val="clear" w:color="auto" w:fill="auto"/>
            <w:vAlign w:val="center"/>
          </w:tcPr>
          <w:p w14:paraId="6448F67C" w14:textId="77777777" w:rsidR="001A5B54" w:rsidRPr="00E87295" w:rsidRDefault="001A5B54" w:rsidP="00E87295">
            <w:pPr>
              <w:jc w:val="both"/>
              <w:rPr>
                <w:sz w:val="22"/>
                <w:szCs w:val="22"/>
                <w:lang w:val="sr-Latn-RS"/>
              </w:rPr>
            </w:pPr>
            <w:r w:rsidRPr="00E87295">
              <w:rPr>
                <w:sz w:val="22"/>
                <w:szCs w:val="22"/>
                <w:lang w:val="sr-Latn-RS"/>
              </w:rPr>
              <w:t>75,3%</w:t>
            </w:r>
            <w:r w:rsidRPr="00E87295">
              <w:rPr>
                <w:sz w:val="22"/>
                <w:szCs w:val="22"/>
                <w:vertAlign w:val="superscript"/>
                <w:lang w:val="sr-Latn-RS"/>
              </w:rPr>
              <w:t xml:space="preserve"> b</w:t>
            </w:r>
          </w:p>
        </w:tc>
        <w:tc>
          <w:tcPr>
            <w:tcW w:w="664" w:type="pct"/>
            <w:tcBorders>
              <w:top w:val="nil"/>
              <w:bottom w:val="nil"/>
            </w:tcBorders>
            <w:shd w:val="clear" w:color="auto" w:fill="auto"/>
            <w:vAlign w:val="center"/>
          </w:tcPr>
          <w:p w14:paraId="5E24E3D0" w14:textId="77777777" w:rsidR="001A5B54" w:rsidRPr="00E87295" w:rsidRDefault="001A5B54" w:rsidP="00E87295">
            <w:pPr>
              <w:jc w:val="both"/>
              <w:rPr>
                <w:sz w:val="22"/>
                <w:szCs w:val="22"/>
                <w:lang w:val="sr-Latn-RS"/>
              </w:rPr>
            </w:pPr>
            <w:r w:rsidRPr="00E87295">
              <w:rPr>
                <w:sz w:val="22"/>
                <w:szCs w:val="22"/>
                <w:lang w:val="sr-Latn-RS"/>
              </w:rPr>
              <w:t>19,1%</w:t>
            </w:r>
          </w:p>
        </w:tc>
        <w:tc>
          <w:tcPr>
            <w:tcW w:w="664" w:type="pct"/>
            <w:tcBorders>
              <w:top w:val="nil"/>
              <w:bottom w:val="nil"/>
            </w:tcBorders>
            <w:shd w:val="clear" w:color="auto" w:fill="auto"/>
            <w:vAlign w:val="center"/>
          </w:tcPr>
          <w:p w14:paraId="48448A90" w14:textId="77777777" w:rsidR="001A5B54" w:rsidRPr="00E87295" w:rsidRDefault="001A5B54" w:rsidP="00E87295">
            <w:pPr>
              <w:jc w:val="both"/>
              <w:rPr>
                <w:sz w:val="22"/>
                <w:szCs w:val="22"/>
                <w:lang w:val="sr-Latn-RS"/>
              </w:rPr>
            </w:pPr>
            <w:r w:rsidRPr="00E87295">
              <w:rPr>
                <w:sz w:val="22"/>
                <w:szCs w:val="22"/>
                <w:lang w:val="sr-Latn-RS"/>
              </w:rPr>
              <w:t>70,5%</w:t>
            </w:r>
            <w:r w:rsidRPr="00E87295">
              <w:rPr>
                <w:sz w:val="22"/>
                <w:szCs w:val="22"/>
                <w:vertAlign w:val="superscript"/>
                <w:lang w:val="sr-Latn-RS"/>
              </w:rPr>
              <w:t xml:space="preserve"> b</w:t>
            </w:r>
          </w:p>
        </w:tc>
        <w:tc>
          <w:tcPr>
            <w:tcW w:w="665" w:type="pct"/>
            <w:tcBorders>
              <w:top w:val="nil"/>
              <w:bottom w:val="nil"/>
            </w:tcBorders>
            <w:shd w:val="clear" w:color="auto" w:fill="auto"/>
            <w:vAlign w:val="center"/>
          </w:tcPr>
          <w:p w14:paraId="088494A7" w14:textId="77777777" w:rsidR="001A5B54" w:rsidRPr="00E87295" w:rsidRDefault="001A5B54" w:rsidP="00E87295">
            <w:pPr>
              <w:jc w:val="both"/>
              <w:rPr>
                <w:sz w:val="22"/>
                <w:szCs w:val="22"/>
                <w:lang w:val="sr-Latn-RS"/>
              </w:rPr>
            </w:pPr>
            <w:r w:rsidRPr="00E87295">
              <w:rPr>
                <w:sz w:val="22"/>
                <w:szCs w:val="22"/>
                <w:lang w:val="sr-Latn-RS"/>
              </w:rPr>
              <w:t>68,5%</w:t>
            </w:r>
            <w:r w:rsidRPr="00E87295">
              <w:rPr>
                <w:sz w:val="22"/>
                <w:szCs w:val="22"/>
                <w:vertAlign w:val="superscript"/>
                <w:lang w:val="sr-Latn-RS"/>
              </w:rPr>
              <w:t xml:space="preserve"> b</w:t>
            </w:r>
          </w:p>
        </w:tc>
      </w:tr>
      <w:tr w:rsidR="001A5B54" w:rsidRPr="00E87295" w14:paraId="00E60B91" w14:textId="77777777" w:rsidTr="00E87295">
        <w:trPr>
          <w:cantSplit/>
          <w:jc w:val="center"/>
        </w:trPr>
        <w:tc>
          <w:tcPr>
            <w:tcW w:w="1015" w:type="pct"/>
            <w:tcBorders>
              <w:top w:val="nil"/>
            </w:tcBorders>
            <w:shd w:val="clear" w:color="auto" w:fill="auto"/>
            <w:vAlign w:val="center"/>
          </w:tcPr>
          <w:p w14:paraId="0CF057F0" w14:textId="77777777" w:rsidR="001A5B54" w:rsidRPr="00E87295" w:rsidRDefault="001A5B54" w:rsidP="00E87295">
            <w:pPr>
              <w:ind w:left="113" w:hanging="113"/>
              <w:jc w:val="both"/>
              <w:rPr>
                <w:snapToGrid w:val="0"/>
                <w:sz w:val="22"/>
                <w:szCs w:val="22"/>
                <w:lang w:val="sr-Latn-RS"/>
              </w:rPr>
            </w:pPr>
            <w:r w:rsidRPr="00E87295">
              <w:rPr>
                <w:sz w:val="22"/>
                <w:szCs w:val="22"/>
                <w:lang w:val="sr-Latn-RS"/>
              </w:rPr>
              <w:tab/>
              <w:t>Razlika od placeba (95% CI)</w:t>
            </w:r>
          </w:p>
        </w:tc>
        <w:tc>
          <w:tcPr>
            <w:tcW w:w="664" w:type="pct"/>
            <w:tcBorders>
              <w:top w:val="nil"/>
            </w:tcBorders>
            <w:shd w:val="clear" w:color="auto" w:fill="auto"/>
            <w:vAlign w:val="center"/>
          </w:tcPr>
          <w:p w14:paraId="7B6A5086"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38A029AE" w14:textId="77777777" w:rsidR="001A5B54" w:rsidRPr="00E87295" w:rsidRDefault="001A5B54" w:rsidP="00E87295">
            <w:pPr>
              <w:jc w:val="both"/>
              <w:rPr>
                <w:color w:val="000000"/>
                <w:sz w:val="22"/>
                <w:szCs w:val="22"/>
                <w:lang w:val="sr-Latn-RS"/>
              </w:rPr>
            </w:pPr>
            <w:r w:rsidRPr="00E87295">
              <w:rPr>
                <w:color w:val="000000"/>
                <w:sz w:val="22"/>
                <w:szCs w:val="22"/>
                <w:lang w:val="sr-Latn-RS"/>
              </w:rPr>
              <w:t>42,0</w:t>
            </w:r>
          </w:p>
          <w:p w14:paraId="736BBB92" w14:textId="77777777" w:rsidR="001A5B54" w:rsidRPr="00E87295" w:rsidRDefault="001A5B54" w:rsidP="00E87295">
            <w:pPr>
              <w:jc w:val="both"/>
              <w:rPr>
                <w:sz w:val="22"/>
                <w:szCs w:val="22"/>
                <w:lang w:val="sr-Latn-RS"/>
              </w:rPr>
            </w:pPr>
            <w:r w:rsidRPr="00E87295">
              <w:rPr>
                <w:color w:val="000000"/>
                <w:sz w:val="22"/>
                <w:szCs w:val="22"/>
                <w:lang w:val="sr-Latn-RS"/>
              </w:rPr>
              <w:t>(28,9; 55,1)</w:t>
            </w:r>
          </w:p>
        </w:tc>
        <w:tc>
          <w:tcPr>
            <w:tcW w:w="664" w:type="pct"/>
            <w:tcBorders>
              <w:top w:val="nil"/>
            </w:tcBorders>
            <w:shd w:val="clear" w:color="auto" w:fill="auto"/>
            <w:vAlign w:val="center"/>
          </w:tcPr>
          <w:p w14:paraId="0707B532" w14:textId="77777777" w:rsidR="001A5B54" w:rsidRPr="00E87295" w:rsidRDefault="001A5B54" w:rsidP="00E87295">
            <w:pPr>
              <w:jc w:val="both"/>
              <w:rPr>
                <w:color w:val="000000"/>
                <w:sz w:val="22"/>
                <w:szCs w:val="22"/>
                <w:lang w:val="sr-Latn-RS"/>
              </w:rPr>
            </w:pPr>
            <w:r w:rsidRPr="00E87295">
              <w:rPr>
                <w:color w:val="000000"/>
                <w:sz w:val="22"/>
                <w:szCs w:val="22"/>
                <w:lang w:val="sr-Latn-RS"/>
              </w:rPr>
              <w:t>60,0</w:t>
            </w:r>
          </w:p>
          <w:p w14:paraId="4DBEFB08" w14:textId="77777777" w:rsidR="001A5B54" w:rsidRPr="00E87295" w:rsidRDefault="001A5B54" w:rsidP="00E87295">
            <w:pPr>
              <w:jc w:val="both"/>
              <w:rPr>
                <w:sz w:val="22"/>
                <w:szCs w:val="22"/>
                <w:lang w:val="sr-Latn-RS"/>
              </w:rPr>
            </w:pPr>
            <w:r w:rsidRPr="00E87295">
              <w:rPr>
                <w:color w:val="000000"/>
                <w:sz w:val="22"/>
                <w:szCs w:val="22"/>
                <w:lang w:val="sr-Latn-RS"/>
              </w:rPr>
              <w:t>(48,3; 71,8)</w:t>
            </w:r>
          </w:p>
        </w:tc>
        <w:tc>
          <w:tcPr>
            <w:tcW w:w="664" w:type="pct"/>
            <w:tcBorders>
              <w:top w:val="nil"/>
            </w:tcBorders>
            <w:shd w:val="clear" w:color="auto" w:fill="auto"/>
            <w:vAlign w:val="center"/>
          </w:tcPr>
          <w:p w14:paraId="32B140C4"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tcBorders>
            <w:shd w:val="clear" w:color="auto" w:fill="auto"/>
            <w:vAlign w:val="center"/>
          </w:tcPr>
          <w:p w14:paraId="550E7765" w14:textId="77777777" w:rsidR="001A5B54" w:rsidRPr="00E87295" w:rsidRDefault="001A5B54" w:rsidP="00E87295">
            <w:pPr>
              <w:jc w:val="both"/>
              <w:rPr>
                <w:color w:val="000000"/>
                <w:sz w:val="22"/>
                <w:szCs w:val="22"/>
                <w:lang w:val="sr-Latn-RS"/>
              </w:rPr>
            </w:pPr>
            <w:r w:rsidRPr="00E87295">
              <w:rPr>
                <w:color w:val="000000"/>
                <w:sz w:val="22"/>
                <w:szCs w:val="22"/>
                <w:lang w:val="sr-Latn-RS"/>
              </w:rPr>
              <w:t>50,9</w:t>
            </w:r>
          </w:p>
          <w:p w14:paraId="27072F84" w14:textId="77777777" w:rsidR="001A5B54" w:rsidRPr="00E87295" w:rsidRDefault="001A5B54" w:rsidP="00E87295">
            <w:pPr>
              <w:jc w:val="both"/>
              <w:rPr>
                <w:sz w:val="22"/>
                <w:szCs w:val="22"/>
                <w:lang w:val="sr-Latn-RS"/>
              </w:rPr>
            </w:pPr>
            <w:r w:rsidRPr="00E87295">
              <w:rPr>
                <w:color w:val="000000"/>
                <w:sz w:val="22"/>
                <w:szCs w:val="22"/>
                <w:lang w:val="sr-Latn-RS"/>
              </w:rPr>
              <w:t>(42,2; 59,7)</w:t>
            </w:r>
          </w:p>
        </w:tc>
        <w:tc>
          <w:tcPr>
            <w:tcW w:w="665" w:type="pct"/>
            <w:tcBorders>
              <w:top w:val="nil"/>
            </w:tcBorders>
            <w:shd w:val="clear" w:color="auto" w:fill="auto"/>
            <w:vAlign w:val="center"/>
          </w:tcPr>
          <w:p w14:paraId="59B69BEA" w14:textId="77777777" w:rsidR="001A5B54" w:rsidRPr="00E87295" w:rsidRDefault="001A5B54" w:rsidP="00E87295">
            <w:pPr>
              <w:jc w:val="both"/>
              <w:rPr>
                <w:color w:val="000000"/>
                <w:sz w:val="22"/>
                <w:szCs w:val="22"/>
                <w:lang w:val="sr-Latn-RS"/>
              </w:rPr>
            </w:pPr>
            <w:r w:rsidRPr="00E87295">
              <w:rPr>
                <w:color w:val="000000"/>
                <w:sz w:val="22"/>
                <w:szCs w:val="22"/>
                <w:lang w:val="sr-Latn-RS"/>
              </w:rPr>
              <w:t>49,8</w:t>
            </w:r>
          </w:p>
          <w:p w14:paraId="4D884C5B" w14:textId="77777777" w:rsidR="001A5B54" w:rsidRPr="00E87295" w:rsidRDefault="001A5B54" w:rsidP="00E87295">
            <w:pPr>
              <w:jc w:val="both"/>
              <w:rPr>
                <w:sz w:val="22"/>
                <w:szCs w:val="22"/>
                <w:lang w:val="sr-Latn-RS"/>
              </w:rPr>
            </w:pPr>
            <w:r w:rsidRPr="00E87295">
              <w:rPr>
                <w:color w:val="000000"/>
                <w:sz w:val="22"/>
                <w:szCs w:val="22"/>
                <w:lang w:val="sr-Latn-RS"/>
              </w:rPr>
              <w:t>(41,2; 58,4)</w:t>
            </w:r>
          </w:p>
        </w:tc>
      </w:tr>
      <w:tr w:rsidR="001A5B54" w:rsidRPr="00E87295" w14:paraId="4F8446EC" w14:textId="77777777" w:rsidTr="00E87295">
        <w:trPr>
          <w:cantSplit/>
          <w:jc w:val="center"/>
        </w:trPr>
        <w:tc>
          <w:tcPr>
            <w:tcW w:w="5000" w:type="pct"/>
            <w:gridSpan w:val="7"/>
            <w:tcBorders>
              <w:bottom w:val="nil"/>
            </w:tcBorders>
            <w:shd w:val="clear" w:color="auto" w:fill="auto"/>
          </w:tcPr>
          <w:p w14:paraId="14565840" w14:textId="77777777" w:rsidR="001A5B54" w:rsidRPr="00E87295" w:rsidRDefault="001A5B54" w:rsidP="00E87295">
            <w:pPr>
              <w:keepNext/>
              <w:jc w:val="both"/>
              <w:rPr>
                <w:sz w:val="22"/>
                <w:szCs w:val="22"/>
                <w:lang w:val="sr-Latn-RS"/>
              </w:rPr>
            </w:pPr>
            <w:r w:rsidRPr="00E87295">
              <w:rPr>
                <w:b/>
                <w:sz w:val="22"/>
                <w:szCs w:val="22"/>
                <w:lang w:val="sr-Latn-RS"/>
              </w:rPr>
              <w:t xml:space="preserve">Odgovor PASI 90 </w:t>
            </w:r>
          </w:p>
        </w:tc>
      </w:tr>
      <w:tr w:rsidR="001A5B54" w:rsidRPr="00E87295" w14:paraId="207E9712" w14:textId="77777777" w:rsidTr="00E87295">
        <w:trPr>
          <w:cantSplit/>
          <w:jc w:val="center"/>
        </w:trPr>
        <w:tc>
          <w:tcPr>
            <w:tcW w:w="1015" w:type="pct"/>
            <w:tcBorders>
              <w:top w:val="nil"/>
              <w:bottom w:val="nil"/>
            </w:tcBorders>
            <w:shd w:val="clear" w:color="auto" w:fill="auto"/>
            <w:vAlign w:val="center"/>
          </w:tcPr>
          <w:p w14:paraId="20A1AF81" w14:textId="4A43E3FC" w:rsidR="001A5B54" w:rsidRPr="00E87295" w:rsidRDefault="001A5B54" w:rsidP="00E87295">
            <w:pPr>
              <w:jc w:val="both"/>
              <w:rPr>
                <w:b/>
                <w:sz w:val="22"/>
                <w:szCs w:val="22"/>
                <w:lang w:val="sr-Latn-RS"/>
              </w:rPr>
            </w:pPr>
            <w:r w:rsidRPr="00E87295">
              <w:rPr>
                <w:sz w:val="22"/>
                <w:szCs w:val="22"/>
                <w:lang w:val="sr-Latn-RS"/>
              </w:rPr>
              <w:t>16. ned</w:t>
            </w:r>
            <w:r w:rsidR="00343954" w:rsidRPr="00E87295">
              <w:rPr>
                <w:sz w:val="22"/>
                <w:szCs w:val="22"/>
                <w:lang w:val="sr-Latn-RS"/>
              </w:rPr>
              <w:t>j</w:t>
            </w:r>
            <w:r w:rsidRPr="00E87295">
              <w:rPr>
                <w:sz w:val="22"/>
                <w:szCs w:val="22"/>
                <w:lang w:val="sr-Latn-RS"/>
              </w:rPr>
              <w:t>elja</w:t>
            </w:r>
          </w:p>
        </w:tc>
        <w:tc>
          <w:tcPr>
            <w:tcW w:w="664" w:type="pct"/>
            <w:tcBorders>
              <w:top w:val="nil"/>
              <w:bottom w:val="nil"/>
            </w:tcBorders>
            <w:shd w:val="clear" w:color="auto" w:fill="auto"/>
            <w:vAlign w:val="center"/>
          </w:tcPr>
          <w:p w14:paraId="75D6A8E6" w14:textId="77777777" w:rsidR="001A5B54" w:rsidRPr="00E87295" w:rsidRDefault="001A5B54" w:rsidP="00E87295">
            <w:pPr>
              <w:jc w:val="both"/>
              <w:rPr>
                <w:sz w:val="22"/>
                <w:szCs w:val="22"/>
                <w:lang w:val="sr-Latn-RS"/>
              </w:rPr>
            </w:pPr>
            <w:r w:rsidRPr="00E87295">
              <w:rPr>
                <w:sz w:val="22"/>
                <w:szCs w:val="22"/>
                <w:lang w:val="sr-Latn-RS" w:eastAsia="zh-TW"/>
              </w:rPr>
              <w:t>10,3%</w:t>
            </w:r>
          </w:p>
        </w:tc>
        <w:tc>
          <w:tcPr>
            <w:tcW w:w="664" w:type="pct"/>
            <w:tcBorders>
              <w:top w:val="nil"/>
              <w:bottom w:val="nil"/>
            </w:tcBorders>
            <w:shd w:val="clear" w:color="auto" w:fill="auto"/>
            <w:vAlign w:val="center"/>
          </w:tcPr>
          <w:p w14:paraId="471A72DF" w14:textId="77777777" w:rsidR="001A5B54" w:rsidRPr="00E87295" w:rsidRDefault="001A5B54" w:rsidP="00E87295">
            <w:pPr>
              <w:jc w:val="both"/>
              <w:rPr>
                <w:sz w:val="22"/>
                <w:szCs w:val="22"/>
                <w:lang w:val="sr-Latn-RS"/>
              </w:rPr>
            </w:pPr>
            <w:r w:rsidRPr="00E87295">
              <w:rPr>
                <w:sz w:val="22"/>
                <w:szCs w:val="22"/>
                <w:lang w:val="sr-Latn-RS" w:eastAsia="zh-TW"/>
              </w:rPr>
              <w:t xml:space="preserve">45,1% </w:t>
            </w:r>
            <w:r w:rsidRPr="00E87295">
              <w:rPr>
                <w:sz w:val="22"/>
                <w:szCs w:val="22"/>
                <w:vertAlign w:val="superscript"/>
                <w:lang w:val="sr-Latn-RS" w:eastAsia="zh-TW"/>
              </w:rPr>
              <w:t>e</w:t>
            </w:r>
          </w:p>
        </w:tc>
        <w:tc>
          <w:tcPr>
            <w:tcW w:w="664" w:type="pct"/>
            <w:tcBorders>
              <w:top w:val="nil"/>
              <w:bottom w:val="nil"/>
            </w:tcBorders>
            <w:shd w:val="clear" w:color="auto" w:fill="auto"/>
            <w:vAlign w:val="center"/>
          </w:tcPr>
          <w:p w14:paraId="5CB59D77" w14:textId="77777777" w:rsidR="001A5B54" w:rsidRPr="00E87295" w:rsidRDefault="001A5B54" w:rsidP="00E87295">
            <w:pPr>
              <w:jc w:val="both"/>
              <w:rPr>
                <w:sz w:val="22"/>
                <w:szCs w:val="22"/>
                <w:lang w:val="sr-Latn-RS"/>
              </w:rPr>
            </w:pPr>
            <w:r w:rsidRPr="00E87295">
              <w:rPr>
                <w:sz w:val="22"/>
                <w:szCs w:val="22"/>
                <w:lang w:val="sr-Latn-RS" w:eastAsia="zh-TW"/>
              </w:rPr>
              <w:t xml:space="preserve">52,8% </w:t>
            </w:r>
            <w:r w:rsidRPr="00E87295">
              <w:rPr>
                <w:sz w:val="22"/>
                <w:szCs w:val="22"/>
                <w:vertAlign w:val="superscript"/>
                <w:lang w:val="sr-Latn-RS" w:eastAsia="zh-TW"/>
              </w:rPr>
              <w:t>e</w:t>
            </w:r>
          </w:p>
        </w:tc>
        <w:tc>
          <w:tcPr>
            <w:tcW w:w="664" w:type="pct"/>
            <w:tcBorders>
              <w:top w:val="nil"/>
              <w:bottom w:val="nil"/>
            </w:tcBorders>
            <w:shd w:val="clear" w:color="auto" w:fill="auto"/>
            <w:vAlign w:val="center"/>
          </w:tcPr>
          <w:p w14:paraId="3E66D0DF" w14:textId="77777777" w:rsidR="001A5B54" w:rsidRPr="00E87295" w:rsidRDefault="001A5B54" w:rsidP="00E87295">
            <w:pPr>
              <w:jc w:val="both"/>
              <w:rPr>
                <w:sz w:val="22"/>
                <w:szCs w:val="22"/>
                <w:lang w:val="sr-Latn-RS"/>
              </w:rPr>
            </w:pPr>
            <w:r w:rsidRPr="00E87295">
              <w:rPr>
                <w:sz w:val="22"/>
                <w:szCs w:val="22"/>
                <w:lang w:val="sr-Latn-RS"/>
              </w:rPr>
              <w:t>8,2%</w:t>
            </w:r>
          </w:p>
        </w:tc>
        <w:tc>
          <w:tcPr>
            <w:tcW w:w="664" w:type="pct"/>
            <w:tcBorders>
              <w:top w:val="nil"/>
              <w:bottom w:val="nil"/>
            </w:tcBorders>
            <w:shd w:val="clear" w:color="auto" w:fill="auto"/>
            <w:vAlign w:val="center"/>
          </w:tcPr>
          <w:p w14:paraId="0967D168" w14:textId="77777777" w:rsidR="001A5B54" w:rsidRPr="00E87295" w:rsidRDefault="001A5B54" w:rsidP="00E87295">
            <w:pPr>
              <w:jc w:val="both"/>
              <w:rPr>
                <w:sz w:val="22"/>
                <w:szCs w:val="22"/>
                <w:lang w:val="sr-Latn-RS"/>
              </w:rPr>
            </w:pPr>
            <w:r w:rsidRPr="00E87295">
              <w:rPr>
                <w:sz w:val="22"/>
                <w:szCs w:val="22"/>
                <w:lang w:val="sr-Latn-RS"/>
              </w:rPr>
              <w:t xml:space="preserve">55,1% </w:t>
            </w:r>
            <w:r w:rsidRPr="00E87295">
              <w:rPr>
                <w:sz w:val="22"/>
                <w:szCs w:val="22"/>
                <w:vertAlign w:val="superscript"/>
                <w:lang w:val="sr-Latn-RS"/>
              </w:rPr>
              <w:t>e</w:t>
            </w:r>
          </w:p>
        </w:tc>
        <w:tc>
          <w:tcPr>
            <w:tcW w:w="665" w:type="pct"/>
            <w:tcBorders>
              <w:top w:val="nil"/>
              <w:bottom w:val="nil"/>
            </w:tcBorders>
            <w:shd w:val="clear" w:color="auto" w:fill="auto"/>
            <w:vAlign w:val="center"/>
          </w:tcPr>
          <w:p w14:paraId="6ED946D0" w14:textId="77777777" w:rsidR="001A5B54" w:rsidRPr="00E87295" w:rsidRDefault="001A5B54" w:rsidP="00E87295">
            <w:pPr>
              <w:jc w:val="both"/>
              <w:rPr>
                <w:sz w:val="22"/>
                <w:szCs w:val="22"/>
                <w:lang w:val="sr-Latn-RS"/>
              </w:rPr>
            </w:pPr>
            <w:r w:rsidRPr="00E87295">
              <w:rPr>
                <w:sz w:val="22"/>
                <w:szCs w:val="22"/>
                <w:lang w:val="sr-Latn-RS"/>
              </w:rPr>
              <w:t xml:space="preserve">53,8% </w:t>
            </w:r>
            <w:r w:rsidRPr="00E87295">
              <w:rPr>
                <w:sz w:val="22"/>
                <w:szCs w:val="22"/>
                <w:vertAlign w:val="superscript"/>
                <w:lang w:val="sr-Latn-RS"/>
              </w:rPr>
              <w:t>e</w:t>
            </w:r>
          </w:p>
        </w:tc>
      </w:tr>
      <w:tr w:rsidR="001A5B54" w:rsidRPr="00E87295" w14:paraId="0DE5ED8B" w14:textId="77777777" w:rsidTr="00E87295">
        <w:trPr>
          <w:cantSplit/>
          <w:jc w:val="center"/>
        </w:trPr>
        <w:tc>
          <w:tcPr>
            <w:tcW w:w="1015" w:type="pct"/>
            <w:tcBorders>
              <w:top w:val="nil"/>
              <w:bottom w:val="nil"/>
            </w:tcBorders>
            <w:shd w:val="clear" w:color="auto" w:fill="auto"/>
            <w:vAlign w:val="center"/>
          </w:tcPr>
          <w:p w14:paraId="33764A9B"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bottom w:val="nil"/>
            </w:tcBorders>
            <w:shd w:val="clear" w:color="auto" w:fill="auto"/>
            <w:vAlign w:val="center"/>
          </w:tcPr>
          <w:p w14:paraId="5C18F792" w14:textId="77777777" w:rsidR="001A5B54" w:rsidRPr="00E87295" w:rsidRDefault="001A5B54" w:rsidP="00E87295">
            <w:pPr>
              <w:jc w:val="both"/>
              <w:rPr>
                <w:sz w:val="22"/>
                <w:szCs w:val="22"/>
                <w:lang w:val="sr-Latn-RS" w:eastAsia="zh-TW"/>
              </w:rPr>
            </w:pPr>
            <w:r w:rsidRPr="00E87295">
              <w:rPr>
                <w:sz w:val="22"/>
                <w:szCs w:val="22"/>
                <w:lang w:val="sr-Latn-RS" w:eastAsia="zh-TW"/>
              </w:rPr>
              <w:t>-</w:t>
            </w:r>
          </w:p>
        </w:tc>
        <w:tc>
          <w:tcPr>
            <w:tcW w:w="664" w:type="pct"/>
            <w:tcBorders>
              <w:top w:val="nil"/>
              <w:bottom w:val="nil"/>
            </w:tcBorders>
            <w:shd w:val="clear" w:color="auto" w:fill="auto"/>
          </w:tcPr>
          <w:p w14:paraId="44DE7F05"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34,9 </w:t>
            </w:r>
          </w:p>
          <w:p w14:paraId="26BBBAA2" w14:textId="77777777" w:rsidR="001A5B54" w:rsidRPr="00E87295" w:rsidRDefault="001A5B54" w:rsidP="00E87295">
            <w:pPr>
              <w:jc w:val="both"/>
              <w:rPr>
                <w:sz w:val="22"/>
                <w:szCs w:val="22"/>
                <w:lang w:val="sr-Latn-RS" w:eastAsia="zh-TW"/>
              </w:rPr>
            </w:pPr>
            <w:r w:rsidRPr="00E87295">
              <w:rPr>
                <w:color w:val="000000"/>
                <w:sz w:val="22"/>
                <w:szCs w:val="22"/>
                <w:lang w:val="sr-Latn-RS"/>
              </w:rPr>
              <w:t>(22,2; 47,6)</w:t>
            </w:r>
          </w:p>
        </w:tc>
        <w:tc>
          <w:tcPr>
            <w:tcW w:w="664" w:type="pct"/>
            <w:tcBorders>
              <w:top w:val="nil"/>
              <w:bottom w:val="nil"/>
            </w:tcBorders>
            <w:shd w:val="clear" w:color="auto" w:fill="auto"/>
          </w:tcPr>
          <w:p w14:paraId="0AF3AE33"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42,6 </w:t>
            </w:r>
          </w:p>
          <w:p w14:paraId="416E89BB" w14:textId="77777777" w:rsidR="001A5B54" w:rsidRPr="00E87295" w:rsidRDefault="001A5B54" w:rsidP="00E87295">
            <w:pPr>
              <w:jc w:val="both"/>
              <w:rPr>
                <w:sz w:val="22"/>
                <w:szCs w:val="22"/>
                <w:lang w:val="sr-Latn-RS" w:eastAsia="zh-TW"/>
              </w:rPr>
            </w:pPr>
            <w:r w:rsidRPr="00E87295">
              <w:rPr>
                <w:color w:val="000000"/>
                <w:sz w:val="22"/>
                <w:szCs w:val="22"/>
                <w:lang w:val="sr-Latn-RS"/>
              </w:rPr>
              <w:t>(30,5; 54,8)</w:t>
            </w:r>
          </w:p>
        </w:tc>
        <w:tc>
          <w:tcPr>
            <w:tcW w:w="664" w:type="pct"/>
            <w:tcBorders>
              <w:top w:val="nil"/>
              <w:bottom w:val="nil"/>
            </w:tcBorders>
            <w:shd w:val="clear" w:color="auto" w:fill="auto"/>
            <w:vAlign w:val="center"/>
          </w:tcPr>
          <w:p w14:paraId="48A6B568"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bottom w:val="nil"/>
            </w:tcBorders>
            <w:shd w:val="clear" w:color="auto" w:fill="auto"/>
          </w:tcPr>
          <w:p w14:paraId="3E8A34E4"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46,6 </w:t>
            </w:r>
          </w:p>
          <w:p w14:paraId="571BEE10" w14:textId="77777777" w:rsidR="001A5B54" w:rsidRPr="00E87295" w:rsidRDefault="001A5B54" w:rsidP="00E87295">
            <w:pPr>
              <w:jc w:val="both"/>
              <w:rPr>
                <w:color w:val="000000"/>
                <w:sz w:val="22"/>
                <w:szCs w:val="22"/>
                <w:lang w:val="sr-Latn-RS"/>
              </w:rPr>
            </w:pPr>
            <w:r w:rsidRPr="00E87295">
              <w:rPr>
                <w:color w:val="000000"/>
                <w:sz w:val="22"/>
                <w:szCs w:val="22"/>
                <w:lang w:val="sr-Latn-RS"/>
              </w:rPr>
              <w:t>(38,4, 54,8)</w:t>
            </w:r>
          </w:p>
        </w:tc>
        <w:tc>
          <w:tcPr>
            <w:tcW w:w="665" w:type="pct"/>
            <w:tcBorders>
              <w:top w:val="nil"/>
              <w:bottom w:val="nil"/>
            </w:tcBorders>
            <w:shd w:val="clear" w:color="auto" w:fill="auto"/>
          </w:tcPr>
          <w:p w14:paraId="6588B07B"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45,6 </w:t>
            </w:r>
          </w:p>
          <w:p w14:paraId="47E74243" w14:textId="77777777" w:rsidR="001A5B54" w:rsidRPr="00E87295" w:rsidRDefault="001A5B54" w:rsidP="00E87295">
            <w:pPr>
              <w:jc w:val="both"/>
              <w:rPr>
                <w:sz w:val="22"/>
                <w:szCs w:val="22"/>
                <w:lang w:val="sr-Latn-RS"/>
              </w:rPr>
            </w:pPr>
            <w:r w:rsidRPr="00E87295">
              <w:rPr>
                <w:color w:val="000000"/>
                <w:sz w:val="22"/>
                <w:szCs w:val="22"/>
                <w:lang w:val="sr-Latn-RS"/>
              </w:rPr>
              <w:t>(37,6, 53,6)</w:t>
            </w:r>
          </w:p>
        </w:tc>
      </w:tr>
      <w:tr w:rsidR="001A5B54" w:rsidRPr="00E87295" w14:paraId="78152B46" w14:textId="77777777" w:rsidTr="00E87295">
        <w:trPr>
          <w:cantSplit/>
          <w:jc w:val="center"/>
        </w:trPr>
        <w:tc>
          <w:tcPr>
            <w:tcW w:w="1015" w:type="pct"/>
            <w:tcBorders>
              <w:top w:val="nil"/>
              <w:bottom w:val="nil"/>
            </w:tcBorders>
            <w:shd w:val="clear" w:color="auto" w:fill="auto"/>
            <w:vAlign w:val="center"/>
          </w:tcPr>
          <w:p w14:paraId="48D6A1DF" w14:textId="298E15BC" w:rsidR="001A5B54" w:rsidRPr="00E87295" w:rsidRDefault="001A5B54" w:rsidP="00E87295">
            <w:pPr>
              <w:jc w:val="both"/>
              <w:rPr>
                <w:b/>
                <w:sz w:val="22"/>
                <w:szCs w:val="22"/>
                <w:lang w:val="sr-Latn-RS"/>
              </w:rPr>
            </w:pPr>
            <w:r w:rsidRPr="00E87295">
              <w:rPr>
                <w:sz w:val="22"/>
                <w:szCs w:val="22"/>
                <w:lang w:val="sr-Latn-RS"/>
              </w:rPr>
              <w:t>24. ned</w:t>
            </w:r>
            <w:r w:rsidR="00343954" w:rsidRPr="00E87295">
              <w:rPr>
                <w:sz w:val="22"/>
                <w:szCs w:val="22"/>
                <w:lang w:val="sr-Latn-RS"/>
              </w:rPr>
              <w:t>j</w:t>
            </w:r>
            <w:r w:rsidRPr="00E87295">
              <w:rPr>
                <w:sz w:val="22"/>
                <w:szCs w:val="22"/>
                <w:lang w:val="sr-Latn-RS"/>
              </w:rPr>
              <w:t>elja</w:t>
            </w:r>
          </w:p>
        </w:tc>
        <w:tc>
          <w:tcPr>
            <w:tcW w:w="664" w:type="pct"/>
            <w:tcBorders>
              <w:top w:val="nil"/>
              <w:bottom w:val="nil"/>
            </w:tcBorders>
            <w:shd w:val="clear" w:color="auto" w:fill="auto"/>
            <w:vAlign w:val="center"/>
          </w:tcPr>
          <w:p w14:paraId="6D0CC093" w14:textId="77777777" w:rsidR="001A5B54" w:rsidRPr="00E87295" w:rsidRDefault="001A5B54" w:rsidP="00E87295">
            <w:pPr>
              <w:jc w:val="both"/>
              <w:rPr>
                <w:sz w:val="22"/>
                <w:szCs w:val="22"/>
                <w:lang w:val="sr-Latn-RS"/>
              </w:rPr>
            </w:pPr>
            <w:r w:rsidRPr="00E87295">
              <w:rPr>
                <w:sz w:val="22"/>
                <w:szCs w:val="22"/>
                <w:lang w:val="sr-Latn-RS" w:eastAsia="zh-TW"/>
              </w:rPr>
              <w:t>11,5%</w:t>
            </w:r>
          </w:p>
        </w:tc>
        <w:tc>
          <w:tcPr>
            <w:tcW w:w="664" w:type="pct"/>
            <w:tcBorders>
              <w:top w:val="nil"/>
              <w:bottom w:val="nil"/>
            </w:tcBorders>
            <w:shd w:val="clear" w:color="auto" w:fill="auto"/>
            <w:vAlign w:val="center"/>
          </w:tcPr>
          <w:p w14:paraId="1D44BC11" w14:textId="77777777" w:rsidR="001A5B54" w:rsidRPr="00E87295" w:rsidRDefault="001A5B54" w:rsidP="00E87295">
            <w:pPr>
              <w:jc w:val="both"/>
              <w:rPr>
                <w:sz w:val="22"/>
                <w:szCs w:val="22"/>
                <w:lang w:val="sr-Latn-RS"/>
              </w:rPr>
            </w:pPr>
            <w:r w:rsidRPr="00E87295">
              <w:rPr>
                <w:sz w:val="22"/>
                <w:szCs w:val="22"/>
                <w:lang w:val="sr-Latn-RS" w:eastAsia="zh-TW"/>
              </w:rPr>
              <w:t>50,0%</w:t>
            </w:r>
            <w:r w:rsidRPr="00E87295">
              <w:rPr>
                <w:sz w:val="22"/>
                <w:szCs w:val="22"/>
                <w:vertAlign w:val="superscript"/>
                <w:lang w:val="sr-Latn-RS"/>
              </w:rPr>
              <w:t xml:space="preserve"> e</w:t>
            </w:r>
          </w:p>
        </w:tc>
        <w:tc>
          <w:tcPr>
            <w:tcW w:w="664" w:type="pct"/>
            <w:tcBorders>
              <w:top w:val="nil"/>
              <w:bottom w:val="nil"/>
            </w:tcBorders>
            <w:shd w:val="clear" w:color="auto" w:fill="auto"/>
            <w:vAlign w:val="center"/>
          </w:tcPr>
          <w:p w14:paraId="70EFAAF8" w14:textId="77777777" w:rsidR="001A5B54" w:rsidRPr="00E87295" w:rsidRDefault="001A5B54" w:rsidP="00E87295">
            <w:pPr>
              <w:jc w:val="both"/>
              <w:rPr>
                <w:sz w:val="22"/>
                <w:szCs w:val="22"/>
                <w:lang w:val="sr-Latn-RS"/>
              </w:rPr>
            </w:pPr>
            <w:r w:rsidRPr="00E87295">
              <w:rPr>
                <w:sz w:val="22"/>
                <w:szCs w:val="22"/>
                <w:lang w:val="sr-Latn-RS" w:eastAsia="zh-TW"/>
              </w:rPr>
              <w:t>62,9%</w:t>
            </w:r>
            <w:r w:rsidRPr="00E87295">
              <w:rPr>
                <w:sz w:val="22"/>
                <w:szCs w:val="22"/>
                <w:vertAlign w:val="superscript"/>
                <w:lang w:val="sr-Latn-RS"/>
              </w:rPr>
              <w:t xml:space="preserve"> e</w:t>
            </w:r>
          </w:p>
        </w:tc>
        <w:tc>
          <w:tcPr>
            <w:tcW w:w="664" w:type="pct"/>
            <w:tcBorders>
              <w:top w:val="nil"/>
              <w:bottom w:val="nil"/>
            </w:tcBorders>
            <w:shd w:val="clear" w:color="auto" w:fill="auto"/>
            <w:vAlign w:val="center"/>
          </w:tcPr>
          <w:p w14:paraId="357EE148" w14:textId="77777777" w:rsidR="001A5B54" w:rsidRPr="00E87295" w:rsidRDefault="001A5B54" w:rsidP="00E87295">
            <w:pPr>
              <w:jc w:val="both"/>
              <w:rPr>
                <w:sz w:val="22"/>
                <w:szCs w:val="22"/>
                <w:lang w:val="sr-Latn-RS"/>
              </w:rPr>
            </w:pPr>
            <w:r w:rsidRPr="00E87295">
              <w:rPr>
                <w:sz w:val="22"/>
                <w:szCs w:val="22"/>
                <w:lang w:val="sr-Latn-RS"/>
              </w:rPr>
              <w:t>9,8%</w:t>
            </w:r>
          </w:p>
        </w:tc>
        <w:tc>
          <w:tcPr>
            <w:tcW w:w="664" w:type="pct"/>
            <w:tcBorders>
              <w:top w:val="nil"/>
              <w:bottom w:val="nil"/>
            </w:tcBorders>
            <w:shd w:val="clear" w:color="auto" w:fill="auto"/>
            <w:vAlign w:val="center"/>
          </w:tcPr>
          <w:p w14:paraId="5F95644A" w14:textId="77777777" w:rsidR="001A5B54" w:rsidRPr="00E87295" w:rsidRDefault="001A5B54" w:rsidP="00E87295">
            <w:pPr>
              <w:jc w:val="both"/>
              <w:rPr>
                <w:sz w:val="22"/>
                <w:szCs w:val="22"/>
                <w:lang w:val="sr-Latn-RS"/>
              </w:rPr>
            </w:pPr>
            <w:r w:rsidRPr="00E87295">
              <w:rPr>
                <w:sz w:val="22"/>
                <w:szCs w:val="22"/>
                <w:lang w:val="sr-Latn-RS"/>
              </w:rPr>
              <w:t>68,8%</w:t>
            </w:r>
            <w:r w:rsidRPr="00E87295">
              <w:rPr>
                <w:sz w:val="22"/>
                <w:szCs w:val="22"/>
                <w:vertAlign w:val="superscript"/>
                <w:lang w:val="sr-Latn-RS"/>
              </w:rPr>
              <w:t xml:space="preserve"> e</w:t>
            </w:r>
          </w:p>
        </w:tc>
        <w:tc>
          <w:tcPr>
            <w:tcW w:w="665" w:type="pct"/>
            <w:tcBorders>
              <w:top w:val="nil"/>
              <w:bottom w:val="nil"/>
            </w:tcBorders>
            <w:shd w:val="clear" w:color="auto" w:fill="auto"/>
            <w:vAlign w:val="center"/>
          </w:tcPr>
          <w:p w14:paraId="0135629F" w14:textId="77777777" w:rsidR="001A5B54" w:rsidRPr="00E87295" w:rsidRDefault="001A5B54" w:rsidP="00E87295">
            <w:pPr>
              <w:jc w:val="both"/>
              <w:rPr>
                <w:sz w:val="22"/>
                <w:szCs w:val="22"/>
                <w:lang w:val="sr-Latn-RS"/>
              </w:rPr>
            </w:pPr>
            <w:r w:rsidRPr="00E87295">
              <w:rPr>
                <w:sz w:val="22"/>
                <w:szCs w:val="22"/>
                <w:lang w:val="sr-Latn-RS"/>
              </w:rPr>
              <w:t>60,9%</w:t>
            </w:r>
            <w:r w:rsidRPr="00E87295">
              <w:rPr>
                <w:sz w:val="22"/>
                <w:szCs w:val="22"/>
                <w:vertAlign w:val="superscript"/>
                <w:lang w:val="sr-Latn-RS"/>
              </w:rPr>
              <w:t xml:space="preserve"> e</w:t>
            </w:r>
          </w:p>
        </w:tc>
      </w:tr>
      <w:tr w:rsidR="001A5B54" w:rsidRPr="00E87295" w14:paraId="45BC1400" w14:textId="77777777" w:rsidTr="00E87295">
        <w:trPr>
          <w:cantSplit/>
          <w:jc w:val="center"/>
        </w:trPr>
        <w:tc>
          <w:tcPr>
            <w:tcW w:w="1015" w:type="pct"/>
            <w:tcBorders>
              <w:top w:val="nil"/>
              <w:bottom w:val="single" w:sz="4" w:space="0" w:color="auto"/>
            </w:tcBorders>
            <w:shd w:val="clear" w:color="auto" w:fill="auto"/>
            <w:vAlign w:val="center"/>
          </w:tcPr>
          <w:p w14:paraId="5F2A2180" w14:textId="77777777" w:rsidR="001A5B54" w:rsidRPr="00E87295" w:rsidRDefault="001A5B54" w:rsidP="00E87295">
            <w:pPr>
              <w:ind w:left="113" w:hanging="113"/>
              <w:jc w:val="both"/>
              <w:rPr>
                <w:sz w:val="22"/>
                <w:szCs w:val="22"/>
                <w:lang w:val="sr-Latn-RS"/>
              </w:rPr>
            </w:pPr>
            <w:r w:rsidRPr="00E87295">
              <w:rPr>
                <w:sz w:val="22"/>
                <w:szCs w:val="22"/>
                <w:lang w:val="sr-Latn-RS"/>
              </w:rPr>
              <w:tab/>
              <w:t>Razlika od placeba (95% CI)</w:t>
            </w:r>
          </w:p>
        </w:tc>
        <w:tc>
          <w:tcPr>
            <w:tcW w:w="664" w:type="pct"/>
            <w:tcBorders>
              <w:top w:val="nil"/>
              <w:bottom w:val="single" w:sz="4" w:space="0" w:color="auto"/>
            </w:tcBorders>
            <w:shd w:val="clear" w:color="auto" w:fill="auto"/>
            <w:vAlign w:val="center"/>
          </w:tcPr>
          <w:p w14:paraId="6E5427A7" w14:textId="77777777" w:rsidR="001A5B54" w:rsidRPr="00E87295" w:rsidRDefault="001A5B54" w:rsidP="00E87295">
            <w:pPr>
              <w:jc w:val="both"/>
              <w:rPr>
                <w:sz w:val="22"/>
                <w:szCs w:val="22"/>
                <w:lang w:val="sr-Latn-RS" w:eastAsia="zh-TW"/>
              </w:rPr>
            </w:pPr>
            <w:r w:rsidRPr="00E87295">
              <w:rPr>
                <w:sz w:val="22"/>
                <w:szCs w:val="22"/>
                <w:lang w:val="sr-Latn-RS" w:eastAsia="zh-TW"/>
              </w:rPr>
              <w:t>-</w:t>
            </w:r>
          </w:p>
        </w:tc>
        <w:tc>
          <w:tcPr>
            <w:tcW w:w="664" w:type="pct"/>
            <w:tcBorders>
              <w:top w:val="nil"/>
              <w:bottom w:val="single" w:sz="4" w:space="0" w:color="auto"/>
            </w:tcBorders>
            <w:shd w:val="clear" w:color="auto" w:fill="auto"/>
          </w:tcPr>
          <w:p w14:paraId="2D82310C"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38,6 </w:t>
            </w:r>
          </w:p>
          <w:p w14:paraId="76A06B1A" w14:textId="77777777" w:rsidR="001A5B54" w:rsidRPr="00E87295" w:rsidRDefault="001A5B54" w:rsidP="00E87295">
            <w:pPr>
              <w:jc w:val="both"/>
              <w:rPr>
                <w:sz w:val="22"/>
                <w:szCs w:val="22"/>
                <w:lang w:val="sr-Latn-RS" w:eastAsia="zh-TW"/>
              </w:rPr>
            </w:pPr>
            <w:r w:rsidRPr="00E87295">
              <w:rPr>
                <w:color w:val="000000"/>
                <w:sz w:val="22"/>
                <w:szCs w:val="22"/>
                <w:lang w:val="sr-Latn-RS"/>
              </w:rPr>
              <w:t>(25,8; 51,4)</w:t>
            </w:r>
          </w:p>
        </w:tc>
        <w:tc>
          <w:tcPr>
            <w:tcW w:w="664" w:type="pct"/>
            <w:tcBorders>
              <w:top w:val="nil"/>
              <w:bottom w:val="single" w:sz="4" w:space="0" w:color="auto"/>
            </w:tcBorders>
            <w:shd w:val="clear" w:color="auto" w:fill="auto"/>
          </w:tcPr>
          <w:p w14:paraId="0339CB2C"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51,7 </w:t>
            </w:r>
          </w:p>
          <w:p w14:paraId="5B33FAE0" w14:textId="77777777" w:rsidR="001A5B54" w:rsidRPr="00E87295" w:rsidRDefault="001A5B54" w:rsidP="00E87295">
            <w:pPr>
              <w:jc w:val="both"/>
              <w:rPr>
                <w:sz w:val="22"/>
                <w:szCs w:val="22"/>
                <w:lang w:val="sr-Latn-RS" w:eastAsia="zh-TW"/>
              </w:rPr>
            </w:pPr>
            <w:r w:rsidRPr="00E87295">
              <w:rPr>
                <w:color w:val="000000"/>
                <w:sz w:val="22"/>
                <w:szCs w:val="22"/>
                <w:lang w:val="sr-Latn-RS"/>
              </w:rPr>
              <w:t>(39,7, 63,7)</w:t>
            </w:r>
          </w:p>
        </w:tc>
        <w:tc>
          <w:tcPr>
            <w:tcW w:w="664" w:type="pct"/>
            <w:tcBorders>
              <w:top w:val="nil"/>
              <w:bottom w:val="single" w:sz="4" w:space="0" w:color="auto"/>
            </w:tcBorders>
            <w:shd w:val="clear" w:color="auto" w:fill="auto"/>
            <w:vAlign w:val="center"/>
          </w:tcPr>
          <w:p w14:paraId="742C3D70" w14:textId="77777777" w:rsidR="001A5B54" w:rsidRPr="00E87295" w:rsidRDefault="001A5B54" w:rsidP="00E87295">
            <w:pPr>
              <w:jc w:val="both"/>
              <w:rPr>
                <w:sz w:val="22"/>
                <w:szCs w:val="22"/>
                <w:lang w:val="sr-Latn-RS"/>
              </w:rPr>
            </w:pPr>
            <w:r w:rsidRPr="00E87295">
              <w:rPr>
                <w:sz w:val="22"/>
                <w:szCs w:val="22"/>
                <w:lang w:val="sr-Latn-RS"/>
              </w:rPr>
              <w:t>-</w:t>
            </w:r>
          </w:p>
        </w:tc>
        <w:tc>
          <w:tcPr>
            <w:tcW w:w="664" w:type="pct"/>
            <w:tcBorders>
              <w:top w:val="nil"/>
              <w:bottom w:val="single" w:sz="4" w:space="0" w:color="auto"/>
            </w:tcBorders>
            <w:shd w:val="clear" w:color="auto" w:fill="auto"/>
            <w:vAlign w:val="bottom"/>
          </w:tcPr>
          <w:p w14:paraId="603DEF44"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58,6 </w:t>
            </w:r>
          </w:p>
          <w:p w14:paraId="4310EE07" w14:textId="77777777" w:rsidR="001A5B54" w:rsidRPr="00E87295" w:rsidRDefault="001A5B54" w:rsidP="00E87295">
            <w:pPr>
              <w:jc w:val="both"/>
              <w:rPr>
                <w:sz w:val="22"/>
                <w:szCs w:val="22"/>
                <w:lang w:val="sr-Latn-RS"/>
              </w:rPr>
            </w:pPr>
            <w:r w:rsidRPr="00E87295">
              <w:rPr>
                <w:color w:val="000000"/>
                <w:sz w:val="22"/>
                <w:szCs w:val="22"/>
                <w:lang w:val="sr-Latn-RS"/>
              </w:rPr>
              <w:t>(50,6; 66,6)</w:t>
            </w:r>
          </w:p>
        </w:tc>
        <w:tc>
          <w:tcPr>
            <w:tcW w:w="665" w:type="pct"/>
            <w:tcBorders>
              <w:top w:val="nil"/>
              <w:bottom w:val="single" w:sz="4" w:space="0" w:color="auto"/>
            </w:tcBorders>
            <w:shd w:val="clear" w:color="auto" w:fill="auto"/>
          </w:tcPr>
          <w:p w14:paraId="7B8852B7" w14:textId="77777777" w:rsidR="001A5B54" w:rsidRPr="00E87295" w:rsidRDefault="001A5B54" w:rsidP="00E87295">
            <w:pPr>
              <w:jc w:val="both"/>
              <w:rPr>
                <w:color w:val="000000"/>
                <w:sz w:val="22"/>
                <w:szCs w:val="22"/>
                <w:lang w:val="sr-Latn-RS"/>
              </w:rPr>
            </w:pPr>
            <w:r w:rsidRPr="00E87295">
              <w:rPr>
                <w:color w:val="000000"/>
                <w:sz w:val="22"/>
                <w:szCs w:val="22"/>
                <w:lang w:val="sr-Latn-RS"/>
              </w:rPr>
              <w:t xml:space="preserve">51,3 </w:t>
            </w:r>
          </w:p>
          <w:p w14:paraId="37DA1DF5" w14:textId="77777777" w:rsidR="001A5B54" w:rsidRPr="00E87295" w:rsidRDefault="001A5B54" w:rsidP="00E87295">
            <w:pPr>
              <w:jc w:val="both"/>
              <w:rPr>
                <w:sz w:val="22"/>
                <w:szCs w:val="22"/>
                <w:lang w:val="sr-Latn-RS"/>
              </w:rPr>
            </w:pPr>
            <w:r w:rsidRPr="00E87295">
              <w:rPr>
                <w:color w:val="000000"/>
                <w:sz w:val="22"/>
                <w:szCs w:val="22"/>
                <w:lang w:val="sr-Latn-RS"/>
              </w:rPr>
              <w:t>(43,2; 59,3)</w:t>
            </w:r>
          </w:p>
        </w:tc>
      </w:tr>
      <w:tr w:rsidR="001A5B54" w:rsidRPr="00E87295" w14:paraId="139EE611" w14:textId="77777777" w:rsidTr="00E87295">
        <w:trPr>
          <w:cantSplit/>
          <w:jc w:val="center"/>
        </w:trPr>
        <w:tc>
          <w:tcPr>
            <w:tcW w:w="5000" w:type="pct"/>
            <w:gridSpan w:val="7"/>
            <w:tcBorders>
              <w:top w:val="single" w:sz="4" w:space="0" w:color="auto"/>
              <w:left w:val="nil"/>
              <w:bottom w:val="nil"/>
              <w:right w:val="nil"/>
            </w:tcBorders>
            <w:shd w:val="clear" w:color="auto" w:fill="auto"/>
            <w:vAlign w:val="center"/>
          </w:tcPr>
          <w:p w14:paraId="5B580F3A" w14:textId="51C569E1" w:rsidR="001A5B54" w:rsidRPr="00E87295" w:rsidRDefault="001A5B54" w:rsidP="00E87295">
            <w:pPr>
              <w:ind w:left="284" w:hanging="284"/>
              <w:jc w:val="both"/>
              <w:rPr>
                <w:sz w:val="22"/>
                <w:szCs w:val="22"/>
                <w:lang w:val="sr-Latn-RS"/>
              </w:rPr>
            </w:pPr>
            <w:r w:rsidRPr="00E87295">
              <w:rPr>
                <w:sz w:val="22"/>
                <w:szCs w:val="22"/>
                <w:vertAlign w:val="superscript"/>
                <w:lang w:val="sr-Latn-RS"/>
              </w:rPr>
              <w:lastRenderedPageBreak/>
              <w:t>a</w:t>
            </w:r>
            <w:r w:rsidRPr="00E87295">
              <w:rPr>
                <w:sz w:val="22"/>
                <w:szCs w:val="22"/>
                <w:lang w:val="sr-Latn-RS"/>
              </w:rPr>
              <w:tab/>
              <w:t>p &lt; 0,001 (primarn</w:t>
            </w:r>
            <w:r w:rsidR="0082786A" w:rsidRPr="00E87295">
              <w:rPr>
                <w:sz w:val="22"/>
                <w:szCs w:val="22"/>
                <w:lang w:val="sr-Latn-RS"/>
              </w:rPr>
              <w:t>i parametar praćenja</w:t>
            </w:r>
            <w:r w:rsidRPr="00E87295">
              <w:rPr>
                <w:sz w:val="22"/>
                <w:szCs w:val="22"/>
                <w:lang w:val="sr-Latn-RS"/>
              </w:rPr>
              <w:t>)</w:t>
            </w:r>
          </w:p>
          <w:p w14:paraId="5C4D0BFF" w14:textId="305FA330" w:rsidR="001A5B54" w:rsidRPr="00E87295" w:rsidRDefault="001A5B54" w:rsidP="00E87295">
            <w:pPr>
              <w:ind w:left="284" w:hanging="284"/>
              <w:jc w:val="both"/>
              <w:rPr>
                <w:sz w:val="22"/>
                <w:szCs w:val="22"/>
                <w:lang w:val="sr-Latn-RS"/>
              </w:rPr>
            </w:pPr>
            <w:r w:rsidRPr="00E87295">
              <w:rPr>
                <w:sz w:val="22"/>
                <w:szCs w:val="22"/>
                <w:vertAlign w:val="superscript"/>
                <w:lang w:val="sr-Latn-RS"/>
              </w:rPr>
              <w:t>b</w:t>
            </w:r>
            <w:r w:rsidRPr="00E87295">
              <w:rPr>
                <w:sz w:val="22"/>
                <w:szCs w:val="22"/>
                <w:lang w:val="sr-Latn-RS"/>
              </w:rPr>
              <w:tab/>
              <w:t>p &lt; 0,001 (glavn</w:t>
            </w:r>
            <w:r w:rsidR="0082786A" w:rsidRPr="00E87295">
              <w:rPr>
                <w:sz w:val="22"/>
                <w:szCs w:val="22"/>
                <w:lang w:val="sr-Latn-RS"/>
              </w:rPr>
              <w:t>i</w:t>
            </w:r>
            <w:r w:rsidRPr="00E87295">
              <w:rPr>
                <w:sz w:val="22"/>
                <w:szCs w:val="22"/>
                <w:lang w:val="sr-Latn-RS"/>
              </w:rPr>
              <w:t xml:space="preserve"> sekundarn</w:t>
            </w:r>
            <w:r w:rsidR="0082786A" w:rsidRPr="00E87295">
              <w:rPr>
                <w:sz w:val="22"/>
                <w:szCs w:val="22"/>
                <w:lang w:val="sr-Latn-RS"/>
              </w:rPr>
              <w:t>i parametar praćenja</w:t>
            </w:r>
            <w:r w:rsidRPr="00E87295">
              <w:rPr>
                <w:sz w:val="22"/>
                <w:szCs w:val="22"/>
                <w:lang w:val="sr-Latn-RS"/>
              </w:rPr>
              <w:t>)</w:t>
            </w:r>
          </w:p>
          <w:p w14:paraId="12D20D02" w14:textId="600422E1" w:rsidR="001A5B54" w:rsidRPr="00E87295" w:rsidRDefault="001A5B54" w:rsidP="00E87295">
            <w:pPr>
              <w:ind w:left="284" w:hanging="284"/>
              <w:jc w:val="both"/>
              <w:rPr>
                <w:sz w:val="22"/>
                <w:szCs w:val="22"/>
                <w:lang w:val="sr-Latn-RS"/>
              </w:rPr>
            </w:pPr>
            <w:r w:rsidRPr="00E87295">
              <w:rPr>
                <w:sz w:val="22"/>
                <w:szCs w:val="22"/>
                <w:vertAlign w:val="superscript"/>
                <w:lang w:val="sr-Latn-RS"/>
              </w:rPr>
              <w:t>c</w:t>
            </w:r>
            <w:r w:rsidRPr="00E87295">
              <w:rPr>
                <w:sz w:val="22"/>
                <w:szCs w:val="22"/>
                <w:lang w:val="sr-Latn-RS"/>
              </w:rPr>
              <w:tab/>
              <w:t>p = 0,006 (glavn</w:t>
            </w:r>
            <w:r w:rsidR="0082786A" w:rsidRPr="00E87295">
              <w:rPr>
                <w:sz w:val="22"/>
                <w:szCs w:val="22"/>
                <w:lang w:val="sr-Latn-RS"/>
              </w:rPr>
              <w:t>i sekundarni parametar praćenja</w:t>
            </w:r>
            <w:r w:rsidRPr="00E87295">
              <w:rPr>
                <w:sz w:val="22"/>
                <w:szCs w:val="22"/>
                <w:lang w:val="sr-Latn-RS"/>
              </w:rPr>
              <w:t>)</w:t>
            </w:r>
          </w:p>
          <w:p w14:paraId="1F49B143" w14:textId="18A7BA08" w:rsidR="001A5B54" w:rsidRPr="00E87295" w:rsidRDefault="001A5B54" w:rsidP="00E87295">
            <w:pPr>
              <w:ind w:left="284" w:hanging="284"/>
              <w:jc w:val="both"/>
              <w:rPr>
                <w:sz w:val="22"/>
                <w:szCs w:val="22"/>
                <w:lang w:val="sr-Latn-RS"/>
              </w:rPr>
            </w:pPr>
            <w:r w:rsidRPr="00E87295">
              <w:rPr>
                <w:sz w:val="22"/>
                <w:szCs w:val="22"/>
                <w:vertAlign w:val="superscript"/>
                <w:lang w:val="sr-Latn-RS"/>
              </w:rPr>
              <w:t>d</w:t>
            </w:r>
            <w:r w:rsidRPr="00E87295">
              <w:rPr>
                <w:sz w:val="22"/>
                <w:szCs w:val="22"/>
                <w:lang w:val="sr-Latn-RS"/>
              </w:rPr>
              <w:t xml:space="preserve"> </w:t>
            </w:r>
            <w:r w:rsidRPr="00E87295">
              <w:rPr>
                <w:sz w:val="22"/>
                <w:szCs w:val="22"/>
                <w:lang w:val="sr-Latn-RS"/>
              </w:rPr>
              <w:tab/>
              <w:t xml:space="preserve">nije statistički </w:t>
            </w:r>
            <w:r w:rsidR="0082786A" w:rsidRPr="00E87295">
              <w:rPr>
                <w:sz w:val="22"/>
                <w:szCs w:val="22"/>
                <w:lang w:val="sr-Latn-RS"/>
              </w:rPr>
              <w:t>značajno</w:t>
            </w:r>
            <w:r w:rsidRPr="00E87295">
              <w:rPr>
                <w:sz w:val="22"/>
                <w:szCs w:val="22"/>
                <w:lang w:val="sr-Latn-RS"/>
              </w:rPr>
              <w:t xml:space="preserve"> p=0,086 (glavn</w:t>
            </w:r>
            <w:r w:rsidR="0082786A" w:rsidRPr="00E87295">
              <w:rPr>
                <w:sz w:val="22"/>
                <w:szCs w:val="22"/>
                <w:lang w:val="sr-Latn-RS"/>
              </w:rPr>
              <w:t>i</w:t>
            </w:r>
            <w:r w:rsidRPr="00E87295">
              <w:rPr>
                <w:sz w:val="22"/>
                <w:szCs w:val="22"/>
                <w:lang w:val="sr-Latn-RS"/>
              </w:rPr>
              <w:t xml:space="preserve"> sekundarn</w:t>
            </w:r>
            <w:r w:rsidR="0082786A" w:rsidRPr="00E87295">
              <w:rPr>
                <w:sz w:val="22"/>
                <w:szCs w:val="22"/>
                <w:lang w:val="sr-Latn-RS"/>
              </w:rPr>
              <w:t>i parametar praćenja</w:t>
            </w:r>
            <w:r w:rsidRPr="00E87295">
              <w:rPr>
                <w:sz w:val="22"/>
                <w:szCs w:val="22"/>
                <w:lang w:val="sr-Latn-RS"/>
              </w:rPr>
              <w:t>)</w:t>
            </w:r>
          </w:p>
          <w:p w14:paraId="69221F45" w14:textId="4AE4A94F" w:rsidR="001A5B54" w:rsidRPr="00E87295" w:rsidRDefault="001A5B54" w:rsidP="00E87295">
            <w:pPr>
              <w:ind w:left="284" w:hanging="284"/>
              <w:jc w:val="both"/>
              <w:rPr>
                <w:sz w:val="22"/>
                <w:szCs w:val="22"/>
                <w:lang w:val="sr-Latn-RS"/>
              </w:rPr>
            </w:pPr>
            <w:r w:rsidRPr="00E87295">
              <w:rPr>
                <w:sz w:val="22"/>
                <w:szCs w:val="22"/>
                <w:vertAlign w:val="superscript"/>
                <w:lang w:val="sr-Latn-RS"/>
              </w:rPr>
              <w:t>e</w:t>
            </w:r>
            <w:r w:rsidRPr="00E87295">
              <w:rPr>
                <w:sz w:val="22"/>
                <w:szCs w:val="22"/>
                <w:lang w:val="sr-Latn-RS"/>
              </w:rPr>
              <w:tab/>
              <w:t>nominalna vr</w:t>
            </w:r>
            <w:r w:rsidR="00343954" w:rsidRPr="00E87295">
              <w:rPr>
                <w:sz w:val="22"/>
                <w:szCs w:val="22"/>
                <w:lang w:val="sr-Latn-RS"/>
              </w:rPr>
              <w:t>ij</w:t>
            </w:r>
            <w:r w:rsidRPr="00E87295">
              <w:rPr>
                <w:sz w:val="22"/>
                <w:szCs w:val="22"/>
                <w:lang w:val="sr-Latn-RS"/>
              </w:rPr>
              <w:t>ednost p &lt; 0,001</w:t>
            </w:r>
          </w:p>
          <w:p w14:paraId="5D16824A" w14:textId="414017A3" w:rsidR="001A5B54" w:rsidRPr="00E87295" w:rsidRDefault="001A5B54" w:rsidP="00E87295">
            <w:pPr>
              <w:ind w:left="284" w:hanging="284"/>
              <w:jc w:val="both"/>
              <w:rPr>
                <w:sz w:val="22"/>
                <w:szCs w:val="22"/>
                <w:lang w:val="sr-Latn-RS"/>
              </w:rPr>
            </w:pPr>
            <w:r w:rsidRPr="00E87295">
              <w:rPr>
                <w:sz w:val="22"/>
                <w:szCs w:val="22"/>
                <w:vertAlign w:val="superscript"/>
                <w:lang w:val="sr-Latn-RS"/>
              </w:rPr>
              <w:t>f</w:t>
            </w:r>
            <w:r w:rsidRPr="00E87295">
              <w:rPr>
                <w:sz w:val="22"/>
                <w:szCs w:val="22"/>
                <w:lang w:val="sr-Latn-RS"/>
              </w:rPr>
              <w:tab/>
              <w:t>nominalna vr</w:t>
            </w:r>
            <w:r w:rsidR="00343954" w:rsidRPr="00E87295">
              <w:rPr>
                <w:sz w:val="22"/>
                <w:szCs w:val="22"/>
                <w:lang w:val="sr-Latn-RS"/>
              </w:rPr>
              <w:t>ij</w:t>
            </w:r>
            <w:r w:rsidRPr="00E87295">
              <w:rPr>
                <w:sz w:val="22"/>
                <w:szCs w:val="22"/>
                <w:lang w:val="sr-Latn-RS"/>
              </w:rPr>
              <w:t>ednost p = 0,012</w:t>
            </w:r>
          </w:p>
          <w:p w14:paraId="4391441F" w14:textId="75DBF2EF" w:rsidR="001A5B54" w:rsidRPr="00E87295" w:rsidRDefault="001A5B54" w:rsidP="00E87295">
            <w:pPr>
              <w:ind w:left="284" w:hanging="284"/>
              <w:jc w:val="both"/>
              <w:rPr>
                <w:sz w:val="22"/>
                <w:szCs w:val="22"/>
                <w:lang w:val="sr-Latn-RS"/>
              </w:rPr>
            </w:pPr>
            <w:r w:rsidRPr="00E87295">
              <w:rPr>
                <w:sz w:val="22"/>
                <w:szCs w:val="22"/>
                <w:vertAlign w:val="superscript"/>
                <w:lang w:val="sr-Latn-RS"/>
              </w:rPr>
              <w:t>g</w:t>
            </w:r>
            <w:r w:rsidRPr="00E87295">
              <w:rPr>
                <w:sz w:val="22"/>
                <w:szCs w:val="22"/>
                <w:lang w:val="sr-Latn-RS"/>
              </w:rPr>
              <w:tab/>
            </w:r>
            <w:bookmarkStart w:id="6" w:name="_Hlk20730328"/>
            <w:r w:rsidRPr="00E87295">
              <w:rPr>
                <w:sz w:val="22"/>
                <w:szCs w:val="22"/>
                <w:lang w:val="sr-Latn-RS"/>
              </w:rPr>
              <w:t>nije formalno testirano u hijerarhijskoj proceduri testiranja; nominalna vr</w:t>
            </w:r>
            <w:r w:rsidR="00343954" w:rsidRPr="00E87295">
              <w:rPr>
                <w:sz w:val="22"/>
                <w:szCs w:val="22"/>
                <w:lang w:val="sr-Latn-RS"/>
              </w:rPr>
              <w:t>ij</w:t>
            </w:r>
            <w:r w:rsidRPr="00E87295">
              <w:rPr>
                <w:sz w:val="22"/>
                <w:szCs w:val="22"/>
                <w:lang w:val="sr-Latn-RS"/>
              </w:rPr>
              <w:t>ednost p &lt; 0,001 (glavn</w:t>
            </w:r>
            <w:r w:rsidR="0082786A" w:rsidRPr="00E87295">
              <w:rPr>
                <w:sz w:val="22"/>
                <w:szCs w:val="22"/>
                <w:lang w:val="sr-Latn-RS"/>
              </w:rPr>
              <w:t>i</w:t>
            </w:r>
            <w:r w:rsidRPr="00E87295">
              <w:rPr>
                <w:sz w:val="22"/>
                <w:szCs w:val="22"/>
                <w:lang w:val="sr-Latn-RS"/>
              </w:rPr>
              <w:t xml:space="preserve"> sekundarn</w:t>
            </w:r>
            <w:r w:rsidR="0082786A" w:rsidRPr="00E87295">
              <w:rPr>
                <w:sz w:val="22"/>
                <w:szCs w:val="22"/>
                <w:lang w:val="sr-Latn-RS"/>
              </w:rPr>
              <w:t>i parametar praćenja</w:t>
            </w:r>
            <w:r w:rsidRPr="00E87295">
              <w:rPr>
                <w:sz w:val="22"/>
                <w:szCs w:val="22"/>
                <w:lang w:val="sr-Latn-RS"/>
              </w:rPr>
              <w:t>)</w:t>
            </w:r>
            <w:bookmarkEnd w:id="6"/>
          </w:p>
          <w:p w14:paraId="0EF00308" w14:textId="32985F66" w:rsidR="001A5B54" w:rsidRPr="00E87295" w:rsidRDefault="001A5B54" w:rsidP="00E87295">
            <w:pPr>
              <w:ind w:left="284" w:hanging="284"/>
              <w:jc w:val="both"/>
              <w:rPr>
                <w:sz w:val="22"/>
                <w:szCs w:val="22"/>
                <w:lang w:val="sr-Latn-RS"/>
              </w:rPr>
            </w:pPr>
            <w:r w:rsidRPr="00E87295">
              <w:rPr>
                <w:sz w:val="22"/>
                <w:szCs w:val="22"/>
                <w:vertAlign w:val="superscript"/>
                <w:lang w:val="sr-Latn-RS"/>
              </w:rPr>
              <w:t>h</w:t>
            </w:r>
            <w:r w:rsidRPr="00E87295">
              <w:rPr>
                <w:sz w:val="22"/>
                <w:szCs w:val="22"/>
                <w:lang w:val="sr-Latn-RS"/>
              </w:rPr>
              <w:tab/>
              <w:t>definiše se kao Odgovor IGA 0 (</w:t>
            </w:r>
            <w:r w:rsidR="0082786A" w:rsidRPr="00E87295">
              <w:rPr>
                <w:sz w:val="22"/>
                <w:szCs w:val="22"/>
                <w:lang w:val="sr-Latn-RS"/>
              </w:rPr>
              <w:t>bez bolesti</w:t>
            </w:r>
            <w:r w:rsidRPr="00E87295">
              <w:rPr>
                <w:sz w:val="22"/>
                <w:szCs w:val="22"/>
                <w:lang w:val="sr-Latn-RS"/>
              </w:rPr>
              <w:t>) ili 1 (minimaln</w:t>
            </w:r>
            <w:r w:rsidR="0082786A" w:rsidRPr="00E87295">
              <w:rPr>
                <w:sz w:val="22"/>
                <w:szCs w:val="22"/>
                <w:lang w:val="sr-Latn-RS"/>
              </w:rPr>
              <w:t>a bolest</w:t>
            </w:r>
            <w:r w:rsidRPr="00E87295">
              <w:rPr>
                <w:sz w:val="22"/>
                <w:szCs w:val="22"/>
                <w:lang w:val="sr-Latn-RS"/>
              </w:rPr>
              <w:t xml:space="preserve">) i ≥ 2-stepen smanjenja u odnosu na početno stanje na IGA skoru psorijaze </w:t>
            </w:r>
          </w:p>
          <w:p w14:paraId="36EF410A" w14:textId="28B0F91D" w:rsidR="007671AA" w:rsidRPr="00E87295" w:rsidRDefault="007671AA" w:rsidP="00E87295">
            <w:pPr>
              <w:ind w:left="284" w:hanging="284"/>
              <w:jc w:val="both"/>
              <w:rPr>
                <w:sz w:val="22"/>
                <w:szCs w:val="22"/>
                <w:lang w:val="sr-Latn-RS"/>
              </w:rPr>
            </w:pPr>
            <w:r w:rsidRPr="00E87295">
              <w:rPr>
                <w:sz w:val="22"/>
                <w:szCs w:val="22"/>
                <w:vertAlign w:val="superscript"/>
                <w:lang w:val="sr-Latn-RS"/>
              </w:rPr>
              <w:t>i</w:t>
            </w:r>
            <w:r w:rsidRPr="00E87295">
              <w:rPr>
                <w:sz w:val="22"/>
                <w:szCs w:val="22"/>
                <w:lang w:val="sr-Latn-RS"/>
              </w:rPr>
              <w:tab/>
              <w:t>LS = metoda najmanjih kvadrata</w:t>
            </w:r>
          </w:p>
        </w:tc>
      </w:tr>
      <w:bookmarkEnd w:id="5"/>
    </w:tbl>
    <w:p w14:paraId="51ECCDF3" w14:textId="6248D5D4" w:rsidR="001A5B54" w:rsidRPr="00E87295" w:rsidRDefault="001A5B54" w:rsidP="00E87295">
      <w:pPr>
        <w:widowControl w:val="0"/>
        <w:jc w:val="both"/>
        <w:rPr>
          <w:sz w:val="22"/>
          <w:szCs w:val="22"/>
          <w:lang w:val="sr-Latn-RS"/>
        </w:rPr>
      </w:pPr>
    </w:p>
    <w:p w14:paraId="12EE21AF" w14:textId="1C9F7EF4" w:rsidR="007671AA" w:rsidRPr="00E87295" w:rsidRDefault="007671AA" w:rsidP="00E87295">
      <w:pPr>
        <w:widowControl w:val="0"/>
        <w:jc w:val="both"/>
        <w:rPr>
          <w:sz w:val="22"/>
          <w:szCs w:val="22"/>
          <w:lang w:val="sr-Latn-RS"/>
        </w:rPr>
      </w:pPr>
      <w:r w:rsidRPr="00E87295">
        <w:rPr>
          <w:sz w:val="22"/>
          <w:szCs w:val="22"/>
          <w:lang w:val="sr-Latn-RS"/>
        </w:rPr>
        <w:t>Klinički odgovor održao se do 52. ned</w:t>
      </w:r>
      <w:r w:rsidR="00B94F3E" w:rsidRPr="00E87295">
        <w:rPr>
          <w:sz w:val="22"/>
          <w:szCs w:val="22"/>
          <w:lang w:val="sr-Latn-RS"/>
        </w:rPr>
        <w:t>j</w:t>
      </w:r>
      <w:r w:rsidRPr="00E87295">
        <w:rPr>
          <w:sz w:val="22"/>
          <w:szCs w:val="22"/>
          <w:lang w:val="sr-Latn-RS"/>
        </w:rPr>
        <w:t xml:space="preserve">elje, sudeći prema stopama odgovora ACR 20/50/70, DAS 28 (CRP), MDA, IGA i PASI 90 </w:t>
      </w:r>
      <w:r w:rsidR="00A754C1" w:rsidRPr="00E87295">
        <w:rPr>
          <w:sz w:val="22"/>
          <w:szCs w:val="22"/>
          <w:lang w:val="sr-Latn-RS"/>
        </w:rPr>
        <w:t xml:space="preserve">u DISCOVER 1 i DISCOVER 2 </w:t>
      </w:r>
      <w:r w:rsidRPr="00E87295">
        <w:rPr>
          <w:sz w:val="22"/>
          <w:szCs w:val="22"/>
          <w:lang w:val="sr-Latn-RS"/>
        </w:rPr>
        <w:t>(</w:t>
      </w:r>
      <w:r w:rsidR="006846CF" w:rsidRPr="00E87295">
        <w:rPr>
          <w:sz w:val="22"/>
          <w:szCs w:val="22"/>
          <w:lang w:val="sr-Latn-RS"/>
        </w:rPr>
        <w:t>vidjeti</w:t>
      </w:r>
      <w:r w:rsidRPr="00E87295">
        <w:rPr>
          <w:sz w:val="22"/>
          <w:szCs w:val="22"/>
          <w:lang w:val="sr-Latn-RS"/>
        </w:rPr>
        <w:t xml:space="preserve"> Tabelu 9).</w:t>
      </w:r>
    </w:p>
    <w:p w14:paraId="548F0240" w14:textId="77777777" w:rsidR="007671AA" w:rsidRPr="00C929E2" w:rsidRDefault="007671AA" w:rsidP="00E87295">
      <w:pPr>
        <w:jc w:val="both"/>
        <w:rPr>
          <w:sz w:val="22"/>
          <w:szCs w:val="22"/>
          <w:lang w:val="sr-Latn-R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1693"/>
        <w:gridCol w:w="1693"/>
        <w:gridCol w:w="1695"/>
        <w:gridCol w:w="1489"/>
        <w:gridCol w:w="206"/>
      </w:tblGrid>
      <w:tr w:rsidR="007671AA" w:rsidRPr="00E87295" w14:paraId="406084C4" w14:textId="77777777" w:rsidTr="006846CF">
        <w:trPr>
          <w:cantSplit/>
          <w:jc w:val="center"/>
        </w:trPr>
        <w:tc>
          <w:tcPr>
            <w:tcW w:w="9286" w:type="dxa"/>
            <w:gridSpan w:val="6"/>
            <w:tcBorders>
              <w:top w:val="nil"/>
              <w:left w:val="nil"/>
              <w:right w:val="nil"/>
            </w:tcBorders>
            <w:shd w:val="clear" w:color="auto" w:fill="auto"/>
          </w:tcPr>
          <w:p w14:paraId="0D563CA0" w14:textId="2DD62937" w:rsidR="007671AA" w:rsidRPr="00E87295" w:rsidRDefault="007671AA" w:rsidP="00E87295">
            <w:pPr>
              <w:keepNext/>
              <w:ind w:left="1134" w:hanging="1134"/>
              <w:jc w:val="both"/>
              <w:rPr>
                <w:b/>
                <w:bCs/>
                <w:sz w:val="22"/>
                <w:szCs w:val="22"/>
              </w:rPr>
            </w:pPr>
            <w:proofErr w:type="spellStart"/>
            <w:r w:rsidRPr="00E87295">
              <w:rPr>
                <w:b/>
                <w:bCs/>
                <w:sz w:val="22"/>
                <w:szCs w:val="22"/>
              </w:rPr>
              <w:t>Tablica</w:t>
            </w:r>
            <w:proofErr w:type="spellEnd"/>
            <w:r w:rsidRPr="00E87295">
              <w:rPr>
                <w:b/>
                <w:bCs/>
                <w:sz w:val="22"/>
                <w:szCs w:val="22"/>
              </w:rPr>
              <w:t> 9:</w:t>
            </w:r>
            <w:r w:rsidRPr="00E87295">
              <w:rPr>
                <w:b/>
                <w:bCs/>
                <w:sz w:val="22"/>
                <w:szCs w:val="22"/>
              </w:rPr>
              <w:tab/>
            </w:r>
            <w:r w:rsidRPr="00E87295">
              <w:rPr>
                <w:b/>
                <w:bCs/>
                <w:sz w:val="22"/>
                <w:szCs w:val="22"/>
              </w:rPr>
              <w:tab/>
            </w:r>
            <w:proofErr w:type="spellStart"/>
            <w:r w:rsidRPr="00E87295">
              <w:rPr>
                <w:b/>
                <w:bCs/>
                <w:sz w:val="22"/>
                <w:szCs w:val="22"/>
              </w:rPr>
              <w:t>Klinički</w:t>
            </w:r>
            <w:proofErr w:type="spellEnd"/>
            <w:r w:rsidRPr="00E87295">
              <w:rPr>
                <w:b/>
                <w:bCs/>
                <w:sz w:val="22"/>
                <w:szCs w:val="22"/>
              </w:rPr>
              <w:t xml:space="preserve"> </w:t>
            </w:r>
            <w:proofErr w:type="spellStart"/>
            <w:r w:rsidRPr="00E87295">
              <w:rPr>
                <w:b/>
                <w:bCs/>
                <w:sz w:val="22"/>
                <w:szCs w:val="22"/>
              </w:rPr>
              <w:t>odgovori</w:t>
            </w:r>
            <w:proofErr w:type="spellEnd"/>
            <w:r w:rsidRPr="00E87295">
              <w:rPr>
                <w:b/>
                <w:bCs/>
                <w:sz w:val="22"/>
                <w:szCs w:val="22"/>
              </w:rPr>
              <w:t xml:space="preserve"> u </w:t>
            </w:r>
            <w:proofErr w:type="spellStart"/>
            <w:r w:rsidRPr="00E87295">
              <w:rPr>
                <w:b/>
                <w:bCs/>
                <w:sz w:val="22"/>
                <w:szCs w:val="22"/>
              </w:rPr>
              <w:t>ispitivanjima</w:t>
            </w:r>
            <w:proofErr w:type="spellEnd"/>
            <w:r w:rsidRPr="00E87295">
              <w:rPr>
                <w:b/>
                <w:bCs/>
                <w:sz w:val="22"/>
                <w:szCs w:val="22"/>
              </w:rPr>
              <w:t xml:space="preserve"> DISCOVER 1 </w:t>
            </w:r>
            <w:proofErr w:type="spellStart"/>
            <w:r w:rsidRPr="00E87295">
              <w:rPr>
                <w:b/>
                <w:bCs/>
                <w:sz w:val="22"/>
                <w:szCs w:val="22"/>
              </w:rPr>
              <w:t>i</w:t>
            </w:r>
            <w:proofErr w:type="spellEnd"/>
            <w:r w:rsidRPr="00E87295">
              <w:rPr>
                <w:b/>
                <w:bCs/>
                <w:sz w:val="22"/>
                <w:szCs w:val="22"/>
              </w:rPr>
              <w:t xml:space="preserve"> DISCOVER 2 </w:t>
            </w:r>
            <w:proofErr w:type="spellStart"/>
            <w:r w:rsidRPr="00E87295">
              <w:rPr>
                <w:b/>
                <w:bCs/>
                <w:sz w:val="22"/>
                <w:szCs w:val="22"/>
              </w:rPr>
              <w:t>nakon</w:t>
            </w:r>
            <w:proofErr w:type="spellEnd"/>
            <w:r w:rsidR="0082786A" w:rsidRPr="00E87295">
              <w:rPr>
                <w:b/>
                <w:bCs/>
                <w:sz w:val="22"/>
                <w:szCs w:val="22"/>
              </w:rPr>
              <w:t xml:space="preserve"> </w:t>
            </w:r>
            <w:r w:rsidRPr="00E87295">
              <w:rPr>
                <w:b/>
                <w:bCs/>
                <w:sz w:val="22"/>
                <w:szCs w:val="22"/>
              </w:rPr>
              <w:t>52. </w:t>
            </w:r>
            <w:proofErr w:type="spellStart"/>
            <w:r w:rsidRPr="00E87295">
              <w:rPr>
                <w:b/>
                <w:bCs/>
                <w:sz w:val="22"/>
                <w:szCs w:val="22"/>
              </w:rPr>
              <w:t>ned</w:t>
            </w:r>
            <w:r w:rsidR="00B94F3E" w:rsidRPr="00E87295">
              <w:rPr>
                <w:b/>
                <w:bCs/>
                <w:sz w:val="22"/>
                <w:szCs w:val="22"/>
              </w:rPr>
              <w:t>j</w:t>
            </w:r>
            <w:r w:rsidRPr="00E87295">
              <w:rPr>
                <w:b/>
                <w:bCs/>
                <w:sz w:val="22"/>
                <w:szCs w:val="22"/>
              </w:rPr>
              <w:t>elje</w:t>
            </w:r>
            <w:r w:rsidRPr="00E87295">
              <w:rPr>
                <w:b/>
                <w:bCs/>
                <w:sz w:val="22"/>
                <w:szCs w:val="22"/>
                <w:vertAlign w:val="superscript"/>
              </w:rPr>
              <w:t>a</w:t>
            </w:r>
            <w:proofErr w:type="spellEnd"/>
          </w:p>
        </w:tc>
      </w:tr>
      <w:tr w:rsidR="0082786A" w:rsidRPr="00E87295" w14:paraId="4BE1E568" w14:textId="77777777" w:rsidTr="006846CF">
        <w:trPr>
          <w:cantSplit/>
          <w:jc w:val="center"/>
        </w:trPr>
        <w:tc>
          <w:tcPr>
            <w:tcW w:w="2381" w:type="dxa"/>
            <w:vMerge w:val="restart"/>
            <w:shd w:val="clear" w:color="auto" w:fill="auto"/>
          </w:tcPr>
          <w:p w14:paraId="51D22759" w14:textId="77777777" w:rsidR="007671AA" w:rsidRPr="00E87295" w:rsidRDefault="007671AA" w:rsidP="00E87295">
            <w:pPr>
              <w:keepNext/>
              <w:keepLines/>
              <w:jc w:val="both"/>
              <w:rPr>
                <w:sz w:val="22"/>
                <w:szCs w:val="22"/>
              </w:rPr>
            </w:pPr>
          </w:p>
        </w:tc>
        <w:tc>
          <w:tcPr>
            <w:tcW w:w="3452" w:type="dxa"/>
            <w:gridSpan w:val="2"/>
            <w:tcBorders>
              <w:bottom w:val="nil"/>
            </w:tcBorders>
            <w:shd w:val="clear" w:color="auto" w:fill="auto"/>
          </w:tcPr>
          <w:p w14:paraId="063C5A80" w14:textId="77777777" w:rsidR="007671AA" w:rsidRPr="00E87295" w:rsidRDefault="007671AA">
            <w:pPr>
              <w:keepNext/>
              <w:keepLines/>
              <w:jc w:val="center"/>
              <w:rPr>
                <w:sz w:val="22"/>
                <w:szCs w:val="22"/>
                <w:u w:val="single"/>
              </w:rPr>
            </w:pPr>
            <w:r w:rsidRPr="00E87295">
              <w:rPr>
                <w:sz w:val="22"/>
                <w:szCs w:val="22"/>
                <w:u w:val="single"/>
              </w:rPr>
              <w:t>DISCOVER 1</w:t>
            </w:r>
          </w:p>
        </w:tc>
        <w:tc>
          <w:tcPr>
            <w:tcW w:w="3453" w:type="dxa"/>
            <w:gridSpan w:val="3"/>
            <w:tcBorders>
              <w:bottom w:val="nil"/>
            </w:tcBorders>
            <w:shd w:val="clear" w:color="auto" w:fill="auto"/>
          </w:tcPr>
          <w:p w14:paraId="546899D2" w14:textId="77777777" w:rsidR="007671AA" w:rsidRPr="00E87295" w:rsidRDefault="007671AA">
            <w:pPr>
              <w:keepNext/>
              <w:keepLines/>
              <w:jc w:val="center"/>
              <w:rPr>
                <w:sz w:val="22"/>
                <w:szCs w:val="22"/>
                <w:u w:val="single"/>
              </w:rPr>
            </w:pPr>
            <w:r w:rsidRPr="00E87295">
              <w:rPr>
                <w:sz w:val="22"/>
                <w:szCs w:val="22"/>
                <w:u w:val="single"/>
              </w:rPr>
              <w:t>DISCOVER 2</w:t>
            </w:r>
          </w:p>
        </w:tc>
      </w:tr>
      <w:tr w:rsidR="0082786A" w:rsidRPr="00E87295" w14:paraId="2FDDFCB2" w14:textId="77777777" w:rsidTr="006846CF">
        <w:trPr>
          <w:cantSplit/>
          <w:jc w:val="center"/>
        </w:trPr>
        <w:tc>
          <w:tcPr>
            <w:tcW w:w="2381" w:type="dxa"/>
            <w:vMerge/>
            <w:tcBorders>
              <w:top w:val="nil"/>
            </w:tcBorders>
            <w:shd w:val="clear" w:color="auto" w:fill="auto"/>
          </w:tcPr>
          <w:p w14:paraId="342A91A3" w14:textId="77777777" w:rsidR="007671AA" w:rsidRPr="00E87295" w:rsidRDefault="007671AA" w:rsidP="00E87295">
            <w:pPr>
              <w:keepNext/>
              <w:keepLines/>
              <w:jc w:val="both"/>
              <w:rPr>
                <w:sz w:val="22"/>
                <w:szCs w:val="22"/>
              </w:rPr>
            </w:pPr>
          </w:p>
        </w:tc>
        <w:tc>
          <w:tcPr>
            <w:tcW w:w="1726" w:type="dxa"/>
            <w:tcBorders>
              <w:top w:val="nil"/>
            </w:tcBorders>
            <w:shd w:val="clear" w:color="auto" w:fill="auto"/>
          </w:tcPr>
          <w:p w14:paraId="6021DF4C" w14:textId="77777777" w:rsidR="007671AA" w:rsidRPr="00E87295" w:rsidRDefault="007671AA" w:rsidP="00E87295">
            <w:pPr>
              <w:keepNext/>
              <w:keepLines/>
              <w:jc w:val="both"/>
              <w:rPr>
                <w:sz w:val="22"/>
                <w:szCs w:val="22"/>
              </w:rPr>
            </w:pPr>
            <w:proofErr w:type="spellStart"/>
            <w:r w:rsidRPr="00E87295">
              <w:rPr>
                <w:sz w:val="22"/>
                <w:szCs w:val="22"/>
              </w:rPr>
              <w:t>guselkumab</w:t>
            </w:r>
            <w:proofErr w:type="spellEnd"/>
            <w:r w:rsidRPr="00E87295">
              <w:rPr>
                <w:sz w:val="22"/>
                <w:szCs w:val="22"/>
              </w:rPr>
              <w:t xml:space="preserve"> </w:t>
            </w:r>
          </w:p>
          <w:p w14:paraId="0E805296" w14:textId="77777777" w:rsidR="007671AA" w:rsidRPr="00E87295" w:rsidRDefault="007671AA" w:rsidP="00E87295">
            <w:pPr>
              <w:keepNext/>
              <w:keepLines/>
              <w:jc w:val="both"/>
              <w:rPr>
                <w:sz w:val="22"/>
                <w:szCs w:val="22"/>
              </w:rPr>
            </w:pPr>
            <w:r w:rsidRPr="00E87295">
              <w:rPr>
                <w:sz w:val="22"/>
                <w:szCs w:val="22"/>
              </w:rPr>
              <w:t xml:space="preserve">100 mg </w:t>
            </w:r>
            <w:proofErr w:type="spellStart"/>
            <w:r w:rsidRPr="00E87295">
              <w:rPr>
                <w:sz w:val="22"/>
                <w:szCs w:val="22"/>
              </w:rPr>
              <w:t>na</w:t>
            </w:r>
            <w:proofErr w:type="spellEnd"/>
            <w:r w:rsidRPr="00E87295">
              <w:rPr>
                <w:sz w:val="22"/>
                <w:szCs w:val="22"/>
              </w:rPr>
              <w:t xml:space="preserve"> 8 </w:t>
            </w:r>
            <w:proofErr w:type="spellStart"/>
            <w:r w:rsidRPr="00E87295">
              <w:rPr>
                <w:sz w:val="22"/>
                <w:szCs w:val="22"/>
              </w:rPr>
              <w:t>nedelja</w:t>
            </w:r>
            <w:proofErr w:type="spellEnd"/>
          </w:p>
        </w:tc>
        <w:tc>
          <w:tcPr>
            <w:tcW w:w="1726" w:type="dxa"/>
            <w:tcBorders>
              <w:top w:val="nil"/>
            </w:tcBorders>
            <w:shd w:val="clear" w:color="auto" w:fill="auto"/>
          </w:tcPr>
          <w:p w14:paraId="6BECEE26" w14:textId="77777777" w:rsidR="007671AA" w:rsidRPr="00E87295" w:rsidRDefault="007671AA" w:rsidP="00E87295">
            <w:pPr>
              <w:keepNext/>
              <w:keepLines/>
              <w:jc w:val="both"/>
              <w:rPr>
                <w:sz w:val="22"/>
                <w:szCs w:val="22"/>
              </w:rPr>
            </w:pPr>
            <w:proofErr w:type="spellStart"/>
            <w:r w:rsidRPr="00E87295">
              <w:rPr>
                <w:sz w:val="22"/>
                <w:szCs w:val="22"/>
              </w:rPr>
              <w:t>guselkumab</w:t>
            </w:r>
            <w:proofErr w:type="spellEnd"/>
            <w:r w:rsidRPr="00E87295">
              <w:rPr>
                <w:sz w:val="22"/>
                <w:szCs w:val="22"/>
              </w:rPr>
              <w:t xml:space="preserve"> </w:t>
            </w:r>
          </w:p>
          <w:p w14:paraId="7B7927B4" w14:textId="77777777" w:rsidR="007671AA" w:rsidRPr="00E87295" w:rsidRDefault="007671AA" w:rsidP="00E87295">
            <w:pPr>
              <w:keepNext/>
              <w:keepLines/>
              <w:jc w:val="both"/>
              <w:rPr>
                <w:sz w:val="22"/>
                <w:szCs w:val="22"/>
              </w:rPr>
            </w:pPr>
            <w:r w:rsidRPr="00E87295">
              <w:rPr>
                <w:sz w:val="22"/>
                <w:szCs w:val="22"/>
              </w:rPr>
              <w:t xml:space="preserve">100 mg </w:t>
            </w:r>
            <w:proofErr w:type="spellStart"/>
            <w:r w:rsidRPr="00E87295">
              <w:rPr>
                <w:sz w:val="22"/>
                <w:szCs w:val="22"/>
              </w:rPr>
              <w:t>na</w:t>
            </w:r>
            <w:proofErr w:type="spellEnd"/>
            <w:r w:rsidRPr="00E87295">
              <w:rPr>
                <w:sz w:val="22"/>
                <w:szCs w:val="22"/>
              </w:rPr>
              <w:t xml:space="preserve"> 4 </w:t>
            </w:r>
            <w:proofErr w:type="spellStart"/>
            <w:r w:rsidRPr="00E87295">
              <w:rPr>
                <w:sz w:val="22"/>
                <w:szCs w:val="22"/>
              </w:rPr>
              <w:t>nedelje</w:t>
            </w:r>
            <w:proofErr w:type="spellEnd"/>
          </w:p>
        </w:tc>
        <w:tc>
          <w:tcPr>
            <w:tcW w:w="1726" w:type="dxa"/>
            <w:tcBorders>
              <w:top w:val="nil"/>
            </w:tcBorders>
            <w:shd w:val="clear" w:color="auto" w:fill="auto"/>
          </w:tcPr>
          <w:p w14:paraId="71F526FD" w14:textId="77777777" w:rsidR="007671AA" w:rsidRPr="00E87295" w:rsidRDefault="007671AA" w:rsidP="00E87295">
            <w:pPr>
              <w:keepNext/>
              <w:keepLines/>
              <w:jc w:val="both"/>
              <w:rPr>
                <w:sz w:val="22"/>
                <w:szCs w:val="22"/>
              </w:rPr>
            </w:pPr>
            <w:proofErr w:type="spellStart"/>
            <w:r w:rsidRPr="00E87295">
              <w:rPr>
                <w:sz w:val="22"/>
                <w:szCs w:val="22"/>
              </w:rPr>
              <w:t>guselkumab</w:t>
            </w:r>
            <w:proofErr w:type="spellEnd"/>
          </w:p>
          <w:p w14:paraId="64E5A8D3" w14:textId="77777777" w:rsidR="007671AA" w:rsidRPr="00E87295" w:rsidRDefault="007671AA" w:rsidP="00E87295">
            <w:pPr>
              <w:keepNext/>
              <w:keepLines/>
              <w:jc w:val="both"/>
              <w:rPr>
                <w:sz w:val="22"/>
                <w:szCs w:val="22"/>
              </w:rPr>
            </w:pPr>
            <w:r w:rsidRPr="00E87295">
              <w:rPr>
                <w:sz w:val="22"/>
                <w:szCs w:val="22"/>
              </w:rPr>
              <w:t xml:space="preserve">100 mg </w:t>
            </w:r>
            <w:proofErr w:type="spellStart"/>
            <w:r w:rsidRPr="00E87295">
              <w:rPr>
                <w:sz w:val="22"/>
                <w:szCs w:val="22"/>
              </w:rPr>
              <w:t>na</w:t>
            </w:r>
            <w:proofErr w:type="spellEnd"/>
            <w:r w:rsidRPr="00E87295">
              <w:rPr>
                <w:sz w:val="22"/>
                <w:szCs w:val="22"/>
              </w:rPr>
              <w:t xml:space="preserve"> 8 </w:t>
            </w:r>
            <w:proofErr w:type="spellStart"/>
            <w:r w:rsidRPr="00E87295">
              <w:rPr>
                <w:sz w:val="22"/>
                <w:szCs w:val="22"/>
              </w:rPr>
              <w:t>nedelja</w:t>
            </w:r>
            <w:proofErr w:type="spellEnd"/>
          </w:p>
        </w:tc>
        <w:tc>
          <w:tcPr>
            <w:tcW w:w="1727" w:type="dxa"/>
            <w:gridSpan w:val="2"/>
            <w:tcBorders>
              <w:top w:val="nil"/>
            </w:tcBorders>
            <w:shd w:val="clear" w:color="auto" w:fill="auto"/>
          </w:tcPr>
          <w:p w14:paraId="598A9CAA" w14:textId="77777777" w:rsidR="007671AA" w:rsidRPr="00E87295" w:rsidRDefault="007671AA" w:rsidP="00E87295">
            <w:pPr>
              <w:keepNext/>
              <w:keepLines/>
              <w:jc w:val="both"/>
              <w:rPr>
                <w:sz w:val="22"/>
                <w:szCs w:val="22"/>
              </w:rPr>
            </w:pPr>
            <w:proofErr w:type="spellStart"/>
            <w:r w:rsidRPr="00E87295">
              <w:rPr>
                <w:sz w:val="22"/>
                <w:szCs w:val="22"/>
              </w:rPr>
              <w:t>guselkumab</w:t>
            </w:r>
            <w:proofErr w:type="spellEnd"/>
            <w:r w:rsidRPr="00E87295">
              <w:rPr>
                <w:sz w:val="22"/>
                <w:szCs w:val="22"/>
              </w:rPr>
              <w:t xml:space="preserve"> </w:t>
            </w:r>
          </w:p>
          <w:p w14:paraId="35A902D2" w14:textId="77777777" w:rsidR="007671AA" w:rsidRPr="00E87295" w:rsidRDefault="007671AA" w:rsidP="00E87295">
            <w:pPr>
              <w:keepNext/>
              <w:keepLines/>
              <w:jc w:val="both"/>
              <w:rPr>
                <w:sz w:val="22"/>
                <w:szCs w:val="22"/>
              </w:rPr>
            </w:pPr>
            <w:r w:rsidRPr="00E87295">
              <w:rPr>
                <w:sz w:val="22"/>
                <w:szCs w:val="22"/>
              </w:rPr>
              <w:t xml:space="preserve">100 mg </w:t>
            </w:r>
            <w:proofErr w:type="spellStart"/>
            <w:r w:rsidRPr="00E87295">
              <w:rPr>
                <w:sz w:val="22"/>
                <w:szCs w:val="22"/>
              </w:rPr>
              <w:t>na</w:t>
            </w:r>
            <w:proofErr w:type="spellEnd"/>
            <w:r w:rsidRPr="00E87295">
              <w:rPr>
                <w:sz w:val="22"/>
                <w:szCs w:val="22"/>
              </w:rPr>
              <w:t xml:space="preserve"> 4 </w:t>
            </w:r>
            <w:proofErr w:type="spellStart"/>
            <w:r w:rsidRPr="00E87295">
              <w:rPr>
                <w:sz w:val="22"/>
                <w:szCs w:val="22"/>
              </w:rPr>
              <w:t>nedelje</w:t>
            </w:r>
            <w:proofErr w:type="spellEnd"/>
          </w:p>
        </w:tc>
      </w:tr>
      <w:tr w:rsidR="007671AA" w:rsidRPr="00E87295" w14:paraId="4F163A4F" w14:textId="77777777" w:rsidTr="006846CF">
        <w:trPr>
          <w:cantSplit/>
          <w:jc w:val="center"/>
        </w:trPr>
        <w:tc>
          <w:tcPr>
            <w:tcW w:w="9286" w:type="dxa"/>
            <w:gridSpan w:val="6"/>
            <w:tcBorders>
              <w:bottom w:val="single" w:sz="4" w:space="0" w:color="auto"/>
            </w:tcBorders>
            <w:shd w:val="clear" w:color="auto" w:fill="auto"/>
          </w:tcPr>
          <w:p w14:paraId="7233FA4C" w14:textId="77777777" w:rsidR="007671AA" w:rsidRPr="00E87295" w:rsidRDefault="007671AA" w:rsidP="00E87295">
            <w:pPr>
              <w:keepNext/>
              <w:keepLines/>
              <w:jc w:val="both"/>
              <w:rPr>
                <w:b/>
                <w:bCs/>
                <w:sz w:val="22"/>
                <w:szCs w:val="22"/>
              </w:rPr>
            </w:pPr>
            <w:r w:rsidRPr="00E87295">
              <w:rPr>
                <w:b/>
                <w:bCs/>
                <w:sz w:val="22"/>
                <w:szCs w:val="22"/>
              </w:rPr>
              <w:t>ACR 20</w:t>
            </w:r>
          </w:p>
        </w:tc>
      </w:tr>
      <w:tr w:rsidR="0082786A" w:rsidRPr="00E87295" w14:paraId="470A95BB" w14:textId="77777777" w:rsidTr="006846CF">
        <w:trPr>
          <w:cantSplit/>
          <w:jc w:val="center"/>
        </w:trPr>
        <w:tc>
          <w:tcPr>
            <w:tcW w:w="2381" w:type="dxa"/>
            <w:tcBorders>
              <w:bottom w:val="nil"/>
            </w:tcBorders>
            <w:shd w:val="clear" w:color="auto" w:fill="auto"/>
          </w:tcPr>
          <w:p w14:paraId="22C7B68D" w14:textId="77777777" w:rsidR="007671AA" w:rsidRPr="00E87295" w:rsidRDefault="007671AA" w:rsidP="00E87295">
            <w:pPr>
              <w:jc w:val="both"/>
              <w:rPr>
                <w:sz w:val="22"/>
                <w:szCs w:val="22"/>
              </w:rPr>
            </w:pPr>
            <w:r w:rsidRPr="00E87295">
              <w:rPr>
                <w:sz w:val="22"/>
                <w:szCs w:val="22"/>
              </w:rPr>
              <w:t>N</w:t>
            </w:r>
            <w:r w:rsidRPr="00E87295">
              <w:rPr>
                <w:sz w:val="22"/>
                <w:szCs w:val="22"/>
                <w:vertAlign w:val="superscript"/>
              </w:rPr>
              <w:t>b</w:t>
            </w:r>
          </w:p>
        </w:tc>
        <w:tc>
          <w:tcPr>
            <w:tcW w:w="1726" w:type="dxa"/>
            <w:tcBorders>
              <w:bottom w:val="nil"/>
            </w:tcBorders>
            <w:shd w:val="clear" w:color="auto" w:fill="auto"/>
          </w:tcPr>
          <w:p w14:paraId="62B30E7F" w14:textId="77777777" w:rsidR="007671AA" w:rsidRPr="00E87295" w:rsidRDefault="007671AA" w:rsidP="00E87295">
            <w:pPr>
              <w:jc w:val="both"/>
              <w:rPr>
                <w:sz w:val="22"/>
                <w:szCs w:val="22"/>
              </w:rPr>
            </w:pPr>
            <w:r w:rsidRPr="00E87295">
              <w:rPr>
                <w:sz w:val="22"/>
                <w:szCs w:val="22"/>
              </w:rPr>
              <w:t>112</w:t>
            </w:r>
          </w:p>
        </w:tc>
        <w:tc>
          <w:tcPr>
            <w:tcW w:w="1726" w:type="dxa"/>
            <w:tcBorders>
              <w:bottom w:val="nil"/>
            </w:tcBorders>
            <w:shd w:val="clear" w:color="auto" w:fill="auto"/>
          </w:tcPr>
          <w:p w14:paraId="0A3FFEB9" w14:textId="77777777" w:rsidR="007671AA" w:rsidRPr="00E87295" w:rsidRDefault="007671AA" w:rsidP="00E87295">
            <w:pPr>
              <w:jc w:val="both"/>
              <w:rPr>
                <w:sz w:val="22"/>
                <w:szCs w:val="22"/>
              </w:rPr>
            </w:pPr>
            <w:r w:rsidRPr="00E87295">
              <w:rPr>
                <w:sz w:val="22"/>
                <w:szCs w:val="22"/>
              </w:rPr>
              <w:t>124</w:t>
            </w:r>
          </w:p>
        </w:tc>
        <w:tc>
          <w:tcPr>
            <w:tcW w:w="1726" w:type="dxa"/>
            <w:tcBorders>
              <w:bottom w:val="nil"/>
            </w:tcBorders>
            <w:shd w:val="clear" w:color="auto" w:fill="auto"/>
          </w:tcPr>
          <w:p w14:paraId="541BB7DA" w14:textId="77777777" w:rsidR="007671AA" w:rsidRPr="00E87295" w:rsidRDefault="007671AA" w:rsidP="00E87295">
            <w:pPr>
              <w:jc w:val="both"/>
              <w:rPr>
                <w:sz w:val="22"/>
                <w:szCs w:val="22"/>
              </w:rPr>
            </w:pPr>
            <w:r w:rsidRPr="00E87295">
              <w:rPr>
                <w:sz w:val="22"/>
                <w:szCs w:val="22"/>
              </w:rPr>
              <w:t>234</w:t>
            </w:r>
          </w:p>
        </w:tc>
        <w:tc>
          <w:tcPr>
            <w:tcW w:w="1727" w:type="dxa"/>
            <w:gridSpan w:val="2"/>
            <w:tcBorders>
              <w:bottom w:val="nil"/>
            </w:tcBorders>
            <w:shd w:val="clear" w:color="auto" w:fill="auto"/>
          </w:tcPr>
          <w:p w14:paraId="46690C53" w14:textId="77777777" w:rsidR="007671AA" w:rsidRPr="00E87295" w:rsidRDefault="007671AA" w:rsidP="00E87295">
            <w:pPr>
              <w:jc w:val="both"/>
              <w:rPr>
                <w:sz w:val="22"/>
                <w:szCs w:val="22"/>
              </w:rPr>
            </w:pPr>
            <w:r w:rsidRPr="00E87295">
              <w:rPr>
                <w:sz w:val="22"/>
                <w:szCs w:val="22"/>
              </w:rPr>
              <w:t>228</w:t>
            </w:r>
          </w:p>
        </w:tc>
      </w:tr>
      <w:tr w:rsidR="0082786A" w:rsidRPr="00E87295" w14:paraId="13207C47" w14:textId="77777777" w:rsidTr="006846CF">
        <w:trPr>
          <w:cantSplit/>
          <w:jc w:val="center"/>
        </w:trPr>
        <w:tc>
          <w:tcPr>
            <w:tcW w:w="2381" w:type="dxa"/>
            <w:tcBorders>
              <w:top w:val="nil"/>
            </w:tcBorders>
            <w:shd w:val="clear" w:color="auto" w:fill="auto"/>
          </w:tcPr>
          <w:p w14:paraId="7C1F0F01" w14:textId="0BF7DCE7" w:rsidR="007671AA" w:rsidRPr="00E87295" w:rsidRDefault="007671AA">
            <w:pPr>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1726" w:type="dxa"/>
            <w:tcBorders>
              <w:top w:val="nil"/>
            </w:tcBorders>
            <w:shd w:val="clear" w:color="auto" w:fill="auto"/>
          </w:tcPr>
          <w:p w14:paraId="4E8FA507" w14:textId="77777777" w:rsidR="007671AA" w:rsidRPr="00E87295" w:rsidRDefault="007671AA" w:rsidP="00E87295">
            <w:pPr>
              <w:jc w:val="both"/>
              <w:rPr>
                <w:sz w:val="22"/>
                <w:szCs w:val="22"/>
              </w:rPr>
            </w:pPr>
            <w:r w:rsidRPr="00E87295">
              <w:rPr>
                <w:sz w:val="22"/>
                <w:szCs w:val="22"/>
              </w:rPr>
              <w:t>67,9%</w:t>
            </w:r>
          </w:p>
        </w:tc>
        <w:tc>
          <w:tcPr>
            <w:tcW w:w="1726" w:type="dxa"/>
            <w:tcBorders>
              <w:top w:val="nil"/>
            </w:tcBorders>
            <w:shd w:val="clear" w:color="auto" w:fill="auto"/>
          </w:tcPr>
          <w:p w14:paraId="77BAED8F" w14:textId="77777777" w:rsidR="007671AA" w:rsidRPr="00E87295" w:rsidRDefault="007671AA" w:rsidP="00E87295">
            <w:pPr>
              <w:jc w:val="both"/>
              <w:rPr>
                <w:sz w:val="22"/>
                <w:szCs w:val="22"/>
              </w:rPr>
            </w:pPr>
            <w:r w:rsidRPr="00E87295">
              <w:rPr>
                <w:sz w:val="22"/>
                <w:szCs w:val="22"/>
              </w:rPr>
              <w:t>75,8%</w:t>
            </w:r>
          </w:p>
        </w:tc>
        <w:tc>
          <w:tcPr>
            <w:tcW w:w="1726" w:type="dxa"/>
            <w:tcBorders>
              <w:top w:val="nil"/>
            </w:tcBorders>
            <w:shd w:val="clear" w:color="auto" w:fill="auto"/>
          </w:tcPr>
          <w:p w14:paraId="593875FE" w14:textId="77777777" w:rsidR="007671AA" w:rsidRPr="00E87295" w:rsidRDefault="007671AA" w:rsidP="00E87295">
            <w:pPr>
              <w:jc w:val="both"/>
              <w:rPr>
                <w:sz w:val="22"/>
                <w:szCs w:val="22"/>
              </w:rPr>
            </w:pPr>
            <w:r w:rsidRPr="00E87295">
              <w:rPr>
                <w:sz w:val="22"/>
                <w:szCs w:val="22"/>
              </w:rPr>
              <w:t>79,1%</w:t>
            </w:r>
          </w:p>
        </w:tc>
        <w:tc>
          <w:tcPr>
            <w:tcW w:w="1727" w:type="dxa"/>
            <w:gridSpan w:val="2"/>
            <w:tcBorders>
              <w:top w:val="nil"/>
            </w:tcBorders>
            <w:shd w:val="clear" w:color="auto" w:fill="auto"/>
          </w:tcPr>
          <w:p w14:paraId="6613729A" w14:textId="77777777" w:rsidR="007671AA" w:rsidRPr="00E87295" w:rsidRDefault="007671AA" w:rsidP="00E87295">
            <w:pPr>
              <w:jc w:val="both"/>
              <w:rPr>
                <w:sz w:val="22"/>
                <w:szCs w:val="22"/>
              </w:rPr>
            </w:pPr>
            <w:r w:rsidRPr="00E87295">
              <w:rPr>
                <w:sz w:val="22"/>
                <w:szCs w:val="22"/>
              </w:rPr>
              <w:t>75,9%</w:t>
            </w:r>
          </w:p>
        </w:tc>
      </w:tr>
      <w:tr w:rsidR="007671AA" w:rsidRPr="00E87295" w14:paraId="6EF34F71" w14:textId="77777777" w:rsidTr="006846CF">
        <w:trPr>
          <w:cantSplit/>
          <w:jc w:val="center"/>
        </w:trPr>
        <w:tc>
          <w:tcPr>
            <w:tcW w:w="9286" w:type="dxa"/>
            <w:gridSpan w:val="6"/>
            <w:tcBorders>
              <w:bottom w:val="single" w:sz="4" w:space="0" w:color="auto"/>
            </w:tcBorders>
            <w:shd w:val="clear" w:color="auto" w:fill="auto"/>
          </w:tcPr>
          <w:p w14:paraId="604C6CB5" w14:textId="77777777" w:rsidR="007671AA" w:rsidRPr="00E87295" w:rsidRDefault="007671AA" w:rsidP="00E87295">
            <w:pPr>
              <w:keepNext/>
              <w:keepLines/>
              <w:jc w:val="both"/>
              <w:rPr>
                <w:b/>
                <w:bCs/>
                <w:sz w:val="22"/>
                <w:szCs w:val="22"/>
              </w:rPr>
            </w:pPr>
            <w:r w:rsidRPr="00E87295">
              <w:rPr>
                <w:b/>
                <w:bCs/>
                <w:sz w:val="22"/>
                <w:szCs w:val="22"/>
              </w:rPr>
              <w:t>ACR 50</w:t>
            </w:r>
          </w:p>
        </w:tc>
      </w:tr>
      <w:tr w:rsidR="0082786A" w:rsidRPr="00E87295" w14:paraId="7AAE90BE" w14:textId="77777777" w:rsidTr="006846CF">
        <w:trPr>
          <w:cantSplit/>
          <w:jc w:val="center"/>
        </w:trPr>
        <w:tc>
          <w:tcPr>
            <w:tcW w:w="2381" w:type="dxa"/>
            <w:tcBorders>
              <w:bottom w:val="nil"/>
            </w:tcBorders>
            <w:shd w:val="clear" w:color="auto" w:fill="auto"/>
          </w:tcPr>
          <w:p w14:paraId="073B8D47" w14:textId="77777777" w:rsidR="007671AA" w:rsidRPr="00E87295" w:rsidRDefault="007671AA" w:rsidP="00E87295">
            <w:pPr>
              <w:jc w:val="both"/>
              <w:rPr>
                <w:sz w:val="22"/>
                <w:szCs w:val="22"/>
              </w:rPr>
            </w:pPr>
            <w:r w:rsidRPr="00E87295">
              <w:rPr>
                <w:sz w:val="22"/>
                <w:szCs w:val="22"/>
              </w:rPr>
              <w:t>N</w:t>
            </w:r>
            <w:r w:rsidRPr="00E87295">
              <w:rPr>
                <w:sz w:val="22"/>
                <w:szCs w:val="22"/>
                <w:vertAlign w:val="superscript"/>
              </w:rPr>
              <w:t>b</w:t>
            </w:r>
          </w:p>
        </w:tc>
        <w:tc>
          <w:tcPr>
            <w:tcW w:w="1726" w:type="dxa"/>
            <w:tcBorders>
              <w:bottom w:val="nil"/>
            </w:tcBorders>
            <w:shd w:val="clear" w:color="auto" w:fill="auto"/>
          </w:tcPr>
          <w:p w14:paraId="12A78D93" w14:textId="77777777" w:rsidR="007671AA" w:rsidRPr="00E87295" w:rsidRDefault="007671AA" w:rsidP="00E87295">
            <w:pPr>
              <w:jc w:val="both"/>
              <w:rPr>
                <w:sz w:val="22"/>
                <w:szCs w:val="22"/>
              </w:rPr>
            </w:pPr>
            <w:r w:rsidRPr="00E87295">
              <w:rPr>
                <w:sz w:val="22"/>
                <w:szCs w:val="22"/>
              </w:rPr>
              <w:t>113</w:t>
            </w:r>
          </w:p>
        </w:tc>
        <w:tc>
          <w:tcPr>
            <w:tcW w:w="1726" w:type="dxa"/>
            <w:tcBorders>
              <w:bottom w:val="nil"/>
            </w:tcBorders>
            <w:shd w:val="clear" w:color="auto" w:fill="auto"/>
          </w:tcPr>
          <w:p w14:paraId="40EEFD65" w14:textId="77777777" w:rsidR="007671AA" w:rsidRPr="00E87295" w:rsidRDefault="007671AA" w:rsidP="00E87295">
            <w:pPr>
              <w:jc w:val="both"/>
              <w:rPr>
                <w:sz w:val="22"/>
                <w:szCs w:val="22"/>
              </w:rPr>
            </w:pPr>
            <w:r w:rsidRPr="00E87295">
              <w:rPr>
                <w:sz w:val="22"/>
                <w:szCs w:val="22"/>
              </w:rPr>
              <w:t>124</w:t>
            </w:r>
          </w:p>
        </w:tc>
        <w:tc>
          <w:tcPr>
            <w:tcW w:w="1726" w:type="dxa"/>
            <w:tcBorders>
              <w:bottom w:val="nil"/>
            </w:tcBorders>
            <w:shd w:val="clear" w:color="auto" w:fill="auto"/>
          </w:tcPr>
          <w:p w14:paraId="2B7BDFFD" w14:textId="77777777" w:rsidR="007671AA" w:rsidRPr="00E87295" w:rsidRDefault="007671AA" w:rsidP="00E87295">
            <w:pPr>
              <w:jc w:val="both"/>
              <w:rPr>
                <w:sz w:val="22"/>
                <w:szCs w:val="22"/>
              </w:rPr>
            </w:pPr>
            <w:r w:rsidRPr="00E87295">
              <w:rPr>
                <w:sz w:val="22"/>
                <w:szCs w:val="22"/>
              </w:rPr>
              <w:t>234</w:t>
            </w:r>
          </w:p>
        </w:tc>
        <w:tc>
          <w:tcPr>
            <w:tcW w:w="1727" w:type="dxa"/>
            <w:gridSpan w:val="2"/>
            <w:tcBorders>
              <w:bottom w:val="nil"/>
            </w:tcBorders>
            <w:shd w:val="clear" w:color="auto" w:fill="auto"/>
          </w:tcPr>
          <w:p w14:paraId="4A4CADA6" w14:textId="77777777" w:rsidR="007671AA" w:rsidRPr="00E87295" w:rsidRDefault="007671AA" w:rsidP="00E87295">
            <w:pPr>
              <w:jc w:val="both"/>
              <w:rPr>
                <w:sz w:val="22"/>
                <w:szCs w:val="22"/>
              </w:rPr>
            </w:pPr>
            <w:r w:rsidRPr="00E87295">
              <w:rPr>
                <w:sz w:val="22"/>
                <w:szCs w:val="22"/>
              </w:rPr>
              <w:t>228</w:t>
            </w:r>
          </w:p>
        </w:tc>
      </w:tr>
      <w:tr w:rsidR="0082786A" w:rsidRPr="00E87295" w14:paraId="175020A8" w14:textId="77777777" w:rsidTr="006846CF">
        <w:trPr>
          <w:cantSplit/>
          <w:jc w:val="center"/>
        </w:trPr>
        <w:tc>
          <w:tcPr>
            <w:tcW w:w="2381" w:type="dxa"/>
            <w:tcBorders>
              <w:top w:val="nil"/>
            </w:tcBorders>
            <w:shd w:val="clear" w:color="auto" w:fill="auto"/>
          </w:tcPr>
          <w:p w14:paraId="15F3C841" w14:textId="3EE24D0E" w:rsidR="007671AA" w:rsidRPr="00E87295" w:rsidRDefault="007671AA">
            <w:pPr>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1726" w:type="dxa"/>
            <w:tcBorders>
              <w:top w:val="nil"/>
            </w:tcBorders>
            <w:shd w:val="clear" w:color="auto" w:fill="auto"/>
          </w:tcPr>
          <w:p w14:paraId="44562993" w14:textId="77777777" w:rsidR="007671AA" w:rsidRPr="00E87295" w:rsidRDefault="007671AA" w:rsidP="00E87295">
            <w:pPr>
              <w:jc w:val="both"/>
              <w:rPr>
                <w:sz w:val="22"/>
                <w:szCs w:val="22"/>
              </w:rPr>
            </w:pPr>
            <w:r w:rsidRPr="00E87295">
              <w:rPr>
                <w:sz w:val="22"/>
                <w:szCs w:val="22"/>
              </w:rPr>
              <w:t>43,4%</w:t>
            </w:r>
          </w:p>
        </w:tc>
        <w:tc>
          <w:tcPr>
            <w:tcW w:w="1726" w:type="dxa"/>
            <w:tcBorders>
              <w:top w:val="nil"/>
            </w:tcBorders>
            <w:shd w:val="clear" w:color="auto" w:fill="auto"/>
          </w:tcPr>
          <w:p w14:paraId="3885BC94" w14:textId="77777777" w:rsidR="007671AA" w:rsidRPr="00E87295" w:rsidRDefault="007671AA" w:rsidP="00E87295">
            <w:pPr>
              <w:jc w:val="both"/>
              <w:rPr>
                <w:sz w:val="22"/>
                <w:szCs w:val="22"/>
              </w:rPr>
            </w:pPr>
            <w:r w:rsidRPr="00E87295">
              <w:rPr>
                <w:sz w:val="22"/>
                <w:szCs w:val="22"/>
              </w:rPr>
              <w:t>55,6%</w:t>
            </w:r>
          </w:p>
        </w:tc>
        <w:tc>
          <w:tcPr>
            <w:tcW w:w="1726" w:type="dxa"/>
            <w:tcBorders>
              <w:top w:val="nil"/>
            </w:tcBorders>
            <w:shd w:val="clear" w:color="auto" w:fill="auto"/>
          </w:tcPr>
          <w:p w14:paraId="7DA03AE0" w14:textId="77777777" w:rsidR="007671AA" w:rsidRPr="00E87295" w:rsidRDefault="007671AA" w:rsidP="00E87295">
            <w:pPr>
              <w:jc w:val="both"/>
              <w:rPr>
                <w:sz w:val="22"/>
                <w:szCs w:val="22"/>
              </w:rPr>
            </w:pPr>
            <w:r w:rsidRPr="00E87295">
              <w:rPr>
                <w:sz w:val="22"/>
                <w:szCs w:val="22"/>
              </w:rPr>
              <w:t>51,3%</w:t>
            </w:r>
          </w:p>
        </w:tc>
        <w:tc>
          <w:tcPr>
            <w:tcW w:w="1727" w:type="dxa"/>
            <w:gridSpan w:val="2"/>
            <w:tcBorders>
              <w:top w:val="nil"/>
            </w:tcBorders>
            <w:shd w:val="clear" w:color="auto" w:fill="auto"/>
          </w:tcPr>
          <w:p w14:paraId="06FF9DA9" w14:textId="77777777" w:rsidR="007671AA" w:rsidRPr="00E87295" w:rsidRDefault="007671AA" w:rsidP="00E87295">
            <w:pPr>
              <w:jc w:val="both"/>
              <w:rPr>
                <w:sz w:val="22"/>
                <w:szCs w:val="22"/>
              </w:rPr>
            </w:pPr>
            <w:r w:rsidRPr="00E87295">
              <w:rPr>
                <w:sz w:val="22"/>
                <w:szCs w:val="22"/>
              </w:rPr>
              <w:t>49,1%</w:t>
            </w:r>
          </w:p>
        </w:tc>
      </w:tr>
      <w:tr w:rsidR="007671AA" w:rsidRPr="00E87295" w14:paraId="6F664D78" w14:textId="77777777" w:rsidTr="006846CF">
        <w:trPr>
          <w:cantSplit/>
          <w:jc w:val="center"/>
        </w:trPr>
        <w:tc>
          <w:tcPr>
            <w:tcW w:w="9286" w:type="dxa"/>
            <w:gridSpan w:val="6"/>
            <w:tcBorders>
              <w:bottom w:val="single" w:sz="4" w:space="0" w:color="auto"/>
            </w:tcBorders>
            <w:shd w:val="clear" w:color="auto" w:fill="auto"/>
          </w:tcPr>
          <w:p w14:paraId="780192B6" w14:textId="77777777" w:rsidR="007671AA" w:rsidRPr="00E87295" w:rsidRDefault="007671AA" w:rsidP="00E87295">
            <w:pPr>
              <w:keepNext/>
              <w:keepLines/>
              <w:jc w:val="both"/>
              <w:rPr>
                <w:b/>
                <w:bCs/>
                <w:sz w:val="22"/>
                <w:szCs w:val="22"/>
              </w:rPr>
            </w:pPr>
            <w:r w:rsidRPr="00E87295">
              <w:rPr>
                <w:b/>
                <w:bCs/>
                <w:sz w:val="22"/>
                <w:szCs w:val="22"/>
              </w:rPr>
              <w:t>ACR 70</w:t>
            </w:r>
          </w:p>
        </w:tc>
      </w:tr>
      <w:tr w:rsidR="0082786A" w:rsidRPr="00E87295" w14:paraId="4AA2F488" w14:textId="77777777" w:rsidTr="006846CF">
        <w:trPr>
          <w:cantSplit/>
          <w:jc w:val="center"/>
        </w:trPr>
        <w:tc>
          <w:tcPr>
            <w:tcW w:w="2381" w:type="dxa"/>
            <w:tcBorders>
              <w:bottom w:val="nil"/>
            </w:tcBorders>
            <w:shd w:val="clear" w:color="auto" w:fill="auto"/>
          </w:tcPr>
          <w:p w14:paraId="42B6F073" w14:textId="77777777" w:rsidR="007671AA" w:rsidRPr="00E87295" w:rsidRDefault="007671AA" w:rsidP="00E87295">
            <w:pPr>
              <w:jc w:val="both"/>
              <w:rPr>
                <w:sz w:val="22"/>
                <w:szCs w:val="22"/>
              </w:rPr>
            </w:pPr>
            <w:r w:rsidRPr="00E87295">
              <w:rPr>
                <w:sz w:val="22"/>
                <w:szCs w:val="22"/>
              </w:rPr>
              <w:t>N</w:t>
            </w:r>
            <w:r w:rsidRPr="00E87295">
              <w:rPr>
                <w:sz w:val="22"/>
                <w:szCs w:val="22"/>
                <w:vertAlign w:val="superscript"/>
              </w:rPr>
              <w:t>b</w:t>
            </w:r>
          </w:p>
        </w:tc>
        <w:tc>
          <w:tcPr>
            <w:tcW w:w="1726" w:type="dxa"/>
            <w:tcBorders>
              <w:bottom w:val="nil"/>
            </w:tcBorders>
            <w:shd w:val="clear" w:color="auto" w:fill="auto"/>
          </w:tcPr>
          <w:p w14:paraId="7F334F5A" w14:textId="77777777" w:rsidR="007671AA" w:rsidRPr="00E87295" w:rsidRDefault="007671AA" w:rsidP="00E87295">
            <w:pPr>
              <w:jc w:val="both"/>
              <w:rPr>
                <w:sz w:val="22"/>
                <w:szCs w:val="22"/>
              </w:rPr>
            </w:pPr>
            <w:r w:rsidRPr="00E87295">
              <w:rPr>
                <w:sz w:val="22"/>
                <w:szCs w:val="22"/>
              </w:rPr>
              <w:t>114</w:t>
            </w:r>
          </w:p>
        </w:tc>
        <w:tc>
          <w:tcPr>
            <w:tcW w:w="1726" w:type="dxa"/>
            <w:tcBorders>
              <w:bottom w:val="nil"/>
            </w:tcBorders>
            <w:shd w:val="clear" w:color="auto" w:fill="auto"/>
          </w:tcPr>
          <w:p w14:paraId="6E783F41" w14:textId="77777777" w:rsidR="007671AA" w:rsidRPr="00E87295" w:rsidRDefault="007671AA" w:rsidP="00E87295">
            <w:pPr>
              <w:jc w:val="both"/>
              <w:rPr>
                <w:sz w:val="22"/>
                <w:szCs w:val="22"/>
              </w:rPr>
            </w:pPr>
            <w:r w:rsidRPr="00E87295">
              <w:rPr>
                <w:sz w:val="22"/>
                <w:szCs w:val="22"/>
              </w:rPr>
              <w:t>124</w:t>
            </w:r>
          </w:p>
        </w:tc>
        <w:tc>
          <w:tcPr>
            <w:tcW w:w="1726" w:type="dxa"/>
            <w:tcBorders>
              <w:bottom w:val="nil"/>
            </w:tcBorders>
            <w:shd w:val="clear" w:color="auto" w:fill="auto"/>
          </w:tcPr>
          <w:p w14:paraId="161FA1B8" w14:textId="77777777" w:rsidR="007671AA" w:rsidRPr="00E87295" w:rsidRDefault="007671AA" w:rsidP="00E87295">
            <w:pPr>
              <w:jc w:val="both"/>
              <w:rPr>
                <w:sz w:val="22"/>
                <w:szCs w:val="22"/>
              </w:rPr>
            </w:pPr>
            <w:r w:rsidRPr="00E87295">
              <w:rPr>
                <w:sz w:val="22"/>
                <w:szCs w:val="22"/>
              </w:rPr>
              <w:t>234</w:t>
            </w:r>
          </w:p>
        </w:tc>
        <w:tc>
          <w:tcPr>
            <w:tcW w:w="1727" w:type="dxa"/>
            <w:gridSpan w:val="2"/>
            <w:tcBorders>
              <w:bottom w:val="nil"/>
            </w:tcBorders>
            <w:shd w:val="clear" w:color="auto" w:fill="auto"/>
          </w:tcPr>
          <w:p w14:paraId="568BC21F" w14:textId="77777777" w:rsidR="007671AA" w:rsidRPr="00E87295" w:rsidRDefault="007671AA" w:rsidP="00E87295">
            <w:pPr>
              <w:jc w:val="both"/>
              <w:rPr>
                <w:sz w:val="22"/>
                <w:szCs w:val="22"/>
              </w:rPr>
            </w:pPr>
            <w:r w:rsidRPr="00E87295">
              <w:rPr>
                <w:sz w:val="22"/>
                <w:szCs w:val="22"/>
              </w:rPr>
              <w:t>228</w:t>
            </w:r>
          </w:p>
        </w:tc>
      </w:tr>
      <w:tr w:rsidR="0082786A" w:rsidRPr="00E87295" w14:paraId="2EB2B25D" w14:textId="77777777" w:rsidTr="006846CF">
        <w:trPr>
          <w:cantSplit/>
          <w:jc w:val="center"/>
        </w:trPr>
        <w:tc>
          <w:tcPr>
            <w:tcW w:w="2381" w:type="dxa"/>
            <w:tcBorders>
              <w:top w:val="nil"/>
            </w:tcBorders>
            <w:shd w:val="clear" w:color="auto" w:fill="auto"/>
          </w:tcPr>
          <w:p w14:paraId="688BD401" w14:textId="0AB2E256" w:rsidR="007671AA" w:rsidRPr="00E87295" w:rsidRDefault="007671AA">
            <w:pPr>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r w:rsidRPr="00E87295">
              <w:rPr>
                <w:sz w:val="22"/>
                <w:szCs w:val="22"/>
              </w:rPr>
              <w:t xml:space="preserve"> </w:t>
            </w:r>
          </w:p>
        </w:tc>
        <w:tc>
          <w:tcPr>
            <w:tcW w:w="1726" w:type="dxa"/>
            <w:tcBorders>
              <w:top w:val="nil"/>
            </w:tcBorders>
            <w:shd w:val="clear" w:color="auto" w:fill="auto"/>
          </w:tcPr>
          <w:p w14:paraId="575118F5" w14:textId="77777777" w:rsidR="007671AA" w:rsidRPr="00E87295" w:rsidRDefault="007671AA" w:rsidP="00E87295">
            <w:pPr>
              <w:jc w:val="both"/>
              <w:rPr>
                <w:sz w:val="22"/>
                <w:szCs w:val="22"/>
              </w:rPr>
            </w:pPr>
            <w:r w:rsidRPr="00E87295">
              <w:rPr>
                <w:sz w:val="22"/>
                <w:szCs w:val="22"/>
              </w:rPr>
              <w:t>28,9%</w:t>
            </w:r>
          </w:p>
        </w:tc>
        <w:tc>
          <w:tcPr>
            <w:tcW w:w="1726" w:type="dxa"/>
            <w:tcBorders>
              <w:top w:val="nil"/>
            </w:tcBorders>
            <w:shd w:val="clear" w:color="auto" w:fill="auto"/>
          </w:tcPr>
          <w:p w14:paraId="5D374CBD" w14:textId="77777777" w:rsidR="007671AA" w:rsidRPr="00E87295" w:rsidRDefault="007671AA" w:rsidP="00E87295">
            <w:pPr>
              <w:jc w:val="both"/>
              <w:rPr>
                <w:sz w:val="22"/>
                <w:szCs w:val="22"/>
              </w:rPr>
            </w:pPr>
            <w:r w:rsidRPr="00E87295">
              <w:rPr>
                <w:sz w:val="22"/>
                <w:szCs w:val="22"/>
              </w:rPr>
              <w:t>29,8%</w:t>
            </w:r>
          </w:p>
        </w:tc>
        <w:tc>
          <w:tcPr>
            <w:tcW w:w="1726" w:type="dxa"/>
            <w:tcBorders>
              <w:top w:val="nil"/>
            </w:tcBorders>
            <w:shd w:val="clear" w:color="auto" w:fill="auto"/>
          </w:tcPr>
          <w:p w14:paraId="2D87D16B" w14:textId="77777777" w:rsidR="007671AA" w:rsidRPr="00E87295" w:rsidRDefault="007671AA" w:rsidP="00E87295">
            <w:pPr>
              <w:jc w:val="both"/>
              <w:rPr>
                <w:sz w:val="22"/>
                <w:szCs w:val="22"/>
              </w:rPr>
            </w:pPr>
            <w:r w:rsidRPr="00E87295">
              <w:rPr>
                <w:sz w:val="22"/>
                <w:szCs w:val="22"/>
              </w:rPr>
              <w:t>29,5%</w:t>
            </w:r>
          </w:p>
        </w:tc>
        <w:tc>
          <w:tcPr>
            <w:tcW w:w="1727" w:type="dxa"/>
            <w:gridSpan w:val="2"/>
            <w:tcBorders>
              <w:top w:val="nil"/>
            </w:tcBorders>
            <w:shd w:val="clear" w:color="auto" w:fill="auto"/>
          </w:tcPr>
          <w:p w14:paraId="4E79B8C8" w14:textId="77777777" w:rsidR="007671AA" w:rsidRPr="00E87295" w:rsidRDefault="007671AA" w:rsidP="00E87295">
            <w:pPr>
              <w:jc w:val="both"/>
              <w:rPr>
                <w:sz w:val="22"/>
                <w:szCs w:val="22"/>
              </w:rPr>
            </w:pPr>
            <w:r w:rsidRPr="00E87295">
              <w:rPr>
                <w:sz w:val="22"/>
                <w:szCs w:val="22"/>
              </w:rPr>
              <w:t>28,1%</w:t>
            </w:r>
          </w:p>
        </w:tc>
      </w:tr>
      <w:tr w:rsidR="007671AA" w:rsidRPr="00E87295" w14:paraId="529E9C1C" w14:textId="77777777" w:rsidTr="006846CF">
        <w:trPr>
          <w:cantSplit/>
          <w:jc w:val="center"/>
        </w:trPr>
        <w:tc>
          <w:tcPr>
            <w:tcW w:w="9286" w:type="dxa"/>
            <w:gridSpan w:val="6"/>
            <w:tcBorders>
              <w:bottom w:val="single" w:sz="4" w:space="0" w:color="auto"/>
            </w:tcBorders>
            <w:shd w:val="clear" w:color="auto" w:fill="auto"/>
          </w:tcPr>
          <w:p w14:paraId="18716E3B" w14:textId="55A94A4B" w:rsidR="007671AA" w:rsidRPr="00E87295" w:rsidRDefault="007671AA" w:rsidP="00E87295">
            <w:pPr>
              <w:keepNext/>
              <w:keepLines/>
              <w:jc w:val="both"/>
              <w:rPr>
                <w:b/>
                <w:bCs/>
                <w:sz w:val="22"/>
                <w:szCs w:val="22"/>
              </w:rPr>
            </w:pPr>
            <w:r w:rsidRPr="00E87295">
              <w:rPr>
                <w:b/>
                <w:bCs/>
                <w:sz w:val="22"/>
                <w:szCs w:val="22"/>
              </w:rPr>
              <w:t xml:space="preserve">DAS 28 (CRP) </w:t>
            </w:r>
            <w:proofErr w:type="spellStart"/>
            <w:r w:rsidRPr="00E87295">
              <w:rPr>
                <w:b/>
                <w:bCs/>
                <w:sz w:val="22"/>
                <w:szCs w:val="22"/>
              </w:rPr>
              <w:t>prom</w:t>
            </w:r>
            <w:r w:rsidR="00B94F3E" w:rsidRPr="00E87295">
              <w:rPr>
                <w:b/>
                <w:bCs/>
                <w:sz w:val="22"/>
                <w:szCs w:val="22"/>
              </w:rPr>
              <w:t>j</w:t>
            </w:r>
            <w:r w:rsidRPr="00E87295">
              <w:rPr>
                <w:b/>
                <w:bCs/>
                <w:sz w:val="22"/>
                <w:szCs w:val="22"/>
              </w:rPr>
              <w:t>ena</w:t>
            </w:r>
            <w:proofErr w:type="spellEnd"/>
            <w:r w:rsidRPr="00E87295">
              <w:rPr>
                <w:b/>
                <w:bCs/>
                <w:sz w:val="22"/>
                <w:szCs w:val="22"/>
              </w:rPr>
              <w:t xml:space="preserve"> u </w:t>
            </w:r>
            <w:proofErr w:type="spellStart"/>
            <w:r w:rsidRPr="00E87295">
              <w:rPr>
                <w:b/>
                <w:bCs/>
                <w:sz w:val="22"/>
                <w:szCs w:val="22"/>
              </w:rPr>
              <w:t>odnosu</w:t>
            </w:r>
            <w:proofErr w:type="spellEnd"/>
            <w:r w:rsidRPr="00E87295">
              <w:rPr>
                <w:b/>
                <w:bCs/>
                <w:sz w:val="22"/>
                <w:szCs w:val="22"/>
              </w:rPr>
              <w:t xml:space="preserve"> </w:t>
            </w:r>
            <w:proofErr w:type="spellStart"/>
            <w:r w:rsidRPr="00E87295">
              <w:rPr>
                <w:b/>
                <w:bCs/>
                <w:sz w:val="22"/>
                <w:szCs w:val="22"/>
              </w:rPr>
              <w:t>na</w:t>
            </w:r>
            <w:proofErr w:type="spellEnd"/>
            <w:r w:rsidRPr="00E87295">
              <w:rPr>
                <w:b/>
                <w:bCs/>
                <w:sz w:val="22"/>
                <w:szCs w:val="22"/>
              </w:rPr>
              <w:t xml:space="preserve"> </w:t>
            </w:r>
            <w:proofErr w:type="spellStart"/>
            <w:r w:rsidRPr="00E87295">
              <w:rPr>
                <w:b/>
                <w:bCs/>
                <w:sz w:val="22"/>
                <w:szCs w:val="22"/>
              </w:rPr>
              <w:t>početnu</w:t>
            </w:r>
            <w:proofErr w:type="spellEnd"/>
            <w:r w:rsidRPr="00E87295">
              <w:rPr>
                <w:b/>
                <w:bCs/>
                <w:sz w:val="22"/>
                <w:szCs w:val="22"/>
              </w:rPr>
              <w:t xml:space="preserve"> </w:t>
            </w:r>
            <w:proofErr w:type="spellStart"/>
            <w:r w:rsidRPr="00E87295">
              <w:rPr>
                <w:b/>
                <w:bCs/>
                <w:sz w:val="22"/>
                <w:szCs w:val="22"/>
              </w:rPr>
              <w:t>vr</w:t>
            </w:r>
            <w:r w:rsidR="00B94F3E" w:rsidRPr="00E87295">
              <w:rPr>
                <w:b/>
                <w:bCs/>
                <w:sz w:val="22"/>
                <w:szCs w:val="22"/>
              </w:rPr>
              <w:t>ij</w:t>
            </w:r>
            <w:r w:rsidRPr="00E87295">
              <w:rPr>
                <w:b/>
                <w:bCs/>
                <w:sz w:val="22"/>
                <w:szCs w:val="22"/>
              </w:rPr>
              <w:t>ednost</w:t>
            </w:r>
            <w:proofErr w:type="spellEnd"/>
          </w:p>
        </w:tc>
      </w:tr>
      <w:tr w:rsidR="0082786A" w:rsidRPr="00E87295" w14:paraId="31846712" w14:textId="77777777" w:rsidTr="006846CF">
        <w:trPr>
          <w:cantSplit/>
          <w:jc w:val="center"/>
        </w:trPr>
        <w:tc>
          <w:tcPr>
            <w:tcW w:w="2381" w:type="dxa"/>
            <w:tcBorders>
              <w:bottom w:val="nil"/>
            </w:tcBorders>
            <w:shd w:val="clear" w:color="auto" w:fill="auto"/>
          </w:tcPr>
          <w:p w14:paraId="29D7AD5F" w14:textId="77777777" w:rsidR="007671AA" w:rsidRPr="00E87295" w:rsidRDefault="007671AA" w:rsidP="00E87295">
            <w:pPr>
              <w:jc w:val="both"/>
              <w:rPr>
                <w:sz w:val="22"/>
                <w:szCs w:val="22"/>
              </w:rPr>
            </w:pPr>
            <w:r w:rsidRPr="00E87295">
              <w:rPr>
                <w:sz w:val="22"/>
                <w:szCs w:val="22"/>
              </w:rPr>
              <w:t>N</w:t>
            </w:r>
            <w:r w:rsidRPr="00E87295">
              <w:rPr>
                <w:sz w:val="22"/>
                <w:szCs w:val="22"/>
                <w:vertAlign w:val="superscript"/>
              </w:rPr>
              <w:t>c</w:t>
            </w:r>
          </w:p>
        </w:tc>
        <w:tc>
          <w:tcPr>
            <w:tcW w:w="1726" w:type="dxa"/>
            <w:tcBorders>
              <w:bottom w:val="nil"/>
            </w:tcBorders>
            <w:shd w:val="clear" w:color="auto" w:fill="auto"/>
          </w:tcPr>
          <w:p w14:paraId="5222EF20" w14:textId="77777777" w:rsidR="007671AA" w:rsidRPr="00E87295" w:rsidRDefault="007671AA" w:rsidP="00E87295">
            <w:pPr>
              <w:jc w:val="both"/>
              <w:rPr>
                <w:sz w:val="22"/>
                <w:szCs w:val="22"/>
              </w:rPr>
            </w:pPr>
            <w:r w:rsidRPr="00E87295">
              <w:rPr>
                <w:sz w:val="22"/>
                <w:szCs w:val="22"/>
              </w:rPr>
              <w:t>112</w:t>
            </w:r>
          </w:p>
        </w:tc>
        <w:tc>
          <w:tcPr>
            <w:tcW w:w="1726" w:type="dxa"/>
            <w:tcBorders>
              <w:bottom w:val="nil"/>
            </w:tcBorders>
            <w:shd w:val="clear" w:color="auto" w:fill="auto"/>
          </w:tcPr>
          <w:p w14:paraId="213C81C2" w14:textId="77777777" w:rsidR="007671AA" w:rsidRPr="00E87295" w:rsidRDefault="007671AA" w:rsidP="00E87295">
            <w:pPr>
              <w:jc w:val="both"/>
              <w:rPr>
                <w:sz w:val="22"/>
                <w:szCs w:val="22"/>
              </w:rPr>
            </w:pPr>
            <w:r w:rsidRPr="00E87295">
              <w:rPr>
                <w:sz w:val="22"/>
                <w:szCs w:val="22"/>
              </w:rPr>
              <w:t>123</w:t>
            </w:r>
          </w:p>
        </w:tc>
        <w:tc>
          <w:tcPr>
            <w:tcW w:w="1726" w:type="dxa"/>
            <w:tcBorders>
              <w:bottom w:val="nil"/>
            </w:tcBorders>
            <w:shd w:val="clear" w:color="auto" w:fill="auto"/>
          </w:tcPr>
          <w:p w14:paraId="294AAEDE" w14:textId="77777777" w:rsidR="007671AA" w:rsidRPr="00E87295" w:rsidRDefault="007671AA" w:rsidP="00E87295">
            <w:pPr>
              <w:jc w:val="both"/>
              <w:rPr>
                <w:sz w:val="22"/>
                <w:szCs w:val="22"/>
              </w:rPr>
            </w:pPr>
            <w:r w:rsidRPr="00E87295">
              <w:rPr>
                <w:sz w:val="22"/>
                <w:szCs w:val="22"/>
              </w:rPr>
              <w:t>234</w:t>
            </w:r>
          </w:p>
        </w:tc>
        <w:tc>
          <w:tcPr>
            <w:tcW w:w="1727" w:type="dxa"/>
            <w:gridSpan w:val="2"/>
            <w:tcBorders>
              <w:bottom w:val="nil"/>
            </w:tcBorders>
            <w:shd w:val="clear" w:color="auto" w:fill="auto"/>
          </w:tcPr>
          <w:p w14:paraId="312347C0" w14:textId="77777777" w:rsidR="007671AA" w:rsidRPr="00E87295" w:rsidRDefault="007671AA" w:rsidP="00E87295">
            <w:pPr>
              <w:jc w:val="both"/>
              <w:rPr>
                <w:sz w:val="22"/>
                <w:szCs w:val="22"/>
              </w:rPr>
            </w:pPr>
            <w:r w:rsidRPr="00E87295">
              <w:rPr>
                <w:sz w:val="22"/>
                <w:szCs w:val="22"/>
              </w:rPr>
              <w:t>227</w:t>
            </w:r>
          </w:p>
        </w:tc>
      </w:tr>
      <w:tr w:rsidR="0082786A" w:rsidRPr="00E87295" w14:paraId="33FFD9BC" w14:textId="77777777" w:rsidTr="006846CF">
        <w:trPr>
          <w:cantSplit/>
          <w:jc w:val="center"/>
        </w:trPr>
        <w:tc>
          <w:tcPr>
            <w:tcW w:w="2381" w:type="dxa"/>
            <w:tcBorders>
              <w:top w:val="nil"/>
            </w:tcBorders>
            <w:shd w:val="clear" w:color="auto" w:fill="auto"/>
          </w:tcPr>
          <w:p w14:paraId="3F72DA9B" w14:textId="5A93F93C" w:rsidR="007671AA" w:rsidRPr="00E87295" w:rsidRDefault="007671AA" w:rsidP="00E87295">
            <w:pPr>
              <w:jc w:val="both"/>
              <w:rPr>
                <w:sz w:val="22"/>
                <w:szCs w:val="22"/>
              </w:rPr>
            </w:pPr>
            <w:proofErr w:type="spellStart"/>
            <w:r w:rsidRPr="00E87295">
              <w:rPr>
                <w:sz w:val="22"/>
                <w:szCs w:val="22"/>
              </w:rPr>
              <w:t>Srednja</w:t>
            </w:r>
            <w:proofErr w:type="spellEnd"/>
            <w:r w:rsidRPr="00E87295">
              <w:rPr>
                <w:sz w:val="22"/>
                <w:szCs w:val="22"/>
              </w:rPr>
              <w:t xml:space="preserve"> </w:t>
            </w:r>
            <w:proofErr w:type="spellStart"/>
            <w:r w:rsidRPr="00E87295">
              <w:rPr>
                <w:sz w:val="22"/>
                <w:szCs w:val="22"/>
              </w:rPr>
              <w:t>vr</w:t>
            </w:r>
            <w:r w:rsidR="00B94F3E" w:rsidRPr="00E87295">
              <w:rPr>
                <w:sz w:val="22"/>
                <w:szCs w:val="22"/>
              </w:rPr>
              <w:t>ij</w:t>
            </w:r>
            <w:r w:rsidRPr="00E87295">
              <w:rPr>
                <w:sz w:val="22"/>
                <w:szCs w:val="22"/>
              </w:rPr>
              <w:t>ednost</w:t>
            </w:r>
            <w:proofErr w:type="spellEnd"/>
            <w:r w:rsidRPr="00E87295">
              <w:rPr>
                <w:sz w:val="22"/>
                <w:szCs w:val="22"/>
              </w:rPr>
              <w:t xml:space="preserve"> (SD)</w:t>
            </w:r>
          </w:p>
        </w:tc>
        <w:tc>
          <w:tcPr>
            <w:tcW w:w="1726" w:type="dxa"/>
            <w:tcBorders>
              <w:top w:val="nil"/>
            </w:tcBorders>
            <w:shd w:val="clear" w:color="auto" w:fill="auto"/>
          </w:tcPr>
          <w:p w14:paraId="34394793" w14:textId="77777777" w:rsidR="007671AA" w:rsidRPr="00E87295" w:rsidRDefault="007671AA" w:rsidP="00E87295">
            <w:pPr>
              <w:jc w:val="both"/>
              <w:rPr>
                <w:sz w:val="22"/>
                <w:szCs w:val="22"/>
              </w:rPr>
            </w:pPr>
            <w:r w:rsidRPr="00E87295">
              <w:rPr>
                <w:sz w:val="22"/>
                <w:szCs w:val="22"/>
              </w:rPr>
              <w:t>-2,03 (1,250)</w:t>
            </w:r>
          </w:p>
        </w:tc>
        <w:tc>
          <w:tcPr>
            <w:tcW w:w="1726" w:type="dxa"/>
            <w:tcBorders>
              <w:top w:val="nil"/>
            </w:tcBorders>
            <w:shd w:val="clear" w:color="auto" w:fill="auto"/>
          </w:tcPr>
          <w:p w14:paraId="147B8F06" w14:textId="77777777" w:rsidR="007671AA" w:rsidRPr="00E87295" w:rsidRDefault="007671AA" w:rsidP="00E87295">
            <w:pPr>
              <w:jc w:val="both"/>
              <w:rPr>
                <w:sz w:val="22"/>
                <w:szCs w:val="22"/>
              </w:rPr>
            </w:pPr>
            <w:r w:rsidRPr="00E87295">
              <w:rPr>
                <w:sz w:val="22"/>
                <w:szCs w:val="22"/>
              </w:rPr>
              <w:t>-1,99 (1,062)</w:t>
            </w:r>
          </w:p>
        </w:tc>
        <w:tc>
          <w:tcPr>
            <w:tcW w:w="1726" w:type="dxa"/>
            <w:tcBorders>
              <w:top w:val="nil"/>
            </w:tcBorders>
            <w:shd w:val="clear" w:color="auto" w:fill="auto"/>
          </w:tcPr>
          <w:p w14:paraId="632A8AA1" w14:textId="77777777" w:rsidR="007671AA" w:rsidRPr="00E87295" w:rsidRDefault="007671AA" w:rsidP="00E87295">
            <w:pPr>
              <w:jc w:val="both"/>
              <w:rPr>
                <w:sz w:val="22"/>
                <w:szCs w:val="22"/>
              </w:rPr>
            </w:pPr>
            <w:r w:rsidRPr="00E87295">
              <w:rPr>
                <w:sz w:val="22"/>
                <w:szCs w:val="22"/>
              </w:rPr>
              <w:t>-2,08 (1,121)</w:t>
            </w:r>
          </w:p>
        </w:tc>
        <w:tc>
          <w:tcPr>
            <w:tcW w:w="1727" w:type="dxa"/>
            <w:gridSpan w:val="2"/>
            <w:tcBorders>
              <w:top w:val="nil"/>
            </w:tcBorders>
            <w:shd w:val="clear" w:color="auto" w:fill="auto"/>
          </w:tcPr>
          <w:p w14:paraId="72153E31" w14:textId="77777777" w:rsidR="007671AA" w:rsidRPr="00E87295" w:rsidRDefault="007671AA" w:rsidP="00E87295">
            <w:pPr>
              <w:jc w:val="both"/>
              <w:rPr>
                <w:sz w:val="22"/>
                <w:szCs w:val="22"/>
              </w:rPr>
            </w:pPr>
            <w:r w:rsidRPr="00E87295">
              <w:rPr>
                <w:sz w:val="22"/>
                <w:szCs w:val="22"/>
              </w:rPr>
              <w:t>-2,11 (1,128)</w:t>
            </w:r>
          </w:p>
        </w:tc>
      </w:tr>
      <w:tr w:rsidR="007671AA" w:rsidRPr="00E87295" w14:paraId="2AB7C4A2" w14:textId="77777777" w:rsidTr="006846CF">
        <w:trPr>
          <w:cantSplit/>
          <w:jc w:val="center"/>
        </w:trPr>
        <w:tc>
          <w:tcPr>
            <w:tcW w:w="9286" w:type="dxa"/>
            <w:gridSpan w:val="6"/>
            <w:tcBorders>
              <w:bottom w:val="single" w:sz="4" w:space="0" w:color="auto"/>
            </w:tcBorders>
            <w:shd w:val="clear" w:color="auto" w:fill="auto"/>
          </w:tcPr>
          <w:p w14:paraId="7950C58E" w14:textId="77777777" w:rsidR="007671AA" w:rsidRPr="00E87295" w:rsidRDefault="007671AA" w:rsidP="00E87295">
            <w:pPr>
              <w:keepNext/>
              <w:keepLines/>
              <w:jc w:val="both"/>
              <w:rPr>
                <w:b/>
                <w:bCs/>
                <w:sz w:val="22"/>
                <w:szCs w:val="22"/>
              </w:rPr>
            </w:pPr>
            <w:r w:rsidRPr="00E87295">
              <w:rPr>
                <w:b/>
                <w:bCs/>
                <w:sz w:val="22"/>
                <w:szCs w:val="22"/>
              </w:rPr>
              <w:t>MDA</w:t>
            </w:r>
          </w:p>
        </w:tc>
      </w:tr>
      <w:tr w:rsidR="0082786A" w:rsidRPr="00E87295" w14:paraId="7B225A20" w14:textId="77777777" w:rsidTr="006846CF">
        <w:trPr>
          <w:cantSplit/>
          <w:jc w:val="center"/>
        </w:trPr>
        <w:tc>
          <w:tcPr>
            <w:tcW w:w="2381" w:type="dxa"/>
            <w:tcBorders>
              <w:bottom w:val="nil"/>
            </w:tcBorders>
            <w:shd w:val="clear" w:color="auto" w:fill="auto"/>
          </w:tcPr>
          <w:p w14:paraId="66FF51FE" w14:textId="77777777" w:rsidR="007671AA" w:rsidRPr="00E87295" w:rsidRDefault="007671AA" w:rsidP="00E87295">
            <w:pPr>
              <w:jc w:val="both"/>
              <w:rPr>
                <w:sz w:val="22"/>
                <w:szCs w:val="22"/>
              </w:rPr>
            </w:pPr>
            <w:r w:rsidRPr="00E87295">
              <w:rPr>
                <w:sz w:val="22"/>
                <w:szCs w:val="22"/>
              </w:rPr>
              <w:t>N</w:t>
            </w:r>
            <w:r w:rsidRPr="00E87295">
              <w:rPr>
                <w:sz w:val="22"/>
                <w:szCs w:val="22"/>
                <w:vertAlign w:val="superscript"/>
              </w:rPr>
              <w:t>b</w:t>
            </w:r>
          </w:p>
        </w:tc>
        <w:tc>
          <w:tcPr>
            <w:tcW w:w="1726" w:type="dxa"/>
            <w:tcBorders>
              <w:bottom w:val="nil"/>
            </w:tcBorders>
            <w:shd w:val="clear" w:color="auto" w:fill="auto"/>
          </w:tcPr>
          <w:p w14:paraId="6BF960A0" w14:textId="77777777" w:rsidR="007671AA" w:rsidRPr="00E87295" w:rsidRDefault="007671AA" w:rsidP="00E87295">
            <w:pPr>
              <w:jc w:val="both"/>
              <w:rPr>
                <w:sz w:val="22"/>
                <w:szCs w:val="22"/>
              </w:rPr>
            </w:pPr>
            <w:r w:rsidRPr="00E87295">
              <w:rPr>
                <w:sz w:val="22"/>
                <w:szCs w:val="22"/>
              </w:rPr>
              <w:t>112</w:t>
            </w:r>
          </w:p>
        </w:tc>
        <w:tc>
          <w:tcPr>
            <w:tcW w:w="1726" w:type="dxa"/>
            <w:tcBorders>
              <w:bottom w:val="nil"/>
            </w:tcBorders>
            <w:shd w:val="clear" w:color="auto" w:fill="auto"/>
          </w:tcPr>
          <w:p w14:paraId="58FCD4C8" w14:textId="77777777" w:rsidR="007671AA" w:rsidRPr="00E87295" w:rsidRDefault="007671AA" w:rsidP="00E87295">
            <w:pPr>
              <w:jc w:val="both"/>
              <w:rPr>
                <w:sz w:val="22"/>
                <w:szCs w:val="22"/>
              </w:rPr>
            </w:pPr>
            <w:r w:rsidRPr="00E87295">
              <w:rPr>
                <w:sz w:val="22"/>
                <w:szCs w:val="22"/>
              </w:rPr>
              <w:t>124</w:t>
            </w:r>
          </w:p>
        </w:tc>
        <w:tc>
          <w:tcPr>
            <w:tcW w:w="1726" w:type="dxa"/>
            <w:tcBorders>
              <w:bottom w:val="nil"/>
            </w:tcBorders>
            <w:shd w:val="clear" w:color="auto" w:fill="auto"/>
          </w:tcPr>
          <w:p w14:paraId="767BE3D4" w14:textId="77777777" w:rsidR="007671AA" w:rsidRPr="00E87295" w:rsidRDefault="007671AA" w:rsidP="00E87295">
            <w:pPr>
              <w:jc w:val="both"/>
              <w:rPr>
                <w:sz w:val="22"/>
                <w:szCs w:val="22"/>
              </w:rPr>
            </w:pPr>
            <w:r w:rsidRPr="00E87295">
              <w:rPr>
                <w:sz w:val="22"/>
                <w:szCs w:val="22"/>
              </w:rPr>
              <w:t>234</w:t>
            </w:r>
          </w:p>
        </w:tc>
        <w:tc>
          <w:tcPr>
            <w:tcW w:w="1727" w:type="dxa"/>
            <w:gridSpan w:val="2"/>
            <w:tcBorders>
              <w:bottom w:val="nil"/>
            </w:tcBorders>
            <w:shd w:val="clear" w:color="auto" w:fill="auto"/>
          </w:tcPr>
          <w:p w14:paraId="09E040CB" w14:textId="77777777" w:rsidR="007671AA" w:rsidRPr="00E87295" w:rsidRDefault="007671AA" w:rsidP="00E87295">
            <w:pPr>
              <w:jc w:val="both"/>
              <w:rPr>
                <w:sz w:val="22"/>
                <w:szCs w:val="22"/>
              </w:rPr>
            </w:pPr>
            <w:r w:rsidRPr="00E87295">
              <w:rPr>
                <w:sz w:val="22"/>
                <w:szCs w:val="22"/>
              </w:rPr>
              <w:t>228</w:t>
            </w:r>
          </w:p>
        </w:tc>
      </w:tr>
      <w:tr w:rsidR="0082786A" w:rsidRPr="00E87295" w14:paraId="63349953" w14:textId="77777777" w:rsidTr="006846CF">
        <w:trPr>
          <w:cantSplit/>
          <w:jc w:val="center"/>
        </w:trPr>
        <w:tc>
          <w:tcPr>
            <w:tcW w:w="2381" w:type="dxa"/>
            <w:tcBorders>
              <w:top w:val="nil"/>
            </w:tcBorders>
            <w:shd w:val="clear" w:color="auto" w:fill="auto"/>
          </w:tcPr>
          <w:p w14:paraId="6FE8682C" w14:textId="77777777" w:rsidR="007671AA" w:rsidRPr="00E87295" w:rsidRDefault="007671AA" w:rsidP="00E87295">
            <w:pPr>
              <w:jc w:val="both"/>
              <w:rPr>
                <w:sz w:val="22"/>
                <w:szCs w:val="22"/>
              </w:rPr>
            </w:pPr>
            <w:r w:rsidRPr="00E87295">
              <w:rPr>
                <w:sz w:val="22"/>
                <w:szCs w:val="22"/>
              </w:rPr>
              <w:t xml:space="preserve">% </w:t>
            </w:r>
            <w:proofErr w:type="spellStart"/>
            <w:r w:rsidRPr="00E87295">
              <w:rPr>
                <w:sz w:val="22"/>
                <w:szCs w:val="22"/>
              </w:rPr>
              <w:t>odgovora</w:t>
            </w:r>
            <w:proofErr w:type="spellEnd"/>
          </w:p>
        </w:tc>
        <w:tc>
          <w:tcPr>
            <w:tcW w:w="1726" w:type="dxa"/>
            <w:tcBorders>
              <w:top w:val="nil"/>
            </w:tcBorders>
            <w:shd w:val="clear" w:color="auto" w:fill="auto"/>
          </w:tcPr>
          <w:p w14:paraId="41F14536" w14:textId="77777777" w:rsidR="007671AA" w:rsidRPr="00E87295" w:rsidRDefault="007671AA" w:rsidP="00E87295">
            <w:pPr>
              <w:jc w:val="both"/>
              <w:rPr>
                <w:sz w:val="22"/>
                <w:szCs w:val="22"/>
              </w:rPr>
            </w:pPr>
            <w:r w:rsidRPr="00E87295">
              <w:rPr>
                <w:sz w:val="22"/>
                <w:szCs w:val="22"/>
              </w:rPr>
              <w:t>33,9%</w:t>
            </w:r>
          </w:p>
        </w:tc>
        <w:tc>
          <w:tcPr>
            <w:tcW w:w="1726" w:type="dxa"/>
            <w:tcBorders>
              <w:top w:val="nil"/>
            </w:tcBorders>
            <w:shd w:val="clear" w:color="auto" w:fill="auto"/>
          </w:tcPr>
          <w:p w14:paraId="5FF911BD" w14:textId="77777777" w:rsidR="007671AA" w:rsidRPr="00E87295" w:rsidRDefault="007671AA" w:rsidP="00E87295">
            <w:pPr>
              <w:jc w:val="both"/>
              <w:rPr>
                <w:sz w:val="22"/>
                <w:szCs w:val="22"/>
              </w:rPr>
            </w:pPr>
            <w:r w:rsidRPr="00E87295">
              <w:rPr>
                <w:sz w:val="22"/>
                <w:szCs w:val="22"/>
              </w:rPr>
              <w:t>40,3%</w:t>
            </w:r>
          </w:p>
        </w:tc>
        <w:tc>
          <w:tcPr>
            <w:tcW w:w="1726" w:type="dxa"/>
            <w:tcBorders>
              <w:top w:val="nil"/>
            </w:tcBorders>
            <w:shd w:val="clear" w:color="auto" w:fill="auto"/>
          </w:tcPr>
          <w:p w14:paraId="712A79CA" w14:textId="77777777" w:rsidR="007671AA" w:rsidRPr="00E87295" w:rsidRDefault="007671AA" w:rsidP="00E87295">
            <w:pPr>
              <w:jc w:val="both"/>
              <w:rPr>
                <w:sz w:val="22"/>
                <w:szCs w:val="22"/>
              </w:rPr>
            </w:pPr>
            <w:r w:rsidRPr="00E87295">
              <w:rPr>
                <w:sz w:val="22"/>
                <w:szCs w:val="22"/>
              </w:rPr>
              <w:t>32,9%</w:t>
            </w:r>
          </w:p>
        </w:tc>
        <w:tc>
          <w:tcPr>
            <w:tcW w:w="1727" w:type="dxa"/>
            <w:gridSpan w:val="2"/>
            <w:tcBorders>
              <w:top w:val="nil"/>
            </w:tcBorders>
            <w:shd w:val="clear" w:color="auto" w:fill="auto"/>
          </w:tcPr>
          <w:p w14:paraId="058F3D70" w14:textId="77777777" w:rsidR="007671AA" w:rsidRPr="00E87295" w:rsidRDefault="007671AA" w:rsidP="00E87295">
            <w:pPr>
              <w:jc w:val="both"/>
              <w:rPr>
                <w:sz w:val="22"/>
                <w:szCs w:val="22"/>
              </w:rPr>
            </w:pPr>
            <w:r w:rsidRPr="00E87295">
              <w:rPr>
                <w:sz w:val="22"/>
                <w:szCs w:val="22"/>
              </w:rPr>
              <w:t>36,8%</w:t>
            </w:r>
          </w:p>
        </w:tc>
      </w:tr>
      <w:tr w:rsidR="007671AA" w:rsidRPr="00E87295" w14:paraId="14FAE221" w14:textId="77777777" w:rsidTr="006846CF">
        <w:trPr>
          <w:gridAfter w:val="1"/>
          <w:wAfter w:w="214" w:type="dxa"/>
          <w:cantSplit/>
          <w:jc w:val="center"/>
        </w:trPr>
        <w:tc>
          <w:tcPr>
            <w:tcW w:w="9072" w:type="dxa"/>
            <w:gridSpan w:val="5"/>
            <w:tcBorders>
              <w:bottom w:val="nil"/>
            </w:tcBorders>
            <w:shd w:val="clear" w:color="auto" w:fill="auto"/>
          </w:tcPr>
          <w:p w14:paraId="73EAE25C" w14:textId="0BA1C554" w:rsidR="007671AA" w:rsidRPr="00E87295" w:rsidRDefault="007671AA" w:rsidP="00E87295">
            <w:pPr>
              <w:jc w:val="both"/>
              <w:rPr>
                <w:b/>
                <w:i/>
                <w:sz w:val="22"/>
                <w:szCs w:val="22"/>
              </w:rPr>
            </w:pPr>
            <w:proofErr w:type="spellStart"/>
            <w:r w:rsidRPr="00E87295">
              <w:rPr>
                <w:b/>
                <w:i/>
                <w:iCs/>
                <w:sz w:val="22"/>
                <w:szCs w:val="22"/>
              </w:rPr>
              <w:t>P</w:t>
            </w:r>
            <w:r w:rsidR="0082786A" w:rsidRPr="00E87295">
              <w:rPr>
                <w:b/>
                <w:i/>
                <w:iCs/>
                <w:sz w:val="22"/>
                <w:szCs w:val="22"/>
              </w:rPr>
              <w:t>a</w:t>
            </w:r>
            <w:r w:rsidRPr="00E87295">
              <w:rPr>
                <w:b/>
                <w:i/>
                <w:iCs/>
                <w:sz w:val="22"/>
                <w:szCs w:val="22"/>
              </w:rPr>
              <w:t>cijenti</w:t>
            </w:r>
            <w:proofErr w:type="spellEnd"/>
            <w:r w:rsidRPr="00E87295">
              <w:rPr>
                <w:b/>
                <w:i/>
                <w:iCs/>
                <w:sz w:val="22"/>
                <w:szCs w:val="22"/>
              </w:rPr>
              <w:t xml:space="preserve"> </w:t>
            </w:r>
            <w:proofErr w:type="spellStart"/>
            <w:r w:rsidRPr="00E87295">
              <w:rPr>
                <w:b/>
                <w:i/>
                <w:iCs/>
                <w:sz w:val="22"/>
                <w:szCs w:val="22"/>
              </w:rPr>
              <w:t>koji</w:t>
            </w:r>
            <w:proofErr w:type="spellEnd"/>
            <w:r w:rsidRPr="00E87295">
              <w:rPr>
                <w:b/>
                <w:i/>
                <w:iCs/>
                <w:sz w:val="22"/>
                <w:szCs w:val="22"/>
              </w:rPr>
              <w:t xml:space="preserve"> </w:t>
            </w:r>
            <w:proofErr w:type="spellStart"/>
            <w:r w:rsidRPr="00E87295">
              <w:rPr>
                <w:b/>
                <w:i/>
                <w:iCs/>
                <w:sz w:val="22"/>
                <w:szCs w:val="22"/>
              </w:rPr>
              <w:t>su</w:t>
            </w:r>
            <w:proofErr w:type="spellEnd"/>
            <w:r w:rsidRPr="00E87295">
              <w:rPr>
                <w:b/>
                <w:i/>
                <w:iCs/>
                <w:sz w:val="22"/>
                <w:szCs w:val="22"/>
              </w:rPr>
              <w:t xml:space="preserve"> </w:t>
            </w:r>
            <w:proofErr w:type="spellStart"/>
            <w:r w:rsidRPr="00E87295">
              <w:rPr>
                <w:b/>
                <w:i/>
                <w:iCs/>
                <w:sz w:val="22"/>
                <w:szCs w:val="22"/>
              </w:rPr>
              <w:t>imali</w:t>
            </w:r>
            <w:proofErr w:type="spellEnd"/>
            <w:r w:rsidRPr="00E87295">
              <w:rPr>
                <w:b/>
                <w:i/>
                <w:iCs/>
                <w:sz w:val="22"/>
                <w:szCs w:val="22"/>
              </w:rPr>
              <w:t xml:space="preserve"> BSA ≥ 3% </w:t>
            </w:r>
            <w:proofErr w:type="spellStart"/>
            <w:r w:rsidRPr="00E87295">
              <w:rPr>
                <w:b/>
                <w:i/>
                <w:iCs/>
                <w:sz w:val="22"/>
                <w:szCs w:val="22"/>
              </w:rPr>
              <w:t>i</w:t>
            </w:r>
            <w:proofErr w:type="spellEnd"/>
            <w:r w:rsidRPr="00E87295">
              <w:rPr>
                <w:b/>
                <w:i/>
                <w:iCs/>
                <w:sz w:val="22"/>
                <w:szCs w:val="22"/>
              </w:rPr>
              <w:t xml:space="preserve"> IGA </w:t>
            </w:r>
            <w:proofErr w:type="spellStart"/>
            <w:r w:rsidRPr="00E87295">
              <w:rPr>
                <w:b/>
                <w:i/>
                <w:iCs/>
                <w:sz w:val="22"/>
                <w:szCs w:val="22"/>
              </w:rPr>
              <w:t>rezultat</w:t>
            </w:r>
            <w:proofErr w:type="spellEnd"/>
            <w:r w:rsidRPr="00E87295">
              <w:rPr>
                <w:b/>
                <w:i/>
                <w:iCs/>
                <w:sz w:val="22"/>
                <w:szCs w:val="22"/>
              </w:rPr>
              <w:t xml:space="preserve"> ≥ 2 </w:t>
            </w:r>
            <w:proofErr w:type="spellStart"/>
            <w:r w:rsidRPr="00E87295">
              <w:rPr>
                <w:b/>
                <w:i/>
                <w:iCs/>
                <w:sz w:val="22"/>
                <w:szCs w:val="22"/>
              </w:rPr>
              <w:t>na</w:t>
            </w:r>
            <w:proofErr w:type="spellEnd"/>
            <w:r w:rsidRPr="00E87295">
              <w:rPr>
                <w:b/>
                <w:i/>
                <w:iCs/>
                <w:sz w:val="22"/>
                <w:szCs w:val="22"/>
              </w:rPr>
              <w:t xml:space="preserve"> </w:t>
            </w:r>
            <w:proofErr w:type="spellStart"/>
            <w:r w:rsidRPr="00E87295">
              <w:rPr>
                <w:b/>
                <w:i/>
                <w:iCs/>
                <w:sz w:val="22"/>
                <w:szCs w:val="22"/>
              </w:rPr>
              <w:t>početku</w:t>
            </w:r>
            <w:proofErr w:type="spellEnd"/>
            <w:r w:rsidRPr="00E87295">
              <w:rPr>
                <w:b/>
                <w:i/>
                <w:iCs/>
                <w:sz w:val="22"/>
                <w:szCs w:val="22"/>
              </w:rPr>
              <w:t xml:space="preserve"> </w:t>
            </w:r>
            <w:proofErr w:type="spellStart"/>
            <w:r w:rsidRPr="00E87295">
              <w:rPr>
                <w:b/>
                <w:i/>
                <w:iCs/>
                <w:sz w:val="22"/>
                <w:szCs w:val="22"/>
              </w:rPr>
              <w:t>ispitivanja</w:t>
            </w:r>
            <w:proofErr w:type="spellEnd"/>
          </w:p>
        </w:tc>
      </w:tr>
      <w:tr w:rsidR="007671AA" w:rsidRPr="00E87295" w14:paraId="5FC0FF8E" w14:textId="77777777" w:rsidTr="006846CF">
        <w:trPr>
          <w:cantSplit/>
          <w:jc w:val="center"/>
        </w:trPr>
        <w:tc>
          <w:tcPr>
            <w:tcW w:w="9286" w:type="dxa"/>
            <w:gridSpan w:val="6"/>
            <w:tcBorders>
              <w:bottom w:val="single" w:sz="4" w:space="0" w:color="auto"/>
            </w:tcBorders>
            <w:shd w:val="clear" w:color="auto" w:fill="auto"/>
          </w:tcPr>
          <w:p w14:paraId="77C1C575" w14:textId="77777777" w:rsidR="007671AA" w:rsidRPr="00E87295" w:rsidRDefault="007671AA" w:rsidP="00E87295">
            <w:pPr>
              <w:keepNext/>
              <w:keepLines/>
              <w:jc w:val="both"/>
              <w:rPr>
                <w:b/>
                <w:bCs/>
                <w:sz w:val="22"/>
                <w:szCs w:val="22"/>
              </w:rPr>
            </w:pPr>
            <w:proofErr w:type="spellStart"/>
            <w:r w:rsidRPr="00E87295">
              <w:rPr>
                <w:b/>
                <w:sz w:val="22"/>
                <w:szCs w:val="22"/>
              </w:rPr>
              <w:t>Odgovor</w:t>
            </w:r>
            <w:proofErr w:type="spellEnd"/>
            <w:r w:rsidRPr="00E87295">
              <w:rPr>
                <w:b/>
                <w:sz w:val="22"/>
                <w:szCs w:val="22"/>
              </w:rPr>
              <w:t xml:space="preserve"> </w:t>
            </w:r>
            <w:proofErr w:type="spellStart"/>
            <w:r w:rsidRPr="00E87295">
              <w:rPr>
                <w:b/>
                <w:sz w:val="22"/>
                <w:szCs w:val="22"/>
              </w:rPr>
              <w:t>prema</w:t>
            </w:r>
            <w:proofErr w:type="spellEnd"/>
            <w:r w:rsidRPr="00E87295">
              <w:rPr>
                <w:b/>
                <w:sz w:val="22"/>
                <w:szCs w:val="22"/>
              </w:rPr>
              <w:t xml:space="preserve"> IGA </w:t>
            </w:r>
            <w:proofErr w:type="spellStart"/>
            <w:r w:rsidRPr="00E87295">
              <w:rPr>
                <w:b/>
                <w:sz w:val="22"/>
                <w:szCs w:val="22"/>
              </w:rPr>
              <w:t>rezultatu</w:t>
            </w:r>
            <w:proofErr w:type="spellEnd"/>
            <w:r w:rsidRPr="00E87295">
              <w:rPr>
                <w:b/>
                <w:sz w:val="22"/>
                <w:szCs w:val="22"/>
              </w:rPr>
              <w:t xml:space="preserve"> </w:t>
            </w:r>
          </w:p>
        </w:tc>
      </w:tr>
      <w:tr w:rsidR="0082786A" w:rsidRPr="00E87295" w14:paraId="356394B8" w14:textId="77777777" w:rsidTr="006846CF">
        <w:trPr>
          <w:cantSplit/>
          <w:jc w:val="center"/>
        </w:trPr>
        <w:tc>
          <w:tcPr>
            <w:tcW w:w="2381" w:type="dxa"/>
            <w:tcBorders>
              <w:bottom w:val="nil"/>
            </w:tcBorders>
            <w:shd w:val="clear" w:color="auto" w:fill="auto"/>
          </w:tcPr>
          <w:p w14:paraId="0A18D3B7" w14:textId="77777777" w:rsidR="007671AA" w:rsidRPr="00E87295" w:rsidRDefault="007671AA" w:rsidP="00E87295">
            <w:pPr>
              <w:jc w:val="both"/>
              <w:rPr>
                <w:sz w:val="22"/>
                <w:szCs w:val="22"/>
              </w:rPr>
            </w:pPr>
            <w:r w:rsidRPr="00E87295">
              <w:rPr>
                <w:sz w:val="22"/>
                <w:szCs w:val="22"/>
              </w:rPr>
              <w:t>N</w:t>
            </w:r>
            <w:r w:rsidRPr="00E87295">
              <w:rPr>
                <w:sz w:val="22"/>
                <w:szCs w:val="22"/>
                <w:vertAlign w:val="superscript"/>
              </w:rPr>
              <w:t>b</w:t>
            </w:r>
          </w:p>
        </w:tc>
        <w:tc>
          <w:tcPr>
            <w:tcW w:w="1726" w:type="dxa"/>
            <w:tcBorders>
              <w:bottom w:val="nil"/>
            </w:tcBorders>
            <w:shd w:val="clear" w:color="auto" w:fill="auto"/>
          </w:tcPr>
          <w:p w14:paraId="757EC0E2" w14:textId="77777777" w:rsidR="007671AA" w:rsidRPr="00E87295" w:rsidRDefault="007671AA" w:rsidP="00E87295">
            <w:pPr>
              <w:jc w:val="both"/>
              <w:rPr>
                <w:sz w:val="22"/>
                <w:szCs w:val="22"/>
              </w:rPr>
            </w:pPr>
            <w:r w:rsidRPr="00E87295">
              <w:rPr>
                <w:sz w:val="22"/>
                <w:szCs w:val="22"/>
              </w:rPr>
              <w:t>75</w:t>
            </w:r>
          </w:p>
        </w:tc>
        <w:tc>
          <w:tcPr>
            <w:tcW w:w="1726" w:type="dxa"/>
            <w:tcBorders>
              <w:bottom w:val="nil"/>
            </w:tcBorders>
            <w:shd w:val="clear" w:color="auto" w:fill="auto"/>
          </w:tcPr>
          <w:p w14:paraId="1ABAA127" w14:textId="77777777" w:rsidR="007671AA" w:rsidRPr="00E87295" w:rsidRDefault="007671AA" w:rsidP="00E87295">
            <w:pPr>
              <w:jc w:val="both"/>
              <w:rPr>
                <w:sz w:val="22"/>
                <w:szCs w:val="22"/>
              </w:rPr>
            </w:pPr>
            <w:r w:rsidRPr="00E87295">
              <w:rPr>
                <w:sz w:val="22"/>
                <w:szCs w:val="22"/>
              </w:rPr>
              <w:t>88</w:t>
            </w:r>
          </w:p>
        </w:tc>
        <w:tc>
          <w:tcPr>
            <w:tcW w:w="1726" w:type="dxa"/>
            <w:tcBorders>
              <w:bottom w:val="nil"/>
            </w:tcBorders>
            <w:shd w:val="clear" w:color="auto" w:fill="auto"/>
          </w:tcPr>
          <w:p w14:paraId="04C5232C" w14:textId="77777777" w:rsidR="007671AA" w:rsidRPr="00E87295" w:rsidRDefault="007671AA" w:rsidP="00E87295">
            <w:pPr>
              <w:jc w:val="both"/>
              <w:rPr>
                <w:sz w:val="22"/>
                <w:szCs w:val="22"/>
              </w:rPr>
            </w:pPr>
            <w:r w:rsidRPr="00E87295">
              <w:rPr>
                <w:sz w:val="22"/>
                <w:szCs w:val="22"/>
              </w:rPr>
              <w:t>170</w:t>
            </w:r>
          </w:p>
        </w:tc>
        <w:tc>
          <w:tcPr>
            <w:tcW w:w="1727" w:type="dxa"/>
            <w:gridSpan w:val="2"/>
            <w:tcBorders>
              <w:bottom w:val="nil"/>
            </w:tcBorders>
            <w:shd w:val="clear" w:color="auto" w:fill="auto"/>
          </w:tcPr>
          <w:p w14:paraId="19E305D6" w14:textId="77777777" w:rsidR="007671AA" w:rsidRPr="00E87295" w:rsidRDefault="007671AA" w:rsidP="00E87295">
            <w:pPr>
              <w:jc w:val="both"/>
              <w:rPr>
                <w:sz w:val="22"/>
                <w:szCs w:val="22"/>
              </w:rPr>
            </w:pPr>
            <w:r w:rsidRPr="00E87295">
              <w:rPr>
                <w:sz w:val="22"/>
                <w:szCs w:val="22"/>
              </w:rPr>
              <w:t>173</w:t>
            </w:r>
          </w:p>
        </w:tc>
      </w:tr>
      <w:tr w:rsidR="0082786A" w:rsidRPr="00E87295" w14:paraId="5A1330A0" w14:textId="77777777" w:rsidTr="006846CF">
        <w:trPr>
          <w:cantSplit/>
          <w:jc w:val="center"/>
        </w:trPr>
        <w:tc>
          <w:tcPr>
            <w:tcW w:w="2381" w:type="dxa"/>
            <w:tcBorders>
              <w:top w:val="nil"/>
            </w:tcBorders>
            <w:shd w:val="clear" w:color="auto" w:fill="auto"/>
          </w:tcPr>
          <w:p w14:paraId="484D369A" w14:textId="77777777" w:rsidR="007671AA" w:rsidRPr="00E87295" w:rsidRDefault="007671AA" w:rsidP="00E87295">
            <w:pPr>
              <w:jc w:val="both"/>
              <w:rPr>
                <w:sz w:val="22"/>
                <w:szCs w:val="22"/>
              </w:rPr>
            </w:pPr>
            <w:r w:rsidRPr="00E87295">
              <w:rPr>
                <w:sz w:val="22"/>
                <w:szCs w:val="22"/>
              </w:rPr>
              <w:t xml:space="preserve">% </w:t>
            </w:r>
            <w:proofErr w:type="spellStart"/>
            <w:r w:rsidRPr="00E87295">
              <w:rPr>
                <w:sz w:val="22"/>
                <w:szCs w:val="22"/>
              </w:rPr>
              <w:t>odgovora</w:t>
            </w:r>
            <w:proofErr w:type="spellEnd"/>
          </w:p>
        </w:tc>
        <w:tc>
          <w:tcPr>
            <w:tcW w:w="1726" w:type="dxa"/>
            <w:tcBorders>
              <w:top w:val="nil"/>
            </w:tcBorders>
            <w:shd w:val="clear" w:color="auto" w:fill="auto"/>
          </w:tcPr>
          <w:p w14:paraId="55349107" w14:textId="77777777" w:rsidR="007671AA" w:rsidRPr="00E87295" w:rsidRDefault="007671AA" w:rsidP="00E87295">
            <w:pPr>
              <w:jc w:val="both"/>
              <w:rPr>
                <w:sz w:val="22"/>
                <w:szCs w:val="22"/>
              </w:rPr>
            </w:pPr>
            <w:r w:rsidRPr="00E87295">
              <w:rPr>
                <w:sz w:val="22"/>
                <w:szCs w:val="22"/>
              </w:rPr>
              <w:t>69,3%</w:t>
            </w:r>
          </w:p>
        </w:tc>
        <w:tc>
          <w:tcPr>
            <w:tcW w:w="1726" w:type="dxa"/>
            <w:tcBorders>
              <w:top w:val="nil"/>
            </w:tcBorders>
            <w:shd w:val="clear" w:color="auto" w:fill="auto"/>
          </w:tcPr>
          <w:p w14:paraId="5CACA6A3" w14:textId="77777777" w:rsidR="007671AA" w:rsidRPr="00E87295" w:rsidRDefault="007671AA" w:rsidP="00E87295">
            <w:pPr>
              <w:jc w:val="both"/>
              <w:rPr>
                <w:sz w:val="22"/>
                <w:szCs w:val="22"/>
              </w:rPr>
            </w:pPr>
            <w:r w:rsidRPr="00E87295">
              <w:rPr>
                <w:sz w:val="22"/>
                <w:szCs w:val="22"/>
              </w:rPr>
              <w:t>83,0%</w:t>
            </w:r>
          </w:p>
        </w:tc>
        <w:tc>
          <w:tcPr>
            <w:tcW w:w="1726" w:type="dxa"/>
            <w:tcBorders>
              <w:top w:val="nil"/>
            </w:tcBorders>
            <w:shd w:val="clear" w:color="auto" w:fill="auto"/>
          </w:tcPr>
          <w:p w14:paraId="6681A709" w14:textId="77777777" w:rsidR="007671AA" w:rsidRPr="00E87295" w:rsidRDefault="007671AA" w:rsidP="00E87295">
            <w:pPr>
              <w:jc w:val="both"/>
              <w:rPr>
                <w:sz w:val="22"/>
                <w:szCs w:val="22"/>
              </w:rPr>
            </w:pPr>
            <w:r w:rsidRPr="00E87295">
              <w:rPr>
                <w:sz w:val="22"/>
                <w:szCs w:val="22"/>
              </w:rPr>
              <w:t>77,1%</w:t>
            </w:r>
          </w:p>
        </w:tc>
        <w:tc>
          <w:tcPr>
            <w:tcW w:w="1727" w:type="dxa"/>
            <w:gridSpan w:val="2"/>
            <w:tcBorders>
              <w:top w:val="nil"/>
            </w:tcBorders>
            <w:shd w:val="clear" w:color="auto" w:fill="auto"/>
          </w:tcPr>
          <w:p w14:paraId="16F1ECB9" w14:textId="77777777" w:rsidR="007671AA" w:rsidRPr="00E87295" w:rsidRDefault="007671AA" w:rsidP="00E87295">
            <w:pPr>
              <w:jc w:val="both"/>
              <w:rPr>
                <w:sz w:val="22"/>
                <w:szCs w:val="22"/>
              </w:rPr>
            </w:pPr>
            <w:r w:rsidRPr="00E87295">
              <w:rPr>
                <w:sz w:val="22"/>
                <w:szCs w:val="22"/>
              </w:rPr>
              <w:t>84,4%</w:t>
            </w:r>
          </w:p>
        </w:tc>
      </w:tr>
      <w:tr w:rsidR="007671AA" w:rsidRPr="00E87295" w14:paraId="22A189B0" w14:textId="77777777" w:rsidTr="006846CF">
        <w:trPr>
          <w:cantSplit/>
          <w:jc w:val="center"/>
        </w:trPr>
        <w:tc>
          <w:tcPr>
            <w:tcW w:w="9286" w:type="dxa"/>
            <w:gridSpan w:val="6"/>
            <w:tcBorders>
              <w:bottom w:val="single" w:sz="4" w:space="0" w:color="auto"/>
            </w:tcBorders>
            <w:shd w:val="clear" w:color="auto" w:fill="auto"/>
          </w:tcPr>
          <w:p w14:paraId="2D3D458A" w14:textId="77777777" w:rsidR="007671AA" w:rsidRPr="00E87295" w:rsidRDefault="007671AA" w:rsidP="00E87295">
            <w:pPr>
              <w:keepNext/>
              <w:keepLines/>
              <w:jc w:val="both"/>
              <w:rPr>
                <w:b/>
                <w:bCs/>
                <w:sz w:val="22"/>
                <w:szCs w:val="22"/>
              </w:rPr>
            </w:pPr>
            <w:r w:rsidRPr="00E87295">
              <w:rPr>
                <w:b/>
                <w:bCs/>
                <w:sz w:val="22"/>
                <w:szCs w:val="22"/>
              </w:rPr>
              <w:t>PASI 90</w:t>
            </w:r>
          </w:p>
        </w:tc>
      </w:tr>
      <w:tr w:rsidR="0082786A" w:rsidRPr="00E87295" w14:paraId="2AB9290E" w14:textId="77777777" w:rsidTr="006846CF">
        <w:trPr>
          <w:cantSplit/>
          <w:jc w:val="center"/>
        </w:trPr>
        <w:tc>
          <w:tcPr>
            <w:tcW w:w="2381" w:type="dxa"/>
            <w:tcBorders>
              <w:bottom w:val="nil"/>
            </w:tcBorders>
            <w:shd w:val="clear" w:color="auto" w:fill="auto"/>
          </w:tcPr>
          <w:p w14:paraId="2A2BF483" w14:textId="77777777" w:rsidR="007671AA" w:rsidRPr="00E87295" w:rsidRDefault="007671AA" w:rsidP="00E87295">
            <w:pPr>
              <w:jc w:val="both"/>
              <w:rPr>
                <w:b/>
                <w:bCs/>
                <w:sz w:val="22"/>
                <w:szCs w:val="22"/>
              </w:rPr>
            </w:pPr>
            <w:r w:rsidRPr="00E87295">
              <w:rPr>
                <w:sz w:val="22"/>
                <w:szCs w:val="22"/>
              </w:rPr>
              <w:t>N</w:t>
            </w:r>
            <w:r w:rsidRPr="00E87295">
              <w:rPr>
                <w:sz w:val="22"/>
                <w:szCs w:val="22"/>
                <w:vertAlign w:val="superscript"/>
              </w:rPr>
              <w:t>b</w:t>
            </w:r>
          </w:p>
        </w:tc>
        <w:tc>
          <w:tcPr>
            <w:tcW w:w="1726" w:type="dxa"/>
            <w:tcBorders>
              <w:bottom w:val="nil"/>
            </w:tcBorders>
            <w:shd w:val="clear" w:color="auto" w:fill="auto"/>
          </w:tcPr>
          <w:p w14:paraId="73501BAE" w14:textId="77777777" w:rsidR="007671AA" w:rsidRPr="00E87295" w:rsidRDefault="007671AA" w:rsidP="00E87295">
            <w:pPr>
              <w:jc w:val="both"/>
              <w:rPr>
                <w:sz w:val="22"/>
                <w:szCs w:val="22"/>
              </w:rPr>
            </w:pPr>
            <w:r w:rsidRPr="00E87295">
              <w:rPr>
                <w:sz w:val="22"/>
                <w:szCs w:val="22"/>
              </w:rPr>
              <w:t>75</w:t>
            </w:r>
          </w:p>
        </w:tc>
        <w:tc>
          <w:tcPr>
            <w:tcW w:w="1726" w:type="dxa"/>
            <w:tcBorders>
              <w:bottom w:val="nil"/>
            </w:tcBorders>
            <w:shd w:val="clear" w:color="auto" w:fill="auto"/>
          </w:tcPr>
          <w:p w14:paraId="6342D719" w14:textId="77777777" w:rsidR="007671AA" w:rsidRPr="00E87295" w:rsidRDefault="007671AA" w:rsidP="00E87295">
            <w:pPr>
              <w:jc w:val="both"/>
              <w:rPr>
                <w:sz w:val="22"/>
                <w:szCs w:val="22"/>
              </w:rPr>
            </w:pPr>
            <w:r w:rsidRPr="00E87295">
              <w:rPr>
                <w:sz w:val="22"/>
                <w:szCs w:val="22"/>
              </w:rPr>
              <w:t>88</w:t>
            </w:r>
          </w:p>
        </w:tc>
        <w:tc>
          <w:tcPr>
            <w:tcW w:w="1726" w:type="dxa"/>
            <w:tcBorders>
              <w:bottom w:val="nil"/>
            </w:tcBorders>
            <w:shd w:val="clear" w:color="auto" w:fill="auto"/>
          </w:tcPr>
          <w:p w14:paraId="1642C1B6" w14:textId="77777777" w:rsidR="007671AA" w:rsidRPr="00E87295" w:rsidRDefault="007671AA" w:rsidP="00E87295">
            <w:pPr>
              <w:jc w:val="both"/>
              <w:rPr>
                <w:sz w:val="22"/>
                <w:szCs w:val="22"/>
              </w:rPr>
            </w:pPr>
            <w:r w:rsidRPr="00E87295">
              <w:rPr>
                <w:sz w:val="22"/>
                <w:szCs w:val="22"/>
              </w:rPr>
              <w:t>170</w:t>
            </w:r>
          </w:p>
        </w:tc>
        <w:tc>
          <w:tcPr>
            <w:tcW w:w="1727" w:type="dxa"/>
            <w:gridSpan w:val="2"/>
            <w:tcBorders>
              <w:bottom w:val="nil"/>
            </w:tcBorders>
            <w:shd w:val="clear" w:color="auto" w:fill="auto"/>
          </w:tcPr>
          <w:p w14:paraId="1A0E1E9D" w14:textId="77777777" w:rsidR="007671AA" w:rsidRPr="00E87295" w:rsidRDefault="007671AA" w:rsidP="00E87295">
            <w:pPr>
              <w:jc w:val="both"/>
              <w:rPr>
                <w:sz w:val="22"/>
                <w:szCs w:val="22"/>
              </w:rPr>
            </w:pPr>
            <w:r w:rsidRPr="00E87295">
              <w:rPr>
                <w:sz w:val="22"/>
                <w:szCs w:val="22"/>
              </w:rPr>
              <w:t>173</w:t>
            </w:r>
          </w:p>
        </w:tc>
      </w:tr>
      <w:tr w:rsidR="0082786A" w:rsidRPr="00E87295" w14:paraId="362B0A6E" w14:textId="77777777" w:rsidTr="006846CF">
        <w:trPr>
          <w:cantSplit/>
          <w:jc w:val="center"/>
        </w:trPr>
        <w:tc>
          <w:tcPr>
            <w:tcW w:w="2381" w:type="dxa"/>
            <w:tcBorders>
              <w:top w:val="nil"/>
              <w:bottom w:val="single" w:sz="4" w:space="0" w:color="auto"/>
            </w:tcBorders>
            <w:shd w:val="clear" w:color="auto" w:fill="auto"/>
          </w:tcPr>
          <w:p w14:paraId="1C68C485" w14:textId="581BD0F3" w:rsidR="007671AA" w:rsidRPr="00E87295" w:rsidRDefault="007671AA">
            <w:pPr>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1726" w:type="dxa"/>
            <w:tcBorders>
              <w:top w:val="nil"/>
              <w:bottom w:val="single" w:sz="4" w:space="0" w:color="auto"/>
            </w:tcBorders>
            <w:shd w:val="clear" w:color="auto" w:fill="auto"/>
          </w:tcPr>
          <w:p w14:paraId="7A47F243" w14:textId="77777777" w:rsidR="007671AA" w:rsidRPr="00E87295" w:rsidRDefault="007671AA" w:rsidP="00E87295">
            <w:pPr>
              <w:jc w:val="both"/>
              <w:rPr>
                <w:sz w:val="22"/>
                <w:szCs w:val="22"/>
              </w:rPr>
            </w:pPr>
            <w:r w:rsidRPr="00E87295">
              <w:rPr>
                <w:sz w:val="22"/>
                <w:szCs w:val="22"/>
              </w:rPr>
              <w:t>66,7%</w:t>
            </w:r>
          </w:p>
        </w:tc>
        <w:tc>
          <w:tcPr>
            <w:tcW w:w="1726" w:type="dxa"/>
            <w:tcBorders>
              <w:top w:val="nil"/>
              <w:bottom w:val="single" w:sz="4" w:space="0" w:color="auto"/>
            </w:tcBorders>
            <w:shd w:val="clear" w:color="auto" w:fill="auto"/>
          </w:tcPr>
          <w:p w14:paraId="3525ED46" w14:textId="77777777" w:rsidR="007671AA" w:rsidRPr="00E87295" w:rsidRDefault="007671AA" w:rsidP="00E87295">
            <w:pPr>
              <w:jc w:val="both"/>
              <w:rPr>
                <w:sz w:val="22"/>
                <w:szCs w:val="22"/>
              </w:rPr>
            </w:pPr>
            <w:r w:rsidRPr="00E87295">
              <w:rPr>
                <w:sz w:val="22"/>
                <w:szCs w:val="22"/>
              </w:rPr>
              <w:t>76,1%</w:t>
            </w:r>
          </w:p>
        </w:tc>
        <w:tc>
          <w:tcPr>
            <w:tcW w:w="1726" w:type="dxa"/>
            <w:tcBorders>
              <w:top w:val="nil"/>
              <w:bottom w:val="single" w:sz="4" w:space="0" w:color="auto"/>
            </w:tcBorders>
            <w:shd w:val="clear" w:color="auto" w:fill="auto"/>
          </w:tcPr>
          <w:p w14:paraId="0B0C76DE" w14:textId="77777777" w:rsidR="007671AA" w:rsidRPr="00E87295" w:rsidRDefault="007671AA" w:rsidP="00E87295">
            <w:pPr>
              <w:jc w:val="both"/>
              <w:rPr>
                <w:sz w:val="22"/>
                <w:szCs w:val="22"/>
              </w:rPr>
            </w:pPr>
            <w:r w:rsidRPr="00E87295">
              <w:rPr>
                <w:sz w:val="22"/>
                <w:szCs w:val="22"/>
              </w:rPr>
              <w:t>77,1%</w:t>
            </w:r>
          </w:p>
        </w:tc>
        <w:tc>
          <w:tcPr>
            <w:tcW w:w="1727" w:type="dxa"/>
            <w:gridSpan w:val="2"/>
            <w:tcBorders>
              <w:top w:val="nil"/>
              <w:bottom w:val="single" w:sz="4" w:space="0" w:color="auto"/>
            </w:tcBorders>
            <w:shd w:val="clear" w:color="auto" w:fill="auto"/>
          </w:tcPr>
          <w:p w14:paraId="7838CD5B" w14:textId="77777777" w:rsidR="007671AA" w:rsidRPr="00E87295" w:rsidRDefault="007671AA" w:rsidP="00E87295">
            <w:pPr>
              <w:jc w:val="both"/>
              <w:rPr>
                <w:sz w:val="22"/>
                <w:szCs w:val="22"/>
              </w:rPr>
            </w:pPr>
            <w:r w:rsidRPr="00E87295">
              <w:rPr>
                <w:sz w:val="22"/>
                <w:szCs w:val="22"/>
              </w:rPr>
              <w:t>81,5%</w:t>
            </w:r>
          </w:p>
        </w:tc>
      </w:tr>
      <w:tr w:rsidR="007671AA" w:rsidRPr="00E87295" w14:paraId="7D896CC7" w14:textId="77777777" w:rsidTr="006846CF">
        <w:trPr>
          <w:cantSplit/>
          <w:jc w:val="center"/>
        </w:trPr>
        <w:tc>
          <w:tcPr>
            <w:tcW w:w="9286" w:type="dxa"/>
            <w:gridSpan w:val="6"/>
            <w:tcBorders>
              <w:left w:val="nil"/>
              <w:bottom w:val="nil"/>
              <w:right w:val="nil"/>
            </w:tcBorders>
            <w:shd w:val="clear" w:color="auto" w:fill="auto"/>
          </w:tcPr>
          <w:p w14:paraId="2C3BE6DE" w14:textId="79CD5267" w:rsidR="007671AA" w:rsidRPr="00E87295" w:rsidRDefault="007671AA" w:rsidP="00E87295">
            <w:pPr>
              <w:ind w:left="284" w:hanging="284"/>
              <w:jc w:val="both"/>
              <w:rPr>
                <w:sz w:val="22"/>
                <w:szCs w:val="22"/>
              </w:rPr>
            </w:pPr>
            <w:r w:rsidRPr="00E87295">
              <w:rPr>
                <w:sz w:val="22"/>
                <w:szCs w:val="22"/>
                <w:vertAlign w:val="superscript"/>
              </w:rPr>
              <w:t>a</w:t>
            </w:r>
            <w:r w:rsidRPr="00E87295">
              <w:rPr>
                <w:sz w:val="22"/>
                <w:szCs w:val="22"/>
              </w:rPr>
              <w:tab/>
            </w:r>
            <w:proofErr w:type="spellStart"/>
            <w:r w:rsidRPr="00E87295">
              <w:rPr>
                <w:sz w:val="22"/>
                <w:szCs w:val="22"/>
              </w:rPr>
              <w:t>Nakon</w:t>
            </w:r>
            <w:proofErr w:type="spellEnd"/>
            <w:r w:rsidRPr="00E87295">
              <w:rPr>
                <w:sz w:val="22"/>
                <w:szCs w:val="22"/>
              </w:rPr>
              <w:t xml:space="preserve"> 24. </w:t>
            </w:r>
            <w:proofErr w:type="spellStart"/>
            <w:r w:rsidRPr="00E87295">
              <w:rPr>
                <w:sz w:val="22"/>
                <w:szCs w:val="22"/>
              </w:rPr>
              <w:t>ned</w:t>
            </w:r>
            <w:r w:rsidR="00B94F3E" w:rsidRPr="00E87295">
              <w:rPr>
                <w:sz w:val="22"/>
                <w:szCs w:val="22"/>
              </w:rPr>
              <w:t>j</w:t>
            </w:r>
            <w:r w:rsidRPr="00E87295">
              <w:rPr>
                <w:sz w:val="22"/>
                <w:szCs w:val="22"/>
              </w:rPr>
              <w:t>elje</w:t>
            </w:r>
            <w:proofErr w:type="spellEnd"/>
            <w:r w:rsidRPr="00E87295">
              <w:rPr>
                <w:sz w:val="22"/>
                <w:szCs w:val="22"/>
              </w:rPr>
              <w:t xml:space="preserve"> </w:t>
            </w:r>
            <w:proofErr w:type="spellStart"/>
            <w:r w:rsidRPr="00E87295">
              <w:rPr>
                <w:sz w:val="22"/>
                <w:szCs w:val="22"/>
              </w:rPr>
              <w:t>nije</w:t>
            </w:r>
            <w:proofErr w:type="spellEnd"/>
            <w:r w:rsidRPr="00E87295">
              <w:rPr>
                <w:sz w:val="22"/>
                <w:szCs w:val="22"/>
              </w:rPr>
              <w:t xml:space="preserve"> </w:t>
            </w:r>
            <w:proofErr w:type="spellStart"/>
            <w:r w:rsidRPr="00E87295">
              <w:rPr>
                <w:sz w:val="22"/>
                <w:szCs w:val="22"/>
              </w:rPr>
              <w:t>postojala</w:t>
            </w:r>
            <w:proofErr w:type="spellEnd"/>
            <w:r w:rsidRPr="00E87295">
              <w:rPr>
                <w:sz w:val="22"/>
                <w:szCs w:val="22"/>
              </w:rPr>
              <w:t xml:space="preserve"> </w:t>
            </w:r>
            <w:proofErr w:type="spellStart"/>
            <w:r w:rsidRPr="00E87295">
              <w:rPr>
                <w:sz w:val="22"/>
                <w:szCs w:val="22"/>
              </w:rPr>
              <w:t>grupa</w:t>
            </w:r>
            <w:proofErr w:type="spellEnd"/>
            <w:r w:rsidRPr="00E87295">
              <w:rPr>
                <w:sz w:val="22"/>
                <w:szCs w:val="22"/>
              </w:rPr>
              <w:t xml:space="preserve"> </w:t>
            </w:r>
            <w:proofErr w:type="spellStart"/>
            <w:r w:rsidRPr="00E87295">
              <w:rPr>
                <w:sz w:val="22"/>
                <w:szCs w:val="22"/>
              </w:rPr>
              <w:t>koja</w:t>
            </w:r>
            <w:proofErr w:type="spellEnd"/>
            <w:r w:rsidRPr="00E87295">
              <w:rPr>
                <w:sz w:val="22"/>
                <w:szCs w:val="22"/>
              </w:rPr>
              <w:t xml:space="preserve"> je </w:t>
            </w:r>
            <w:proofErr w:type="spellStart"/>
            <w:r w:rsidRPr="00E87295">
              <w:rPr>
                <w:sz w:val="22"/>
                <w:szCs w:val="22"/>
              </w:rPr>
              <w:t>primala</w:t>
            </w:r>
            <w:proofErr w:type="spellEnd"/>
            <w:r w:rsidRPr="00E87295">
              <w:rPr>
                <w:sz w:val="22"/>
                <w:szCs w:val="22"/>
              </w:rPr>
              <w:t xml:space="preserve"> placebo.</w:t>
            </w:r>
          </w:p>
          <w:p w14:paraId="1114A260" w14:textId="54DF30ED" w:rsidR="007671AA" w:rsidRPr="00E87295" w:rsidRDefault="007671AA" w:rsidP="00E87295">
            <w:pPr>
              <w:ind w:left="284" w:hanging="284"/>
              <w:jc w:val="both"/>
              <w:rPr>
                <w:sz w:val="22"/>
                <w:szCs w:val="22"/>
              </w:rPr>
            </w:pPr>
            <w:r w:rsidRPr="00E87295">
              <w:rPr>
                <w:sz w:val="22"/>
                <w:szCs w:val="22"/>
                <w:vertAlign w:val="superscript"/>
              </w:rPr>
              <w:t>b</w:t>
            </w:r>
            <w:r w:rsidRPr="00E87295">
              <w:rPr>
                <w:sz w:val="22"/>
                <w:szCs w:val="22"/>
              </w:rPr>
              <w:tab/>
            </w:r>
            <w:proofErr w:type="spellStart"/>
            <w:r w:rsidRPr="00E87295">
              <w:rPr>
                <w:sz w:val="22"/>
                <w:szCs w:val="22"/>
              </w:rPr>
              <w:t>Ispitanici</w:t>
            </w:r>
            <w:proofErr w:type="spellEnd"/>
            <w:r w:rsidRPr="00E87295">
              <w:rPr>
                <w:sz w:val="22"/>
                <w:szCs w:val="22"/>
              </w:rPr>
              <w:t xml:space="preserve"> </w:t>
            </w:r>
            <w:proofErr w:type="spellStart"/>
            <w:r w:rsidRPr="00E87295">
              <w:rPr>
                <w:sz w:val="22"/>
                <w:szCs w:val="22"/>
              </w:rPr>
              <w:t>pogodni</w:t>
            </w:r>
            <w:proofErr w:type="spellEnd"/>
            <w:r w:rsidRPr="00E87295">
              <w:rPr>
                <w:sz w:val="22"/>
                <w:szCs w:val="22"/>
              </w:rPr>
              <w:t xml:space="preserve"> </w:t>
            </w:r>
            <w:proofErr w:type="spellStart"/>
            <w:r w:rsidRPr="00E87295">
              <w:rPr>
                <w:sz w:val="22"/>
                <w:szCs w:val="22"/>
              </w:rPr>
              <w:t>za</w:t>
            </w:r>
            <w:proofErr w:type="spellEnd"/>
            <w:r w:rsidRPr="00E87295">
              <w:rPr>
                <w:sz w:val="22"/>
                <w:szCs w:val="22"/>
              </w:rPr>
              <w:t xml:space="preserve"> </w:t>
            </w:r>
            <w:proofErr w:type="spellStart"/>
            <w:r w:rsidRPr="00E87295">
              <w:rPr>
                <w:sz w:val="22"/>
                <w:szCs w:val="22"/>
              </w:rPr>
              <w:t>proc</w:t>
            </w:r>
            <w:r w:rsidR="00B94F3E" w:rsidRPr="00E87295">
              <w:rPr>
                <w:sz w:val="22"/>
                <w:szCs w:val="22"/>
              </w:rPr>
              <w:t>j</w:t>
            </w:r>
            <w:r w:rsidRPr="00E87295">
              <w:rPr>
                <w:sz w:val="22"/>
                <w:szCs w:val="22"/>
              </w:rPr>
              <w:t>enu</w:t>
            </w:r>
            <w:proofErr w:type="spellEnd"/>
            <w:r w:rsidRPr="00E87295">
              <w:rPr>
                <w:sz w:val="22"/>
                <w:szCs w:val="22"/>
              </w:rPr>
              <w:t xml:space="preserve"> </w:t>
            </w:r>
            <w:proofErr w:type="spellStart"/>
            <w:r w:rsidRPr="00E87295">
              <w:rPr>
                <w:sz w:val="22"/>
                <w:szCs w:val="22"/>
              </w:rPr>
              <w:t>čiji</w:t>
            </w:r>
            <w:proofErr w:type="spellEnd"/>
            <w:r w:rsidRPr="00E87295">
              <w:rPr>
                <w:sz w:val="22"/>
                <w:szCs w:val="22"/>
              </w:rPr>
              <w:t xml:space="preserve"> je status </w:t>
            </w:r>
            <w:proofErr w:type="spellStart"/>
            <w:r w:rsidRPr="00E87295">
              <w:rPr>
                <w:sz w:val="22"/>
                <w:szCs w:val="22"/>
              </w:rPr>
              <w:t>odgovora</w:t>
            </w:r>
            <w:proofErr w:type="spellEnd"/>
            <w:r w:rsidRPr="00E87295">
              <w:rPr>
                <w:sz w:val="22"/>
                <w:szCs w:val="22"/>
              </w:rPr>
              <w:t xml:space="preserve"> bio </w:t>
            </w:r>
            <w:proofErr w:type="spellStart"/>
            <w:r w:rsidRPr="00E87295">
              <w:rPr>
                <w:sz w:val="22"/>
                <w:szCs w:val="22"/>
              </w:rPr>
              <w:t>poznat</w:t>
            </w:r>
            <w:proofErr w:type="spellEnd"/>
            <w:r w:rsidRPr="00E87295">
              <w:rPr>
                <w:sz w:val="22"/>
                <w:szCs w:val="22"/>
              </w:rPr>
              <w:t>.</w:t>
            </w:r>
          </w:p>
          <w:p w14:paraId="5FA5FA8A" w14:textId="1164E983" w:rsidR="007671AA" w:rsidRPr="00E87295" w:rsidRDefault="007671AA" w:rsidP="00E87295">
            <w:pPr>
              <w:ind w:left="284" w:hanging="284"/>
              <w:jc w:val="both"/>
              <w:rPr>
                <w:noProof/>
                <w:sz w:val="22"/>
                <w:szCs w:val="22"/>
                <w:lang w:val="hr-HR"/>
              </w:rPr>
            </w:pPr>
            <w:r w:rsidRPr="00E87295">
              <w:rPr>
                <w:sz w:val="22"/>
                <w:szCs w:val="22"/>
                <w:vertAlign w:val="superscript"/>
                <w:lang w:val="hr-HR"/>
              </w:rPr>
              <w:t>c</w:t>
            </w:r>
            <w:r w:rsidRPr="00E87295">
              <w:rPr>
                <w:sz w:val="22"/>
                <w:szCs w:val="22"/>
                <w:lang w:val="hr-HR"/>
              </w:rPr>
              <w:tab/>
            </w:r>
            <w:proofErr w:type="spellStart"/>
            <w:r w:rsidRPr="00E87295">
              <w:rPr>
                <w:sz w:val="22"/>
                <w:szCs w:val="22"/>
              </w:rPr>
              <w:t>Ispitanici</w:t>
            </w:r>
            <w:proofErr w:type="spellEnd"/>
            <w:r w:rsidRPr="00E87295">
              <w:rPr>
                <w:sz w:val="22"/>
                <w:szCs w:val="22"/>
              </w:rPr>
              <w:t xml:space="preserve"> </w:t>
            </w:r>
            <w:proofErr w:type="spellStart"/>
            <w:r w:rsidRPr="00E87295">
              <w:rPr>
                <w:sz w:val="22"/>
                <w:szCs w:val="22"/>
              </w:rPr>
              <w:t>kod</w:t>
            </w:r>
            <w:proofErr w:type="spellEnd"/>
            <w:r w:rsidRPr="00E87295">
              <w:rPr>
                <w:sz w:val="22"/>
                <w:szCs w:val="22"/>
              </w:rPr>
              <w:t xml:space="preserve"> </w:t>
            </w:r>
            <w:proofErr w:type="spellStart"/>
            <w:r w:rsidRPr="00E87295">
              <w:rPr>
                <w:sz w:val="22"/>
                <w:szCs w:val="22"/>
              </w:rPr>
              <w:t>kojih</w:t>
            </w:r>
            <w:proofErr w:type="spellEnd"/>
            <w:r w:rsidRPr="00E87295">
              <w:rPr>
                <w:sz w:val="22"/>
                <w:szCs w:val="22"/>
              </w:rPr>
              <w:t xml:space="preserve"> je </w:t>
            </w:r>
            <w:proofErr w:type="spellStart"/>
            <w:r w:rsidRPr="00E87295">
              <w:rPr>
                <w:sz w:val="22"/>
                <w:szCs w:val="22"/>
              </w:rPr>
              <w:t>uočena</w:t>
            </w:r>
            <w:proofErr w:type="spellEnd"/>
            <w:r w:rsidRPr="00E87295">
              <w:rPr>
                <w:sz w:val="22"/>
                <w:szCs w:val="22"/>
              </w:rPr>
              <w:t xml:space="preserve"> </w:t>
            </w:r>
            <w:proofErr w:type="spellStart"/>
            <w:r w:rsidRPr="00E87295">
              <w:rPr>
                <w:sz w:val="22"/>
                <w:szCs w:val="22"/>
              </w:rPr>
              <w:t>prom</w:t>
            </w:r>
            <w:r w:rsidR="00B94F3E" w:rsidRPr="00E87295">
              <w:rPr>
                <w:sz w:val="22"/>
                <w:szCs w:val="22"/>
              </w:rPr>
              <w:t>j</w:t>
            </w:r>
            <w:r w:rsidRPr="00E87295">
              <w:rPr>
                <w:sz w:val="22"/>
                <w:szCs w:val="22"/>
              </w:rPr>
              <w:t>ena</w:t>
            </w:r>
            <w:proofErr w:type="spellEnd"/>
            <w:r w:rsidRPr="00E87295">
              <w:rPr>
                <w:sz w:val="22"/>
                <w:szCs w:val="22"/>
              </w:rPr>
              <w:t xml:space="preserve"> </w:t>
            </w:r>
            <w:proofErr w:type="spellStart"/>
            <w:r w:rsidRPr="00E87295">
              <w:rPr>
                <w:sz w:val="22"/>
                <w:szCs w:val="22"/>
              </w:rPr>
              <w:t>od</w:t>
            </w:r>
            <w:proofErr w:type="spellEnd"/>
            <w:r w:rsidRPr="00E87295">
              <w:rPr>
                <w:sz w:val="22"/>
                <w:szCs w:val="22"/>
              </w:rPr>
              <w:t xml:space="preserve"> </w:t>
            </w:r>
            <w:proofErr w:type="spellStart"/>
            <w:r w:rsidRPr="00E87295">
              <w:rPr>
                <w:sz w:val="22"/>
                <w:szCs w:val="22"/>
              </w:rPr>
              <w:t>početka</w:t>
            </w:r>
            <w:proofErr w:type="spellEnd"/>
            <w:r w:rsidRPr="00E87295">
              <w:rPr>
                <w:sz w:val="22"/>
                <w:szCs w:val="22"/>
              </w:rPr>
              <w:t xml:space="preserve"> </w:t>
            </w:r>
            <w:proofErr w:type="spellStart"/>
            <w:r w:rsidRPr="00E87295">
              <w:rPr>
                <w:sz w:val="22"/>
                <w:szCs w:val="22"/>
              </w:rPr>
              <w:t>ispitivanja</w:t>
            </w:r>
            <w:proofErr w:type="spellEnd"/>
            <w:r w:rsidRPr="00E87295">
              <w:rPr>
                <w:sz w:val="22"/>
                <w:szCs w:val="22"/>
                <w:lang w:val="hr-HR"/>
              </w:rPr>
              <w:t xml:space="preserve">. </w:t>
            </w:r>
          </w:p>
        </w:tc>
      </w:tr>
    </w:tbl>
    <w:p w14:paraId="1F401703" w14:textId="78BF7E44" w:rsidR="007671AA" w:rsidRPr="00E87295" w:rsidRDefault="007671AA" w:rsidP="00E87295">
      <w:pPr>
        <w:jc w:val="both"/>
        <w:rPr>
          <w:sz w:val="22"/>
          <w:szCs w:val="22"/>
          <w:lang w:val="sr-Latn-RS"/>
        </w:rPr>
      </w:pPr>
    </w:p>
    <w:p w14:paraId="655BEF09" w14:textId="3E2BE546" w:rsidR="007671AA" w:rsidRPr="00E87295" w:rsidRDefault="00A754C1" w:rsidP="00E87295">
      <w:pPr>
        <w:jc w:val="both"/>
        <w:rPr>
          <w:sz w:val="22"/>
          <w:szCs w:val="22"/>
          <w:lang w:val="sr-Latn-RS"/>
        </w:rPr>
      </w:pPr>
      <w:r w:rsidRPr="00E87295">
        <w:rPr>
          <w:sz w:val="22"/>
          <w:szCs w:val="22"/>
          <w:lang w:val="sr-Latn-RS"/>
        </w:rPr>
        <w:t>Klinički odgovor održao se do 100. ned</w:t>
      </w:r>
      <w:r w:rsidR="00C7727A" w:rsidRPr="00E87295">
        <w:rPr>
          <w:sz w:val="22"/>
          <w:szCs w:val="22"/>
          <w:lang w:val="sr-Latn-RS"/>
        </w:rPr>
        <w:t>j</w:t>
      </w:r>
      <w:r w:rsidRPr="00E87295">
        <w:rPr>
          <w:sz w:val="22"/>
          <w:szCs w:val="22"/>
          <w:lang w:val="sr-Latn-RS"/>
        </w:rPr>
        <w:t>elje, sudeći prema stopama odgovora ACR 20/50/70, DAS 28 (CRP), MDA, IGA i PASI 90 u DISCOVER 1 i DISCOVER 2 (</w:t>
      </w:r>
      <w:r w:rsidR="006846CF" w:rsidRPr="00E87295">
        <w:rPr>
          <w:sz w:val="22"/>
          <w:szCs w:val="22"/>
          <w:lang w:val="sr-Latn-RS"/>
        </w:rPr>
        <w:t>vidjeti</w:t>
      </w:r>
      <w:r w:rsidRPr="00E87295">
        <w:rPr>
          <w:sz w:val="22"/>
          <w:szCs w:val="22"/>
          <w:lang w:val="sr-Latn-RS"/>
        </w:rPr>
        <w:t xml:space="preserve"> Tabelu 10).</w:t>
      </w:r>
    </w:p>
    <w:p w14:paraId="619DDB41" w14:textId="0AD6479B" w:rsidR="00A754C1" w:rsidRPr="00E87295" w:rsidRDefault="00A754C1" w:rsidP="00E87295">
      <w:pPr>
        <w:jc w:val="both"/>
        <w:rPr>
          <w:sz w:val="22"/>
          <w:szCs w:val="22"/>
          <w:lang w:val="sr-Latn-R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4"/>
        <w:gridCol w:w="3025"/>
      </w:tblGrid>
      <w:tr w:rsidR="00A754C1" w:rsidRPr="00C929E2" w14:paraId="5943ACE9" w14:textId="77777777" w:rsidTr="006846CF">
        <w:trPr>
          <w:cantSplit/>
          <w:jc w:val="center"/>
        </w:trPr>
        <w:tc>
          <w:tcPr>
            <w:tcW w:w="9286" w:type="dxa"/>
            <w:gridSpan w:val="3"/>
            <w:tcBorders>
              <w:top w:val="nil"/>
              <w:left w:val="nil"/>
              <w:right w:val="nil"/>
            </w:tcBorders>
            <w:shd w:val="clear" w:color="auto" w:fill="auto"/>
          </w:tcPr>
          <w:p w14:paraId="7AC100AB" w14:textId="350796F5" w:rsidR="00A754C1" w:rsidRPr="00C929E2" w:rsidRDefault="00A754C1" w:rsidP="00E87295">
            <w:pPr>
              <w:keepNext/>
              <w:ind w:left="1134" w:hanging="1134"/>
              <w:jc w:val="both"/>
              <w:rPr>
                <w:b/>
                <w:bCs/>
                <w:sz w:val="22"/>
                <w:szCs w:val="22"/>
                <w:lang w:val="sr-Latn-RS"/>
              </w:rPr>
            </w:pPr>
            <w:r w:rsidRPr="00C929E2">
              <w:rPr>
                <w:b/>
                <w:bCs/>
                <w:sz w:val="22"/>
                <w:szCs w:val="22"/>
                <w:lang w:val="sr-Latn-RS"/>
              </w:rPr>
              <w:lastRenderedPageBreak/>
              <w:t>Tab</w:t>
            </w:r>
            <w:r w:rsidR="0082786A" w:rsidRPr="00C929E2">
              <w:rPr>
                <w:b/>
                <w:bCs/>
                <w:sz w:val="22"/>
                <w:szCs w:val="22"/>
                <w:lang w:val="sr-Latn-RS"/>
              </w:rPr>
              <w:t>ela</w:t>
            </w:r>
            <w:r w:rsidRPr="00C929E2">
              <w:rPr>
                <w:b/>
                <w:bCs/>
                <w:sz w:val="22"/>
                <w:szCs w:val="22"/>
                <w:lang w:val="sr-Latn-RS"/>
              </w:rPr>
              <w:t> 10:</w:t>
            </w:r>
            <w:r w:rsidRPr="00C929E2">
              <w:rPr>
                <w:b/>
                <w:bCs/>
                <w:sz w:val="22"/>
                <w:szCs w:val="22"/>
                <w:lang w:val="sr-Latn-RS"/>
              </w:rPr>
              <w:tab/>
              <w:t>Klinički odgovori u ispitivanju DISCOVER 2 nakon 100 ned</w:t>
            </w:r>
            <w:r w:rsidR="00C7727A" w:rsidRPr="00C929E2">
              <w:rPr>
                <w:b/>
                <w:bCs/>
                <w:sz w:val="22"/>
                <w:szCs w:val="22"/>
                <w:lang w:val="sr-Latn-RS"/>
              </w:rPr>
              <w:t>j</w:t>
            </w:r>
            <w:r w:rsidRPr="00C929E2">
              <w:rPr>
                <w:b/>
                <w:bCs/>
                <w:sz w:val="22"/>
                <w:szCs w:val="22"/>
                <w:lang w:val="sr-Latn-RS"/>
              </w:rPr>
              <w:t>elja</w:t>
            </w:r>
            <w:r w:rsidRPr="00C929E2">
              <w:rPr>
                <w:b/>
                <w:bCs/>
                <w:sz w:val="22"/>
                <w:szCs w:val="22"/>
                <w:vertAlign w:val="superscript"/>
                <w:lang w:val="sr-Latn-RS"/>
              </w:rPr>
              <w:t>a</w:t>
            </w:r>
          </w:p>
        </w:tc>
      </w:tr>
      <w:tr w:rsidR="00A754C1" w:rsidRPr="00E87295" w14:paraId="411AE719" w14:textId="77777777" w:rsidTr="006846CF">
        <w:trPr>
          <w:cantSplit/>
          <w:jc w:val="center"/>
        </w:trPr>
        <w:tc>
          <w:tcPr>
            <w:tcW w:w="3095" w:type="dxa"/>
            <w:shd w:val="clear" w:color="auto" w:fill="auto"/>
          </w:tcPr>
          <w:p w14:paraId="144D4C2D" w14:textId="77777777" w:rsidR="00A754C1" w:rsidRPr="00C929E2" w:rsidRDefault="00A754C1" w:rsidP="00E87295">
            <w:pPr>
              <w:keepNext/>
              <w:jc w:val="both"/>
              <w:rPr>
                <w:sz w:val="22"/>
                <w:szCs w:val="22"/>
                <w:lang w:val="sr-Latn-RS"/>
              </w:rPr>
            </w:pPr>
          </w:p>
        </w:tc>
        <w:tc>
          <w:tcPr>
            <w:tcW w:w="3095" w:type="dxa"/>
            <w:shd w:val="clear" w:color="auto" w:fill="auto"/>
          </w:tcPr>
          <w:p w14:paraId="7470128A" w14:textId="77777777" w:rsidR="00A754C1" w:rsidRPr="00E87295" w:rsidRDefault="00A754C1" w:rsidP="00E87295">
            <w:pPr>
              <w:keepNext/>
              <w:jc w:val="both"/>
              <w:rPr>
                <w:sz w:val="22"/>
                <w:szCs w:val="22"/>
              </w:rPr>
            </w:pPr>
            <w:proofErr w:type="spellStart"/>
            <w:r w:rsidRPr="00E87295">
              <w:rPr>
                <w:sz w:val="22"/>
                <w:szCs w:val="22"/>
              </w:rPr>
              <w:t>guselkumab</w:t>
            </w:r>
            <w:proofErr w:type="spellEnd"/>
          </w:p>
          <w:p w14:paraId="0A84412E" w14:textId="041A1BDB" w:rsidR="00A754C1" w:rsidRPr="00E87295" w:rsidRDefault="00A754C1" w:rsidP="00E87295">
            <w:pPr>
              <w:keepNext/>
              <w:jc w:val="both"/>
              <w:rPr>
                <w:sz w:val="22"/>
                <w:szCs w:val="22"/>
              </w:rPr>
            </w:pPr>
            <w:r w:rsidRPr="00E87295">
              <w:rPr>
                <w:sz w:val="22"/>
                <w:szCs w:val="22"/>
              </w:rPr>
              <w:t xml:space="preserve">100 mg </w:t>
            </w:r>
            <w:proofErr w:type="spellStart"/>
            <w:r w:rsidRPr="00E87295">
              <w:rPr>
                <w:sz w:val="22"/>
                <w:szCs w:val="22"/>
              </w:rPr>
              <w:t>svakih</w:t>
            </w:r>
            <w:proofErr w:type="spellEnd"/>
            <w:r w:rsidRPr="00E87295">
              <w:rPr>
                <w:sz w:val="22"/>
                <w:szCs w:val="22"/>
              </w:rPr>
              <w:t xml:space="preserve"> 8 </w:t>
            </w:r>
            <w:proofErr w:type="spellStart"/>
            <w:r w:rsidRPr="00E87295">
              <w:rPr>
                <w:sz w:val="22"/>
                <w:szCs w:val="22"/>
              </w:rPr>
              <w:t>ned</w:t>
            </w:r>
            <w:r w:rsidR="00E02144" w:rsidRPr="00E87295">
              <w:rPr>
                <w:sz w:val="22"/>
                <w:szCs w:val="22"/>
              </w:rPr>
              <w:t>j</w:t>
            </w:r>
            <w:r w:rsidRPr="00E87295">
              <w:rPr>
                <w:sz w:val="22"/>
                <w:szCs w:val="22"/>
              </w:rPr>
              <w:t>elja</w:t>
            </w:r>
            <w:proofErr w:type="spellEnd"/>
          </w:p>
        </w:tc>
        <w:tc>
          <w:tcPr>
            <w:tcW w:w="3096" w:type="dxa"/>
            <w:shd w:val="clear" w:color="auto" w:fill="auto"/>
          </w:tcPr>
          <w:p w14:paraId="0EC53DBB" w14:textId="77777777" w:rsidR="00A754C1" w:rsidRPr="00E87295" w:rsidRDefault="00A754C1" w:rsidP="00E87295">
            <w:pPr>
              <w:keepNext/>
              <w:jc w:val="both"/>
              <w:rPr>
                <w:sz w:val="22"/>
                <w:szCs w:val="22"/>
              </w:rPr>
            </w:pPr>
            <w:proofErr w:type="spellStart"/>
            <w:r w:rsidRPr="00E87295">
              <w:rPr>
                <w:sz w:val="22"/>
                <w:szCs w:val="22"/>
              </w:rPr>
              <w:t>guselkumab</w:t>
            </w:r>
            <w:proofErr w:type="spellEnd"/>
          </w:p>
          <w:p w14:paraId="3FDDF55E" w14:textId="6C729211" w:rsidR="00A754C1" w:rsidRPr="00E87295" w:rsidRDefault="00A754C1" w:rsidP="00E87295">
            <w:pPr>
              <w:keepNext/>
              <w:jc w:val="both"/>
              <w:rPr>
                <w:sz w:val="22"/>
                <w:szCs w:val="22"/>
              </w:rPr>
            </w:pPr>
            <w:r w:rsidRPr="00E87295">
              <w:rPr>
                <w:sz w:val="22"/>
                <w:szCs w:val="22"/>
              </w:rPr>
              <w:t xml:space="preserve">100 mg </w:t>
            </w:r>
            <w:proofErr w:type="spellStart"/>
            <w:r w:rsidRPr="00E87295">
              <w:rPr>
                <w:sz w:val="22"/>
                <w:szCs w:val="22"/>
              </w:rPr>
              <w:t>svakih</w:t>
            </w:r>
            <w:proofErr w:type="spellEnd"/>
            <w:r w:rsidRPr="00E87295">
              <w:rPr>
                <w:sz w:val="22"/>
                <w:szCs w:val="22"/>
              </w:rPr>
              <w:t xml:space="preserve"> 4 </w:t>
            </w:r>
            <w:proofErr w:type="spellStart"/>
            <w:r w:rsidRPr="00E87295">
              <w:rPr>
                <w:sz w:val="22"/>
                <w:szCs w:val="22"/>
              </w:rPr>
              <w:t>ned</w:t>
            </w:r>
            <w:r w:rsidR="00E02144" w:rsidRPr="00E87295">
              <w:rPr>
                <w:sz w:val="22"/>
                <w:szCs w:val="22"/>
              </w:rPr>
              <w:t>j</w:t>
            </w:r>
            <w:r w:rsidRPr="00E87295">
              <w:rPr>
                <w:sz w:val="22"/>
                <w:szCs w:val="22"/>
              </w:rPr>
              <w:t>elja</w:t>
            </w:r>
            <w:proofErr w:type="spellEnd"/>
          </w:p>
        </w:tc>
      </w:tr>
      <w:tr w:rsidR="00A754C1" w:rsidRPr="00E87295" w14:paraId="395AF2F4" w14:textId="77777777" w:rsidTr="006846CF">
        <w:trPr>
          <w:cantSplit/>
          <w:jc w:val="center"/>
        </w:trPr>
        <w:tc>
          <w:tcPr>
            <w:tcW w:w="9286" w:type="dxa"/>
            <w:gridSpan w:val="3"/>
            <w:shd w:val="clear" w:color="auto" w:fill="auto"/>
          </w:tcPr>
          <w:p w14:paraId="40207CA7" w14:textId="77777777" w:rsidR="00A754C1" w:rsidRPr="00E87295" w:rsidRDefault="00A754C1" w:rsidP="00E87295">
            <w:pPr>
              <w:keepNext/>
              <w:jc w:val="both"/>
              <w:rPr>
                <w:sz w:val="22"/>
                <w:szCs w:val="22"/>
              </w:rPr>
            </w:pPr>
            <w:r w:rsidRPr="00E87295">
              <w:rPr>
                <w:b/>
                <w:bCs/>
                <w:sz w:val="22"/>
                <w:szCs w:val="22"/>
              </w:rPr>
              <w:t>ACR 20</w:t>
            </w:r>
          </w:p>
        </w:tc>
      </w:tr>
      <w:tr w:rsidR="00A754C1" w:rsidRPr="00E87295" w14:paraId="4402EC6F" w14:textId="77777777" w:rsidTr="006846CF">
        <w:trPr>
          <w:cantSplit/>
          <w:jc w:val="center"/>
        </w:trPr>
        <w:tc>
          <w:tcPr>
            <w:tcW w:w="3095" w:type="dxa"/>
            <w:shd w:val="clear" w:color="auto" w:fill="auto"/>
          </w:tcPr>
          <w:p w14:paraId="71273DC6" w14:textId="77777777" w:rsidR="00A754C1" w:rsidRPr="00E87295" w:rsidRDefault="00A754C1" w:rsidP="00E87295">
            <w:pPr>
              <w:jc w:val="both"/>
              <w:rPr>
                <w:sz w:val="22"/>
                <w:szCs w:val="22"/>
              </w:rPr>
            </w:pPr>
            <w:r w:rsidRPr="00E87295">
              <w:rPr>
                <w:sz w:val="22"/>
                <w:szCs w:val="22"/>
              </w:rPr>
              <w:t>N</w:t>
            </w:r>
            <w:r w:rsidRPr="00E87295">
              <w:rPr>
                <w:sz w:val="22"/>
                <w:szCs w:val="22"/>
                <w:vertAlign w:val="superscript"/>
              </w:rPr>
              <w:t>b</w:t>
            </w:r>
          </w:p>
        </w:tc>
        <w:tc>
          <w:tcPr>
            <w:tcW w:w="3095" w:type="dxa"/>
            <w:shd w:val="clear" w:color="auto" w:fill="auto"/>
          </w:tcPr>
          <w:p w14:paraId="0979CB8B" w14:textId="77777777" w:rsidR="00A754C1" w:rsidRPr="00E87295" w:rsidRDefault="00A754C1" w:rsidP="00E87295">
            <w:pPr>
              <w:jc w:val="both"/>
              <w:rPr>
                <w:sz w:val="22"/>
                <w:szCs w:val="22"/>
              </w:rPr>
            </w:pPr>
            <w:r w:rsidRPr="00E87295">
              <w:rPr>
                <w:sz w:val="22"/>
                <w:szCs w:val="22"/>
              </w:rPr>
              <w:t>223</w:t>
            </w:r>
          </w:p>
        </w:tc>
        <w:tc>
          <w:tcPr>
            <w:tcW w:w="3096" w:type="dxa"/>
            <w:shd w:val="clear" w:color="auto" w:fill="auto"/>
          </w:tcPr>
          <w:p w14:paraId="20825BA7" w14:textId="77777777" w:rsidR="00A754C1" w:rsidRPr="00E87295" w:rsidRDefault="00A754C1" w:rsidP="00E87295">
            <w:pPr>
              <w:jc w:val="both"/>
              <w:rPr>
                <w:sz w:val="22"/>
                <w:szCs w:val="22"/>
              </w:rPr>
            </w:pPr>
            <w:r w:rsidRPr="00E87295">
              <w:rPr>
                <w:sz w:val="22"/>
                <w:szCs w:val="22"/>
              </w:rPr>
              <w:t>219</w:t>
            </w:r>
          </w:p>
        </w:tc>
      </w:tr>
      <w:tr w:rsidR="00A754C1" w:rsidRPr="00E87295" w14:paraId="2694A7C7" w14:textId="77777777" w:rsidTr="006846CF">
        <w:trPr>
          <w:cantSplit/>
          <w:jc w:val="center"/>
        </w:trPr>
        <w:tc>
          <w:tcPr>
            <w:tcW w:w="3095" w:type="dxa"/>
            <w:shd w:val="clear" w:color="auto" w:fill="auto"/>
          </w:tcPr>
          <w:p w14:paraId="3F354533" w14:textId="7F36F763" w:rsidR="00A754C1" w:rsidRPr="00E87295" w:rsidRDefault="00A754C1" w:rsidP="00E87295">
            <w:pPr>
              <w:jc w:val="both"/>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3095" w:type="dxa"/>
            <w:shd w:val="clear" w:color="auto" w:fill="auto"/>
          </w:tcPr>
          <w:p w14:paraId="79AC9E6C" w14:textId="77777777" w:rsidR="00A754C1" w:rsidRPr="00E87295" w:rsidRDefault="00A754C1" w:rsidP="00E87295">
            <w:pPr>
              <w:jc w:val="both"/>
              <w:rPr>
                <w:sz w:val="22"/>
                <w:szCs w:val="22"/>
              </w:rPr>
            </w:pPr>
            <w:r w:rsidRPr="00E87295">
              <w:rPr>
                <w:sz w:val="22"/>
                <w:szCs w:val="22"/>
              </w:rPr>
              <w:t>82,1%</w:t>
            </w:r>
          </w:p>
        </w:tc>
        <w:tc>
          <w:tcPr>
            <w:tcW w:w="3096" w:type="dxa"/>
            <w:shd w:val="clear" w:color="auto" w:fill="auto"/>
          </w:tcPr>
          <w:p w14:paraId="6E46A0D3" w14:textId="77777777" w:rsidR="00A754C1" w:rsidRPr="00E87295" w:rsidRDefault="00A754C1" w:rsidP="00E87295">
            <w:pPr>
              <w:jc w:val="both"/>
              <w:rPr>
                <w:sz w:val="22"/>
                <w:szCs w:val="22"/>
              </w:rPr>
            </w:pPr>
            <w:r w:rsidRPr="00E87295">
              <w:rPr>
                <w:sz w:val="22"/>
                <w:szCs w:val="22"/>
              </w:rPr>
              <w:t>84,9%</w:t>
            </w:r>
          </w:p>
        </w:tc>
      </w:tr>
      <w:tr w:rsidR="00A754C1" w:rsidRPr="00E87295" w14:paraId="71368F5E" w14:textId="77777777" w:rsidTr="006846CF">
        <w:trPr>
          <w:cantSplit/>
          <w:jc w:val="center"/>
        </w:trPr>
        <w:tc>
          <w:tcPr>
            <w:tcW w:w="9286" w:type="dxa"/>
            <w:gridSpan w:val="3"/>
            <w:shd w:val="clear" w:color="auto" w:fill="auto"/>
          </w:tcPr>
          <w:p w14:paraId="2FF55124" w14:textId="77777777" w:rsidR="00A754C1" w:rsidRPr="00E87295" w:rsidRDefault="00A754C1" w:rsidP="00E87295">
            <w:pPr>
              <w:keepNext/>
              <w:jc w:val="both"/>
              <w:rPr>
                <w:sz w:val="22"/>
                <w:szCs w:val="22"/>
              </w:rPr>
            </w:pPr>
            <w:r w:rsidRPr="00E87295">
              <w:rPr>
                <w:b/>
                <w:bCs/>
                <w:sz w:val="22"/>
                <w:szCs w:val="22"/>
              </w:rPr>
              <w:t>ACR 50</w:t>
            </w:r>
          </w:p>
        </w:tc>
      </w:tr>
      <w:tr w:rsidR="00A754C1" w:rsidRPr="00E87295" w14:paraId="18E818DC" w14:textId="77777777" w:rsidTr="006846CF">
        <w:trPr>
          <w:cantSplit/>
          <w:jc w:val="center"/>
        </w:trPr>
        <w:tc>
          <w:tcPr>
            <w:tcW w:w="3095" w:type="dxa"/>
            <w:shd w:val="clear" w:color="auto" w:fill="auto"/>
          </w:tcPr>
          <w:p w14:paraId="5526F951" w14:textId="77777777" w:rsidR="00A754C1" w:rsidRPr="00E87295" w:rsidRDefault="00A754C1" w:rsidP="00E87295">
            <w:pPr>
              <w:jc w:val="both"/>
              <w:rPr>
                <w:sz w:val="22"/>
                <w:szCs w:val="22"/>
              </w:rPr>
            </w:pPr>
            <w:r w:rsidRPr="00E87295">
              <w:rPr>
                <w:sz w:val="22"/>
                <w:szCs w:val="22"/>
              </w:rPr>
              <w:t>N</w:t>
            </w:r>
            <w:r w:rsidRPr="00E87295">
              <w:rPr>
                <w:sz w:val="22"/>
                <w:szCs w:val="22"/>
                <w:vertAlign w:val="superscript"/>
              </w:rPr>
              <w:t>b</w:t>
            </w:r>
          </w:p>
        </w:tc>
        <w:tc>
          <w:tcPr>
            <w:tcW w:w="3095" w:type="dxa"/>
            <w:shd w:val="clear" w:color="auto" w:fill="auto"/>
          </w:tcPr>
          <w:p w14:paraId="53376F1E" w14:textId="77777777" w:rsidR="00A754C1" w:rsidRPr="00E87295" w:rsidRDefault="00A754C1" w:rsidP="00E87295">
            <w:pPr>
              <w:jc w:val="both"/>
              <w:rPr>
                <w:sz w:val="22"/>
                <w:szCs w:val="22"/>
              </w:rPr>
            </w:pPr>
            <w:r w:rsidRPr="00E87295">
              <w:rPr>
                <w:sz w:val="22"/>
                <w:szCs w:val="22"/>
              </w:rPr>
              <w:t>224</w:t>
            </w:r>
          </w:p>
        </w:tc>
        <w:tc>
          <w:tcPr>
            <w:tcW w:w="3096" w:type="dxa"/>
            <w:shd w:val="clear" w:color="auto" w:fill="auto"/>
          </w:tcPr>
          <w:p w14:paraId="10AEB1CF" w14:textId="77777777" w:rsidR="00A754C1" w:rsidRPr="00E87295" w:rsidRDefault="00A754C1" w:rsidP="00E87295">
            <w:pPr>
              <w:jc w:val="both"/>
              <w:rPr>
                <w:sz w:val="22"/>
                <w:szCs w:val="22"/>
              </w:rPr>
            </w:pPr>
            <w:r w:rsidRPr="00E87295">
              <w:rPr>
                <w:sz w:val="22"/>
                <w:szCs w:val="22"/>
              </w:rPr>
              <w:t>220</w:t>
            </w:r>
          </w:p>
        </w:tc>
      </w:tr>
      <w:tr w:rsidR="00A754C1" w:rsidRPr="00E87295" w14:paraId="3500EA66" w14:textId="77777777" w:rsidTr="006846CF">
        <w:trPr>
          <w:cantSplit/>
          <w:jc w:val="center"/>
        </w:trPr>
        <w:tc>
          <w:tcPr>
            <w:tcW w:w="3095" w:type="dxa"/>
            <w:shd w:val="clear" w:color="auto" w:fill="auto"/>
          </w:tcPr>
          <w:p w14:paraId="1B0E6E6A" w14:textId="7ABD8E9E" w:rsidR="00A754C1" w:rsidRPr="00E87295" w:rsidRDefault="00A754C1" w:rsidP="00E87295">
            <w:pPr>
              <w:jc w:val="both"/>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3095" w:type="dxa"/>
            <w:shd w:val="clear" w:color="auto" w:fill="auto"/>
          </w:tcPr>
          <w:p w14:paraId="13AE9EB8" w14:textId="77777777" w:rsidR="00A754C1" w:rsidRPr="00E87295" w:rsidRDefault="00A754C1" w:rsidP="00E87295">
            <w:pPr>
              <w:jc w:val="both"/>
              <w:rPr>
                <w:sz w:val="22"/>
                <w:szCs w:val="22"/>
              </w:rPr>
            </w:pPr>
            <w:r w:rsidRPr="00E87295">
              <w:rPr>
                <w:sz w:val="22"/>
                <w:szCs w:val="22"/>
              </w:rPr>
              <w:t>60,7%</w:t>
            </w:r>
          </w:p>
        </w:tc>
        <w:tc>
          <w:tcPr>
            <w:tcW w:w="3096" w:type="dxa"/>
            <w:shd w:val="clear" w:color="auto" w:fill="auto"/>
          </w:tcPr>
          <w:p w14:paraId="2D0BB3E4" w14:textId="77777777" w:rsidR="00A754C1" w:rsidRPr="00E87295" w:rsidRDefault="00A754C1" w:rsidP="00E87295">
            <w:pPr>
              <w:jc w:val="both"/>
              <w:rPr>
                <w:sz w:val="22"/>
                <w:szCs w:val="22"/>
              </w:rPr>
            </w:pPr>
            <w:r w:rsidRPr="00E87295">
              <w:rPr>
                <w:sz w:val="22"/>
                <w:szCs w:val="22"/>
              </w:rPr>
              <w:t>62,3%</w:t>
            </w:r>
          </w:p>
        </w:tc>
      </w:tr>
      <w:tr w:rsidR="00A754C1" w:rsidRPr="00E87295" w14:paraId="02B94DAF" w14:textId="77777777" w:rsidTr="006846CF">
        <w:trPr>
          <w:cantSplit/>
          <w:jc w:val="center"/>
        </w:trPr>
        <w:tc>
          <w:tcPr>
            <w:tcW w:w="9286" w:type="dxa"/>
            <w:gridSpan w:val="3"/>
            <w:shd w:val="clear" w:color="auto" w:fill="auto"/>
          </w:tcPr>
          <w:p w14:paraId="7F2D2A36" w14:textId="77777777" w:rsidR="00A754C1" w:rsidRPr="00E87295" w:rsidRDefault="00A754C1" w:rsidP="00E87295">
            <w:pPr>
              <w:keepNext/>
              <w:jc w:val="both"/>
              <w:rPr>
                <w:sz w:val="22"/>
                <w:szCs w:val="22"/>
              </w:rPr>
            </w:pPr>
            <w:r w:rsidRPr="00E87295">
              <w:rPr>
                <w:b/>
                <w:bCs/>
                <w:sz w:val="22"/>
                <w:szCs w:val="22"/>
              </w:rPr>
              <w:t>ACR 70</w:t>
            </w:r>
          </w:p>
        </w:tc>
      </w:tr>
      <w:tr w:rsidR="00A754C1" w:rsidRPr="00E87295" w14:paraId="15009FDE" w14:textId="77777777" w:rsidTr="006846CF">
        <w:trPr>
          <w:cantSplit/>
          <w:jc w:val="center"/>
        </w:trPr>
        <w:tc>
          <w:tcPr>
            <w:tcW w:w="3095" w:type="dxa"/>
            <w:shd w:val="clear" w:color="auto" w:fill="auto"/>
          </w:tcPr>
          <w:p w14:paraId="19E5F3FD" w14:textId="77777777" w:rsidR="00A754C1" w:rsidRPr="00E87295" w:rsidRDefault="00A754C1" w:rsidP="00E87295">
            <w:pPr>
              <w:jc w:val="both"/>
              <w:rPr>
                <w:b/>
                <w:bCs/>
                <w:sz w:val="22"/>
                <w:szCs w:val="22"/>
              </w:rPr>
            </w:pPr>
            <w:r w:rsidRPr="00E87295">
              <w:rPr>
                <w:sz w:val="22"/>
                <w:szCs w:val="22"/>
              </w:rPr>
              <w:t>N</w:t>
            </w:r>
            <w:r w:rsidRPr="00E87295">
              <w:rPr>
                <w:sz w:val="22"/>
                <w:szCs w:val="22"/>
                <w:vertAlign w:val="superscript"/>
              </w:rPr>
              <w:t>b</w:t>
            </w:r>
          </w:p>
        </w:tc>
        <w:tc>
          <w:tcPr>
            <w:tcW w:w="3095" w:type="dxa"/>
            <w:shd w:val="clear" w:color="auto" w:fill="auto"/>
          </w:tcPr>
          <w:p w14:paraId="25CDFA58" w14:textId="77777777" w:rsidR="00A754C1" w:rsidRPr="00E87295" w:rsidRDefault="00A754C1" w:rsidP="00E87295">
            <w:pPr>
              <w:jc w:val="both"/>
              <w:rPr>
                <w:sz w:val="22"/>
                <w:szCs w:val="22"/>
              </w:rPr>
            </w:pPr>
            <w:r w:rsidRPr="00E87295">
              <w:rPr>
                <w:sz w:val="22"/>
                <w:szCs w:val="22"/>
              </w:rPr>
              <w:t>224</w:t>
            </w:r>
          </w:p>
        </w:tc>
        <w:tc>
          <w:tcPr>
            <w:tcW w:w="3096" w:type="dxa"/>
            <w:shd w:val="clear" w:color="auto" w:fill="auto"/>
          </w:tcPr>
          <w:p w14:paraId="6A09CCBF" w14:textId="77777777" w:rsidR="00A754C1" w:rsidRPr="00E87295" w:rsidRDefault="00A754C1" w:rsidP="00E87295">
            <w:pPr>
              <w:jc w:val="both"/>
              <w:rPr>
                <w:sz w:val="22"/>
                <w:szCs w:val="22"/>
              </w:rPr>
            </w:pPr>
            <w:r w:rsidRPr="00E87295">
              <w:rPr>
                <w:sz w:val="22"/>
                <w:szCs w:val="22"/>
              </w:rPr>
              <w:t>220</w:t>
            </w:r>
          </w:p>
        </w:tc>
      </w:tr>
      <w:tr w:rsidR="00A754C1" w:rsidRPr="00E87295" w14:paraId="634FEF72" w14:textId="77777777" w:rsidTr="006846CF">
        <w:trPr>
          <w:cantSplit/>
          <w:jc w:val="center"/>
        </w:trPr>
        <w:tc>
          <w:tcPr>
            <w:tcW w:w="3095" w:type="dxa"/>
            <w:shd w:val="clear" w:color="auto" w:fill="auto"/>
          </w:tcPr>
          <w:p w14:paraId="5401D161" w14:textId="551534C4" w:rsidR="00A754C1" w:rsidRPr="00E87295" w:rsidRDefault="00A754C1" w:rsidP="00E87295">
            <w:pPr>
              <w:jc w:val="both"/>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3095" w:type="dxa"/>
            <w:shd w:val="clear" w:color="auto" w:fill="auto"/>
          </w:tcPr>
          <w:p w14:paraId="64CA45E3" w14:textId="77777777" w:rsidR="00A754C1" w:rsidRPr="00E87295" w:rsidRDefault="00A754C1" w:rsidP="00E87295">
            <w:pPr>
              <w:jc w:val="both"/>
              <w:rPr>
                <w:sz w:val="22"/>
                <w:szCs w:val="22"/>
              </w:rPr>
            </w:pPr>
            <w:r w:rsidRPr="00E87295">
              <w:rPr>
                <w:sz w:val="22"/>
                <w:szCs w:val="22"/>
              </w:rPr>
              <w:t>39,3%</w:t>
            </w:r>
          </w:p>
        </w:tc>
        <w:tc>
          <w:tcPr>
            <w:tcW w:w="3096" w:type="dxa"/>
            <w:shd w:val="clear" w:color="auto" w:fill="auto"/>
          </w:tcPr>
          <w:p w14:paraId="3EE7F287" w14:textId="77777777" w:rsidR="00A754C1" w:rsidRPr="00E87295" w:rsidRDefault="00A754C1" w:rsidP="00E87295">
            <w:pPr>
              <w:jc w:val="both"/>
              <w:rPr>
                <w:sz w:val="22"/>
                <w:szCs w:val="22"/>
              </w:rPr>
            </w:pPr>
            <w:r w:rsidRPr="00E87295">
              <w:rPr>
                <w:sz w:val="22"/>
                <w:szCs w:val="22"/>
              </w:rPr>
              <w:t>38,6%</w:t>
            </w:r>
          </w:p>
        </w:tc>
      </w:tr>
      <w:tr w:rsidR="00A754C1" w:rsidRPr="00E87295" w14:paraId="36C550D8" w14:textId="77777777" w:rsidTr="006846CF">
        <w:trPr>
          <w:cantSplit/>
          <w:jc w:val="center"/>
        </w:trPr>
        <w:tc>
          <w:tcPr>
            <w:tcW w:w="9286" w:type="dxa"/>
            <w:gridSpan w:val="3"/>
            <w:shd w:val="clear" w:color="auto" w:fill="auto"/>
          </w:tcPr>
          <w:p w14:paraId="0CA1D06B" w14:textId="677CE7B1" w:rsidR="00A754C1" w:rsidRPr="00E87295" w:rsidRDefault="00A754C1" w:rsidP="00E87295">
            <w:pPr>
              <w:keepNext/>
              <w:jc w:val="both"/>
              <w:rPr>
                <w:sz w:val="22"/>
                <w:szCs w:val="22"/>
              </w:rPr>
            </w:pPr>
            <w:r w:rsidRPr="00E87295">
              <w:rPr>
                <w:b/>
                <w:bCs/>
                <w:sz w:val="22"/>
                <w:szCs w:val="22"/>
              </w:rPr>
              <w:t xml:space="preserve">DAS 28 (CRP) </w:t>
            </w:r>
            <w:proofErr w:type="spellStart"/>
            <w:r w:rsidRPr="00E87295">
              <w:rPr>
                <w:b/>
                <w:bCs/>
                <w:sz w:val="22"/>
                <w:szCs w:val="22"/>
              </w:rPr>
              <w:t>prom</w:t>
            </w:r>
            <w:r w:rsidR="00C7727A" w:rsidRPr="00E87295">
              <w:rPr>
                <w:b/>
                <w:bCs/>
                <w:sz w:val="22"/>
                <w:szCs w:val="22"/>
              </w:rPr>
              <w:t>j</w:t>
            </w:r>
            <w:r w:rsidRPr="00E87295">
              <w:rPr>
                <w:b/>
                <w:bCs/>
                <w:sz w:val="22"/>
                <w:szCs w:val="22"/>
              </w:rPr>
              <w:t>ena</w:t>
            </w:r>
            <w:proofErr w:type="spellEnd"/>
            <w:r w:rsidRPr="00E87295">
              <w:rPr>
                <w:b/>
                <w:bCs/>
                <w:sz w:val="22"/>
                <w:szCs w:val="22"/>
              </w:rPr>
              <w:t xml:space="preserve"> u </w:t>
            </w:r>
            <w:proofErr w:type="spellStart"/>
            <w:r w:rsidRPr="00E87295">
              <w:rPr>
                <w:b/>
                <w:bCs/>
                <w:sz w:val="22"/>
                <w:szCs w:val="22"/>
              </w:rPr>
              <w:t>odnosu</w:t>
            </w:r>
            <w:proofErr w:type="spellEnd"/>
            <w:r w:rsidRPr="00E87295">
              <w:rPr>
                <w:b/>
                <w:bCs/>
                <w:sz w:val="22"/>
                <w:szCs w:val="22"/>
              </w:rPr>
              <w:t xml:space="preserve"> </w:t>
            </w:r>
            <w:proofErr w:type="spellStart"/>
            <w:r w:rsidRPr="00E87295">
              <w:rPr>
                <w:b/>
                <w:bCs/>
                <w:sz w:val="22"/>
                <w:szCs w:val="22"/>
              </w:rPr>
              <w:t>na</w:t>
            </w:r>
            <w:proofErr w:type="spellEnd"/>
            <w:r w:rsidRPr="00E87295">
              <w:rPr>
                <w:b/>
                <w:bCs/>
                <w:sz w:val="22"/>
                <w:szCs w:val="22"/>
              </w:rPr>
              <w:t xml:space="preserve"> </w:t>
            </w:r>
            <w:proofErr w:type="spellStart"/>
            <w:r w:rsidRPr="00E87295">
              <w:rPr>
                <w:b/>
                <w:bCs/>
                <w:sz w:val="22"/>
                <w:szCs w:val="22"/>
              </w:rPr>
              <w:t>početnu</w:t>
            </w:r>
            <w:proofErr w:type="spellEnd"/>
            <w:r w:rsidRPr="00E87295">
              <w:rPr>
                <w:b/>
                <w:bCs/>
                <w:sz w:val="22"/>
                <w:szCs w:val="22"/>
              </w:rPr>
              <w:t xml:space="preserve"> </w:t>
            </w:r>
            <w:proofErr w:type="spellStart"/>
            <w:r w:rsidRPr="00E87295">
              <w:rPr>
                <w:b/>
                <w:bCs/>
                <w:sz w:val="22"/>
                <w:szCs w:val="22"/>
              </w:rPr>
              <w:t>vr</w:t>
            </w:r>
            <w:r w:rsidR="00C7727A" w:rsidRPr="00E87295">
              <w:rPr>
                <w:b/>
                <w:bCs/>
                <w:sz w:val="22"/>
                <w:szCs w:val="22"/>
              </w:rPr>
              <w:t>ij</w:t>
            </w:r>
            <w:r w:rsidRPr="00E87295">
              <w:rPr>
                <w:b/>
                <w:bCs/>
                <w:sz w:val="22"/>
                <w:szCs w:val="22"/>
              </w:rPr>
              <w:t>ednost</w:t>
            </w:r>
            <w:proofErr w:type="spellEnd"/>
          </w:p>
        </w:tc>
      </w:tr>
      <w:tr w:rsidR="00A754C1" w:rsidRPr="00E87295" w14:paraId="5671EC7F" w14:textId="77777777" w:rsidTr="006846CF">
        <w:trPr>
          <w:cantSplit/>
          <w:jc w:val="center"/>
        </w:trPr>
        <w:tc>
          <w:tcPr>
            <w:tcW w:w="3095" w:type="dxa"/>
            <w:shd w:val="clear" w:color="auto" w:fill="auto"/>
          </w:tcPr>
          <w:p w14:paraId="4ABB3C3E" w14:textId="77777777" w:rsidR="00A754C1" w:rsidRPr="00E87295" w:rsidRDefault="00A754C1" w:rsidP="00E87295">
            <w:pPr>
              <w:jc w:val="both"/>
              <w:rPr>
                <w:b/>
                <w:bCs/>
                <w:sz w:val="22"/>
                <w:szCs w:val="22"/>
              </w:rPr>
            </w:pPr>
            <w:r w:rsidRPr="00E87295">
              <w:rPr>
                <w:sz w:val="22"/>
                <w:szCs w:val="22"/>
              </w:rPr>
              <w:t>N</w:t>
            </w:r>
            <w:r w:rsidRPr="00E87295">
              <w:rPr>
                <w:sz w:val="22"/>
                <w:szCs w:val="22"/>
                <w:vertAlign w:val="superscript"/>
              </w:rPr>
              <w:t>c</w:t>
            </w:r>
          </w:p>
        </w:tc>
        <w:tc>
          <w:tcPr>
            <w:tcW w:w="3095" w:type="dxa"/>
            <w:shd w:val="clear" w:color="auto" w:fill="auto"/>
          </w:tcPr>
          <w:p w14:paraId="0C030532" w14:textId="77777777" w:rsidR="00A754C1" w:rsidRPr="00E87295" w:rsidRDefault="00A754C1" w:rsidP="00E87295">
            <w:pPr>
              <w:jc w:val="both"/>
              <w:rPr>
                <w:sz w:val="22"/>
                <w:szCs w:val="22"/>
              </w:rPr>
            </w:pPr>
            <w:r w:rsidRPr="00E87295">
              <w:rPr>
                <w:sz w:val="22"/>
                <w:szCs w:val="22"/>
              </w:rPr>
              <w:t>223</w:t>
            </w:r>
          </w:p>
        </w:tc>
        <w:tc>
          <w:tcPr>
            <w:tcW w:w="3096" w:type="dxa"/>
            <w:shd w:val="clear" w:color="auto" w:fill="auto"/>
          </w:tcPr>
          <w:p w14:paraId="6AEB0D81" w14:textId="77777777" w:rsidR="00A754C1" w:rsidRPr="00E87295" w:rsidRDefault="00A754C1" w:rsidP="00E87295">
            <w:pPr>
              <w:jc w:val="both"/>
              <w:rPr>
                <w:sz w:val="22"/>
                <w:szCs w:val="22"/>
              </w:rPr>
            </w:pPr>
            <w:r w:rsidRPr="00E87295">
              <w:rPr>
                <w:sz w:val="22"/>
                <w:szCs w:val="22"/>
              </w:rPr>
              <w:t>219</w:t>
            </w:r>
          </w:p>
        </w:tc>
      </w:tr>
      <w:tr w:rsidR="00A754C1" w:rsidRPr="00E87295" w14:paraId="6393CC35" w14:textId="77777777" w:rsidTr="006846CF">
        <w:trPr>
          <w:cantSplit/>
          <w:jc w:val="center"/>
        </w:trPr>
        <w:tc>
          <w:tcPr>
            <w:tcW w:w="3095" w:type="dxa"/>
            <w:shd w:val="clear" w:color="auto" w:fill="auto"/>
          </w:tcPr>
          <w:p w14:paraId="6B8AADDC" w14:textId="77777777" w:rsidR="00A754C1" w:rsidRPr="00E87295" w:rsidRDefault="00A754C1" w:rsidP="00E87295">
            <w:pPr>
              <w:jc w:val="both"/>
              <w:rPr>
                <w:sz w:val="22"/>
                <w:szCs w:val="22"/>
              </w:rPr>
            </w:pPr>
            <w:proofErr w:type="spellStart"/>
            <w:r w:rsidRPr="00E87295">
              <w:rPr>
                <w:sz w:val="22"/>
                <w:szCs w:val="22"/>
              </w:rPr>
              <w:t>Srednja</w:t>
            </w:r>
            <w:proofErr w:type="spellEnd"/>
            <w:r w:rsidRPr="00E87295">
              <w:rPr>
                <w:sz w:val="22"/>
                <w:szCs w:val="22"/>
              </w:rPr>
              <w:t xml:space="preserve"> </w:t>
            </w:r>
            <w:proofErr w:type="spellStart"/>
            <w:r w:rsidRPr="00E87295">
              <w:rPr>
                <w:sz w:val="22"/>
                <w:szCs w:val="22"/>
              </w:rPr>
              <w:t>vrednost</w:t>
            </w:r>
            <w:proofErr w:type="spellEnd"/>
            <w:r w:rsidRPr="00E87295">
              <w:rPr>
                <w:sz w:val="22"/>
                <w:szCs w:val="22"/>
              </w:rPr>
              <w:t xml:space="preserve"> (SD)</w:t>
            </w:r>
          </w:p>
        </w:tc>
        <w:tc>
          <w:tcPr>
            <w:tcW w:w="3095" w:type="dxa"/>
            <w:shd w:val="clear" w:color="auto" w:fill="auto"/>
          </w:tcPr>
          <w:p w14:paraId="423CB613" w14:textId="77777777" w:rsidR="00A754C1" w:rsidRPr="00E87295" w:rsidRDefault="00A754C1" w:rsidP="00E87295">
            <w:pPr>
              <w:jc w:val="both"/>
              <w:rPr>
                <w:sz w:val="22"/>
                <w:szCs w:val="22"/>
              </w:rPr>
            </w:pPr>
            <w:r w:rsidRPr="00E87295">
              <w:rPr>
                <w:sz w:val="22"/>
                <w:szCs w:val="22"/>
              </w:rPr>
              <w:t>-2,37 (1,215)</w:t>
            </w:r>
          </w:p>
        </w:tc>
        <w:tc>
          <w:tcPr>
            <w:tcW w:w="3096" w:type="dxa"/>
            <w:shd w:val="clear" w:color="auto" w:fill="auto"/>
          </w:tcPr>
          <w:p w14:paraId="2E21D922" w14:textId="77777777" w:rsidR="00A754C1" w:rsidRPr="00E87295" w:rsidRDefault="00A754C1" w:rsidP="00E87295">
            <w:pPr>
              <w:jc w:val="both"/>
              <w:rPr>
                <w:sz w:val="22"/>
                <w:szCs w:val="22"/>
              </w:rPr>
            </w:pPr>
            <w:r w:rsidRPr="00E87295">
              <w:rPr>
                <w:sz w:val="22"/>
                <w:szCs w:val="22"/>
              </w:rPr>
              <w:t>-2,36 (1,120)</w:t>
            </w:r>
          </w:p>
        </w:tc>
      </w:tr>
      <w:tr w:rsidR="00A754C1" w:rsidRPr="00E87295" w14:paraId="0DE7D606" w14:textId="77777777" w:rsidTr="006846CF">
        <w:trPr>
          <w:cantSplit/>
          <w:jc w:val="center"/>
        </w:trPr>
        <w:tc>
          <w:tcPr>
            <w:tcW w:w="9286" w:type="dxa"/>
            <w:gridSpan w:val="3"/>
            <w:shd w:val="clear" w:color="auto" w:fill="auto"/>
          </w:tcPr>
          <w:p w14:paraId="380E0BCF" w14:textId="77777777" w:rsidR="00A754C1" w:rsidRPr="00E87295" w:rsidRDefault="00A754C1" w:rsidP="00E87295">
            <w:pPr>
              <w:keepNext/>
              <w:jc w:val="both"/>
              <w:rPr>
                <w:sz w:val="22"/>
                <w:szCs w:val="22"/>
              </w:rPr>
            </w:pPr>
            <w:r w:rsidRPr="00E87295">
              <w:rPr>
                <w:b/>
                <w:bCs/>
                <w:sz w:val="22"/>
                <w:szCs w:val="22"/>
              </w:rPr>
              <w:t>MDA</w:t>
            </w:r>
          </w:p>
        </w:tc>
      </w:tr>
      <w:tr w:rsidR="00A754C1" w:rsidRPr="00E87295" w14:paraId="35FC9661" w14:textId="77777777" w:rsidTr="006846CF">
        <w:trPr>
          <w:cantSplit/>
          <w:jc w:val="center"/>
        </w:trPr>
        <w:tc>
          <w:tcPr>
            <w:tcW w:w="3095" w:type="dxa"/>
            <w:shd w:val="clear" w:color="auto" w:fill="auto"/>
          </w:tcPr>
          <w:p w14:paraId="120A6525" w14:textId="77777777" w:rsidR="00A754C1" w:rsidRPr="00E87295" w:rsidRDefault="00A754C1" w:rsidP="00E87295">
            <w:pPr>
              <w:jc w:val="both"/>
              <w:rPr>
                <w:b/>
                <w:bCs/>
                <w:sz w:val="22"/>
                <w:szCs w:val="22"/>
              </w:rPr>
            </w:pPr>
            <w:r w:rsidRPr="00E87295">
              <w:rPr>
                <w:sz w:val="22"/>
                <w:szCs w:val="22"/>
              </w:rPr>
              <w:t>N</w:t>
            </w:r>
            <w:r w:rsidRPr="00E87295">
              <w:rPr>
                <w:sz w:val="22"/>
                <w:szCs w:val="22"/>
                <w:vertAlign w:val="superscript"/>
              </w:rPr>
              <w:t>b</w:t>
            </w:r>
          </w:p>
        </w:tc>
        <w:tc>
          <w:tcPr>
            <w:tcW w:w="3095" w:type="dxa"/>
            <w:shd w:val="clear" w:color="auto" w:fill="auto"/>
          </w:tcPr>
          <w:p w14:paraId="33D7026D" w14:textId="77777777" w:rsidR="00A754C1" w:rsidRPr="00E87295" w:rsidRDefault="00A754C1" w:rsidP="00E87295">
            <w:pPr>
              <w:jc w:val="both"/>
              <w:rPr>
                <w:sz w:val="22"/>
                <w:szCs w:val="22"/>
              </w:rPr>
            </w:pPr>
            <w:r w:rsidRPr="00E87295">
              <w:rPr>
                <w:sz w:val="22"/>
                <w:szCs w:val="22"/>
              </w:rPr>
              <w:t>224</w:t>
            </w:r>
          </w:p>
        </w:tc>
        <w:tc>
          <w:tcPr>
            <w:tcW w:w="3096" w:type="dxa"/>
            <w:shd w:val="clear" w:color="auto" w:fill="auto"/>
          </w:tcPr>
          <w:p w14:paraId="5A84DC19" w14:textId="77777777" w:rsidR="00A754C1" w:rsidRPr="00E87295" w:rsidRDefault="00A754C1" w:rsidP="00E87295">
            <w:pPr>
              <w:jc w:val="both"/>
              <w:rPr>
                <w:sz w:val="22"/>
                <w:szCs w:val="22"/>
              </w:rPr>
            </w:pPr>
            <w:r w:rsidRPr="00E87295">
              <w:rPr>
                <w:sz w:val="22"/>
                <w:szCs w:val="22"/>
              </w:rPr>
              <w:t>220</w:t>
            </w:r>
          </w:p>
        </w:tc>
      </w:tr>
      <w:tr w:rsidR="00A754C1" w:rsidRPr="00E87295" w14:paraId="08DBCC59" w14:textId="77777777" w:rsidTr="006846CF">
        <w:trPr>
          <w:cantSplit/>
          <w:jc w:val="center"/>
        </w:trPr>
        <w:tc>
          <w:tcPr>
            <w:tcW w:w="3095" w:type="dxa"/>
            <w:shd w:val="clear" w:color="auto" w:fill="auto"/>
          </w:tcPr>
          <w:p w14:paraId="3621E546" w14:textId="2996164D" w:rsidR="00A754C1" w:rsidRPr="00E87295" w:rsidRDefault="00A754C1" w:rsidP="00E87295">
            <w:pPr>
              <w:jc w:val="both"/>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3095" w:type="dxa"/>
            <w:shd w:val="clear" w:color="auto" w:fill="auto"/>
          </w:tcPr>
          <w:p w14:paraId="4D6586B2" w14:textId="77777777" w:rsidR="00A754C1" w:rsidRPr="00E87295" w:rsidRDefault="00A754C1" w:rsidP="00E87295">
            <w:pPr>
              <w:jc w:val="both"/>
              <w:rPr>
                <w:sz w:val="22"/>
                <w:szCs w:val="22"/>
              </w:rPr>
            </w:pPr>
            <w:r w:rsidRPr="00E87295">
              <w:rPr>
                <w:sz w:val="22"/>
                <w:szCs w:val="22"/>
              </w:rPr>
              <w:t>44,6%</w:t>
            </w:r>
          </w:p>
        </w:tc>
        <w:tc>
          <w:tcPr>
            <w:tcW w:w="3096" w:type="dxa"/>
            <w:shd w:val="clear" w:color="auto" w:fill="auto"/>
          </w:tcPr>
          <w:p w14:paraId="4AED3374" w14:textId="77777777" w:rsidR="00A754C1" w:rsidRPr="00E87295" w:rsidRDefault="00A754C1" w:rsidP="00E87295">
            <w:pPr>
              <w:jc w:val="both"/>
              <w:rPr>
                <w:sz w:val="22"/>
                <w:szCs w:val="22"/>
              </w:rPr>
            </w:pPr>
            <w:r w:rsidRPr="00E87295">
              <w:rPr>
                <w:sz w:val="22"/>
                <w:szCs w:val="22"/>
              </w:rPr>
              <w:t>42,7%</w:t>
            </w:r>
          </w:p>
        </w:tc>
      </w:tr>
      <w:tr w:rsidR="00A754C1" w:rsidRPr="00E87295" w14:paraId="41FAA748" w14:textId="77777777" w:rsidTr="006846CF">
        <w:trPr>
          <w:cantSplit/>
          <w:jc w:val="center"/>
        </w:trPr>
        <w:tc>
          <w:tcPr>
            <w:tcW w:w="9286" w:type="dxa"/>
            <w:gridSpan w:val="3"/>
            <w:shd w:val="clear" w:color="auto" w:fill="auto"/>
          </w:tcPr>
          <w:p w14:paraId="733B38B0" w14:textId="77777777" w:rsidR="00A754C1" w:rsidRPr="00E87295" w:rsidRDefault="00A754C1" w:rsidP="00E87295">
            <w:pPr>
              <w:keepNext/>
              <w:jc w:val="both"/>
              <w:rPr>
                <w:sz w:val="22"/>
                <w:szCs w:val="22"/>
              </w:rPr>
            </w:pPr>
            <w:proofErr w:type="spellStart"/>
            <w:r w:rsidRPr="00E87295">
              <w:rPr>
                <w:b/>
                <w:i/>
                <w:iCs/>
                <w:sz w:val="22"/>
                <w:szCs w:val="22"/>
              </w:rPr>
              <w:t>Pacijenti</w:t>
            </w:r>
            <w:proofErr w:type="spellEnd"/>
            <w:r w:rsidRPr="00E87295">
              <w:rPr>
                <w:b/>
                <w:i/>
                <w:iCs/>
                <w:sz w:val="22"/>
                <w:szCs w:val="22"/>
              </w:rPr>
              <w:t xml:space="preserve"> </w:t>
            </w:r>
            <w:proofErr w:type="spellStart"/>
            <w:r w:rsidRPr="00E87295">
              <w:rPr>
                <w:b/>
                <w:i/>
                <w:iCs/>
                <w:sz w:val="22"/>
                <w:szCs w:val="22"/>
              </w:rPr>
              <w:t>koji</w:t>
            </w:r>
            <w:proofErr w:type="spellEnd"/>
            <w:r w:rsidRPr="00E87295">
              <w:rPr>
                <w:b/>
                <w:i/>
                <w:iCs/>
                <w:sz w:val="22"/>
                <w:szCs w:val="22"/>
              </w:rPr>
              <w:t xml:space="preserve"> </w:t>
            </w:r>
            <w:proofErr w:type="spellStart"/>
            <w:r w:rsidRPr="00E87295">
              <w:rPr>
                <w:b/>
                <w:i/>
                <w:iCs/>
                <w:sz w:val="22"/>
                <w:szCs w:val="22"/>
              </w:rPr>
              <w:t>su</w:t>
            </w:r>
            <w:proofErr w:type="spellEnd"/>
            <w:r w:rsidRPr="00E87295">
              <w:rPr>
                <w:b/>
                <w:i/>
                <w:iCs/>
                <w:sz w:val="22"/>
                <w:szCs w:val="22"/>
              </w:rPr>
              <w:t xml:space="preserve"> </w:t>
            </w:r>
            <w:proofErr w:type="spellStart"/>
            <w:r w:rsidRPr="00E87295">
              <w:rPr>
                <w:b/>
                <w:i/>
                <w:iCs/>
                <w:sz w:val="22"/>
                <w:szCs w:val="22"/>
              </w:rPr>
              <w:t>imali</w:t>
            </w:r>
            <w:proofErr w:type="spellEnd"/>
            <w:r w:rsidRPr="00E87295">
              <w:rPr>
                <w:b/>
                <w:i/>
                <w:iCs/>
                <w:sz w:val="22"/>
                <w:szCs w:val="22"/>
              </w:rPr>
              <w:t xml:space="preserve"> BSA ≥ 3% </w:t>
            </w:r>
            <w:proofErr w:type="spellStart"/>
            <w:r w:rsidRPr="00E87295">
              <w:rPr>
                <w:b/>
                <w:i/>
                <w:iCs/>
                <w:sz w:val="22"/>
                <w:szCs w:val="22"/>
              </w:rPr>
              <w:t>i</w:t>
            </w:r>
            <w:proofErr w:type="spellEnd"/>
            <w:r w:rsidRPr="00E87295">
              <w:rPr>
                <w:b/>
                <w:i/>
                <w:iCs/>
                <w:sz w:val="22"/>
                <w:szCs w:val="22"/>
              </w:rPr>
              <w:t xml:space="preserve"> IGA </w:t>
            </w:r>
            <w:proofErr w:type="spellStart"/>
            <w:r w:rsidRPr="00E87295">
              <w:rPr>
                <w:b/>
                <w:i/>
                <w:iCs/>
                <w:sz w:val="22"/>
                <w:szCs w:val="22"/>
              </w:rPr>
              <w:t>rezultat</w:t>
            </w:r>
            <w:proofErr w:type="spellEnd"/>
            <w:r w:rsidRPr="00E87295">
              <w:rPr>
                <w:b/>
                <w:i/>
                <w:iCs/>
                <w:sz w:val="22"/>
                <w:szCs w:val="22"/>
              </w:rPr>
              <w:t xml:space="preserve"> ≥ 2 </w:t>
            </w:r>
            <w:proofErr w:type="spellStart"/>
            <w:r w:rsidRPr="00E87295">
              <w:rPr>
                <w:b/>
                <w:i/>
                <w:iCs/>
                <w:sz w:val="22"/>
                <w:szCs w:val="22"/>
              </w:rPr>
              <w:t>na</w:t>
            </w:r>
            <w:proofErr w:type="spellEnd"/>
            <w:r w:rsidRPr="00E87295">
              <w:rPr>
                <w:b/>
                <w:i/>
                <w:iCs/>
                <w:sz w:val="22"/>
                <w:szCs w:val="22"/>
              </w:rPr>
              <w:t xml:space="preserve"> </w:t>
            </w:r>
            <w:proofErr w:type="spellStart"/>
            <w:r w:rsidRPr="00E87295">
              <w:rPr>
                <w:b/>
                <w:i/>
                <w:iCs/>
                <w:sz w:val="22"/>
                <w:szCs w:val="22"/>
              </w:rPr>
              <w:t>početku</w:t>
            </w:r>
            <w:proofErr w:type="spellEnd"/>
            <w:r w:rsidRPr="00E87295">
              <w:rPr>
                <w:b/>
                <w:i/>
                <w:iCs/>
                <w:sz w:val="22"/>
                <w:szCs w:val="22"/>
              </w:rPr>
              <w:t xml:space="preserve"> </w:t>
            </w:r>
            <w:proofErr w:type="spellStart"/>
            <w:r w:rsidRPr="00E87295">
              <w:rPr>
                <w:b/>
                <w:i/>
                <w:iCs/>
                <w:sz w:val="22"/>
                <w:szCs w:val="22"/>
              </w:rPr>
              <w:t>ispitivanja</w:t>
            </w:r>
            <w:proofErr w:type="spellEnd"/>
          </w:p>
        </w:tc>
      </w:tr>
      <w:tr w:rsidR="00A754C1" w:rsidRPr="00E87295" w14:paraId="68A0637B" w14:textId="77777777" w:rsidTr="006846CF">
        <w:trPr>
          <w:cantSplit/>
          <w:jc w:val="center"/>
        </w:trPr>
        <w:tc>
          <w:tcPr>
            <w:tcW w:w="9286" w:type="dxa"/>
            <w:gridSpan w:val="3"/>
            <w:shd w:val="clear" w:color="auto" w:fill="auto"/>
          </w:tcPr>
          <w:p w14:paraId="47F04BFF" w14:textId="77777777" w:rsidR="00A754C1" w:rsidRPr="00E87295" w:rsidRDefault="00A754C1" w:rsidP="00E87295">
            <w:pPr>
              <w:keepNext/>
              <w:jc w:val="both"/>
              <w:rPr>
                <w:sz w:val="22"/>
                <w:szCs w:val="22"/>
              </w:rPr>
            </w:pPr>
            <w:proofErr w:type="spellStart"/>
            <w:r w:rsidRPr="00E87295">
              <w:rPr>
                <w:b/>
                <w:sz w:val="22"/>
                <w:szCs w:val="22"/>
              </w:rPr>
              <w:t>Odgovor</w:t>
            </w:r>
            <w:proofErr w:type="spellEnd"/>
            <w:r w:rsidRPr="00E87295">
              <w:rPr>
                <w:b/>
                <w:sz w:val="22"/>
                <w:szCs w:val="22"/>
              </w:rPr>
              <w:t xml:space="preserve"> </w:t>
            </w:r>
            <w:proofErr w:type="spellStart"/>
            <w:r w:rsidRPr="00E87295">
              <w:rPr>
                <w:b/>
                <w:sz w:val="22"/>
                <w:szCs w:val="22"/>
              </w:rPr>
              <w:t>prema</w:t>
            </w:r>
            <w:proofErr w:type="spellEnd"/>
            <w:r w:rsidRPr="00E87295">
              <w:rPr>
                <w:b/>
                <w:sz w:val="22"/>
                <w:szCs w:val="22"/>
              </w:rPr>
              <w:t xml:space="preserve"> IGA </w:t>
            </w:r>
            <w:proofErr w:type="spellStart"/>
            <w:r w:rsidRPr="00E87295">
              <w:rPr>
                <w:b/>
                <w:sz w:val="22"/>
                <w:szCs w:val="22"/>
              </w:rPr>
              <w:t>rezultatu</w:t>
            </w:r>
            <w:proofErr w:type="spellEnd"/>
          </w:p>
        </w:tc>
      </w:tr>
      <w:tr w:rsidR="00A754C1" w:rsidRPr="00E87295" w14:paraId="112FE6D3" w14:textId="77777777" w:rsidTr="006846CF">
        <w:trPr>
          <w:cantSplit/>
          <w:jc w:val="center"/>
        </w:trPr>
        <w:tc>
          <w:tcPr>
            <w:tcW w:w="3095" w:type="dxa"/>
            <w:shd w:val="clear" w:color="auto" w:fill="auto"/>
          </w:tcPr>
          <w:p w14:paraId="6C154A76" w14:textId="77777777" w:rsidR="00A754C1" w:rsidRPr="00E87295" w:rsidRDefault="00A754C1" w:rsidP="00E87295">
            <w:pPr>
              <w:jc w:val="both"/>
              <w:rPr>
                <w:b/>
                <w:bCs/>
                <w:sz w:val="22"/>
                <w:szCs w:val="22"/>
              </w:rPr>
            </w:pPr>
            <w:r w:rsidRPr="00E87295">
              <w:rPr>
                <w:sz w:val="22"/>
                <w:szCs w:val="22"/>
              </w:rPr>
              <w:t>N</w:t>
            </w:r>
            <w:r w:rsidRPr="00E87295">
              <w:rPr>
                <w:sz w:val="22"/>
                <w:szCs w:val="22"/>
                <w:vertAlign w:val="superscript"/>
              </w:rPr>
              <w:t>b</w:t>
            </w:r>
          </w:p>
        </w:tc>
        <w:tc>
          <w:tcPr>
            <w:tcW w:w="3095" w:type="dxa"/>
            <w:shd w:val="clear" w:color="auto" w:fill="auto"/>
          </w:tcPr>
          <w:p w14:paraId="07D67679" w14:textId="77777777" w:rsidR="00A754C1" w:rsidRPr="00E87295" w:rsidRDefault="00A754C1" w:rsidP="00E87295">
            <w:pPr>
              <w:jc w:val="both"/>
              <w:rPr>
                <w:sz w:val="22"/>
                <w:szCs w:val="22"/>
              </w:rPr>
            </w:pPr>
            <w:r w:rsidRPr="00E87295">
              <w:rPr>
                <w:sz w:val="22"/>
                <w:szCs w:val="22"/>
              </w:rPr>
              <w:t>165</w:t>
            </w:r>
          </w:p>
        </w:tc>
        <w:tc>
          <w:tcPr>
            <w:tcW w:w="3096" w:type="dxa"/>
            <w:shd w:val="clear" w:color="auto" w:fill="auto"/>
          </w:tcPr>
          <w:p w14:paraId="498BBF1F" w14:textId="77777777" w:rsidR="00A754C1" w:rsidRPr="00E87295" w:rsidRDefault="00A754C1" w:rsidP="00E87295">
            <w:pPr>
              <w:jc w:val="both"/>
              <w:rPr>
                <w:sz w:val="22"/>
                <w:szCs w:val="22"/>
              </w:rPr>
            </w:pPr>
            <w:r w:rsidRPr="00E87295">
              <w:rPr>
                <w:sz w:val="22"/>
                <w:szCs w:val="22"/>
              </w:rPr>
              <w:t>170</w:t>
            </w:r>
          </w:p>
        </w:tc>
      </w:tr>
      <w:tr w:rsidR="00A754C1" w:rsidRPr="00E87295" w14:paraId="4E395C2C" w14:textId="77777777" w:rsidTr="006846CF">
        <w:trPr>
          <w:cantSplit/>
          <w:jc w:val="center"/>
        </w:trPr>
        <w:tc>
          <w:tcPr>
            <w:tcW w:w="3095" w:type="dxa"/>
            <w:shd w:val="clear" w:color="auto" w:fill="auto"/>
          </w:tcPr>
          <w:p w14:paraId="75B6E8F7" w14:textId="7DE24C4E" w:rsidR="00A754C1" w:rsidRPr="00E87295" w:rsidRDefault="00A754C1" w:rsidP="00E87295">
            <w:pPr>
              <w:jc w:val="both"/>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3095" w:type="dxa"/>
            <w:shd w:val="clear" w:color="auto" w:fill="auto"/>
          </w:tcPr>
          <w:p w14:paraId="05145467" w14:textId="77777777" w:rsidR="00A754C1" w:rsidRPr="00E87295" w:rsidRDefault="00A754C1" w:rsidP="00E87295">
            <w:pPr>
              <w:jc w:val="both"/>
              <w:rPr>
                <w:sz w:val="22"/>
                <w:szCs w:val="22"/>
              </w:rPr>
            </w:pPr>
            <w:r w:rsidRPr="00E87295">
              <w:rPr>
                <w:sz w:val="22"/>
                <w:szCs w:val="22"/>
              </w:rPr>
              <w:t>76,4%</w:t>
            </w:r>
          </w:p>
        </w:tc>
        <w:tc>
          <w:tcPr>
            <w:tcW w:w="3096" w:type="dxa"/>
            <w:shd w:val="clear" w:color="auto" w:fill="auto"/>
          </w:tcPr>
          <w:p w14:paraId="77F6B2E1" w14:textId="77777777" w:rsidR="00A754C1" w:rsidRPr="00E87295" w:rsidRDefault="00A754C1" w:rsidP="00E87295">
            <w:pPr>
              <w:jc w:val="both"/>
              <w:rPr>
                <w:sz w:val="22"/>
                <w:szCs w:val="22"/>
              </w:rPr>
            </w:pPr>
            <w:r w:rsidRPr="00E87295">
              <w:rPr>
                <w:sz w:val="22"/>
                <w:szCs w:val="22"/>
              </w:rPr>
              <w:t>82,4%</w:t>
            </w:r>
          </w:p>
        </w:tc>
      </w:tr>
      <w:tr w:rsidR="00A754C1" w:rsidRPr="00E87295" w14:paraId="3AD84642" w14:textId="77777777" w:rsidTr="006846CF">
        <w:trPr>
          <w:cantSplit/>
          <w:jc w:val="center"/>
        </w:trPr>
        <w:tc>
          <w:tcPr>
            <w:tcW w:w="9286" w:type="dxa"/>
            <w:gridSpan w:val="3"/>
            <w:shd w:val="clear" w:color="auto" w:fill="auto"/>
          </w:tcPr>
          <w:p w14:paraId="0991D656" w14:textId="77777777" w:rsidR="00A754C1" w:rsidRPr="00E87295" w:rsidRDefault="00A754C1" w:rsidP="00E87295">
            <w:pPr>
              <w:keepNext/>
              <w:jc w:val="both"/>
              <w:rPr>
                <w:sz w:val="22"/>
                <w:szCs w:val="22"/>
              </w:rPr>
            </w:pPr>
            <w:r w:rsidRPr="00E87295">
              <w:rPr>
                <w:b/>
                <w:bCs/>
                <w:sz w:val="22"/>
                <w:szCs w:val="22"/>
              </w:rPr>
              <w:t>PASI 90</w:t>
            </w:r>
          </w:p>
        </w:tc>
      </w:tr>
      <w:tr w:rsidR="00A754C1" w:rsidRPr="00E87295" w14:paraId="68C522B3" w14:textId="77777777" w:rsidTr="006846CF">
        <w:trPr>
          <w:cantSplit/>
          <w:jc w:val="center"/>
        </w:trPr>
        <w:tc>
          <w:tcPr>
            <w:tcW w:w="3095" w:type="dxa"/>
            <w:shd w:val="clear" w:color="auto" w:fill="auto"/>
          </w:tcPr>
          <w:p w14:paraId="160C217A" w14:textId="77777777" w:rsidR="00A754C1" w:rsidRPr="00E87295" w:rsidRDefault="00A754C1" w:rsidP="00E87295">
            <w:pPr>
              <w:jc w:val="both"/>
              <w:rPr>
                <w:b/>
                <w:bCs/>
                <w:sz w:val="22"/>
                <w:szCs w:val="22"/>
              </w:rPr>
            </w:pPr>
            <w:r w:rsidRPr="00E87295">
              <w:rPr>
                <w:sz w:val="22"/>
                <w:szCs w:val="22"/>
              </w:rPr>
              <w:t>N</w:t>
            </w:r>
            <w:r w:rsidRPr="00E87295">
              <w:rPr>
                <w:sz w:val="22"/>
                <w:szCs w:val="22"/>
                <w:vertAlign w:val="superscript"/>
              </w:rPr>
              <w:t>b</w:t>
            </w:r>
          </w:p>
        </w:tc>
        <w:tc>
          <w:tcPr>
            <w:tcW w:w="3095" w:type="dxa"/>
            <w:shd w:val="clear" w:color="auto" w:fill="auto"/>
          </w:tcPr>
          <w:p w14:paraId="6A6D1471" w14:textId="77777777" w:rsidR="00A754C1" w:rsidRPr="00E87295" w:rsidRDefault="00A754C1" w:rsidP="00E87295">
            <w:pPr>
              <w:jc w:val="both"/>
              <w:rPr>
                <w:sz w:val="22"/>
                <w:szCs w:val="22"/>
              </w:rPr>
            </w:pPr>
            <w:r w:rsidRPr="00E87295">
              <w:rPr>
                <w:sz w:val="22"/>
                <w:szCs w:val="22"/>
              </w:rPr>
              <w:t>164</w:t>
            </w:r>
          </w:p>
        </w:tc>
        <w:tc>
          <w:tcPr>
            <w:tcW w:w="3096" w:type="dxa"/>
            <w:shd w:val="clear" w:color="auto" w:fill="auto"/>
          </w:tcPr>
          <w:p w14:paraId="75B62C0F" w14:textId="77777777" w:rsidR="00A754C1" w:rsidRPr="00E87295" w:rsidRDefault="00A754C1" w:rsidP="00E87295">
            <w:pPr>
              <w:jc w:val="both"/>
              <w:rPr>
                <w:sz w:val="22"/>
                <w:szCs w:val="22"/>
              </w:rPr>
            </w:pPr>
            <w:r w:rsidRPr="00E87295">
              <w:rPr>
                <w:sz w:val="22"/>
                <w:szCs w:val="22"/>
              </w:rPr>
              <w:t>170</w:t>
            </w:r>
          </w:p>
        </w:tc>
      </w:tr>
      <w:tr w:rsidR="00A754C1" w:rsidRPr="00E87295" w14:paraId="5C206D4F" w14:textId="77777777" w:rsidTr="006846CF">
        <w:trPr>
          <w:cantSplit/>
          <w:jc w:val="center"/>
        </w:trPr>
        <w:tc>
          <w:tcPr>
            <w:tcW w:w="3095" w:type="dxa"/>
            <w:tcBorders>
              <w:bottom w:val="single" w:sz="4" w:space="0" w:color="auto"/>
            </w:tcBorders>
            <w:shd w:val="clear" w:color="auto" w:fill="auto"/>
          </w:tcPr>
          <w:p w14:paraId="6DD1128D" w14:textId="6D963F59" w:rsidR="00A754C1" w:rsidRPr="00E87295" w:rsidRDefault="00A754C1" w:rsidP="00E87295">
            <w:pPr>
              <w:jc w:val="both"/>
              <w:rPr>
                <w:sz w:val="22"/>
                <w:szCs w:val="22"/>
              </w:rPr>
            </w:pPr>
            <w:r w:rsidRPr="00E87295">
              <w:rPr>
                <w:sz w:val="22"/>
                <w:szCs w:val="22"/>
              </w:rPr>
              <w:t xml:space="preserve">% </w:t>
            </w:r>
            <w:proofErr w:type="spellStart"/>
            <w:r w:rsidR="0082786A" w:rsidRPr="00E87295">
              <w:rPr>
                <w:sz w:val="22"/>
                <w:szCs w:val="22"/>
              </w:rPr>
              <w:t>pacijenata</w:t>
            </w:r>
            <w:proofErr w:type="spellEnd"/>
            <w:r w:rsidR="0082786A" w:rsidRPr="00E87295">
              <w:rPr>
                <w:sz w:val="22"/>
                <w:szCs w:val="22"/>
              </w:rPr>
              <w:t xml:space="preserve"> </w:t>
            </w:r>
            <w:proofErr w:type="spellStart"/>
            <w:r w:rsidR="0082786A" w:rsidRPr="00E87295">
              <w:rPr>
                <w:sz w:val="22"/>
                <w:szCs w:val="22"/>
              </w:rPr>
              <w:t>sa</w:t>
            </w:r>
            <w:proofErr w:type="spellEnd"/>
            <w:r w:rsidR="0082786A" w:rsidRPr="00E87295">
              <w:rPr>
                <w:sz w:val="22"/>
                <w:szCs w:val="22"/>
              </w:rPr>
              <w:t xml:space="preserve"> </w:t>
            </w:r>
            <w:proofErr w:type="spellStart"/>
            <w:r w:rsidR="0082786A" w:rsidRPr="00E87295">
              <w:rPr>
                <w:sz w:val="22"/>
                <w:szCs w:val="22"/>
              </w:rPr>
              <w:t>odgovorom</w:t>
            </w:r>
            <w:proofErr w:type="spellEnd"/>
          </w:p>
        </w:tc>
        <w:tc>
          <w:tcPr>
            <w:tcW w:w="3095" w:type="dxa"/>
            <w:tcBorders>
              <w:bottom w:val="single" w:sz="4" w:space="0" w:color="auto"/>
            </w:tcBorders>
            <w:shd w:val="clear" w:color="auto" w:fill="auto"/>
          </w:tcPr>
          <w:p w14:paraId="08C1B026" w14:textId="77777777" w:rsidR="00A754C1" w:rsidRPr="00E87295" w:rsidRDefault="00A754C1" w:rsidP="00E87295">
            <w:pPr>
              <w:jc w:val="both"/>
              <w:rPr>
                <w:sz w:val="22"/>
                <w:szCs w:val="22"/>
              </w:rPr>
            </w:pPr>
            <w:r w:rsidRPr="00E87295">
              <w:rPr>
                <w:sz w:val="22"/>
                <w:szCs w:val="22"/>
              </w:rPr>
              <w:t>75,0%</w:t>
            </w:r>
          </w:p>
        </w:tc>
        <w:tc>
          <w:tcPr>
            <w:tcW w:w="3096" w:type="dxa"/>
            <w:tcBorders>
              <w:bottom w:val="single" w:sz="4" w:space="0" w:color="auto"/>
            </w:tcBorders>
            <w:shd w:val="clear" w:color="auto" w:fill="auto"/>
          </w:tcPr>
          <w:p w14:paraId="098F5E47" w14:textId="77777777" w:rsidR="00A754C1" w:rsidRPr="00E87295" w:rsidRDefault="00A754C1" w:rsidP="00E87295">
            <w:pPr>
              <w:jc w:val="both"/>
              <w:rPr>
                <w:sz w:val="22"/>
                <w:szCs w:val="22"/>
              </w:rPr>
            </w:pPr>
            <w:r w:rsidRPr="00E87295">
              <w:rPr>
                <w:sz w:val="22"/>
                <w:szCs w:val="22"/>
              </w:rPr>
              <w:t>80,0%</w:t>
            </w:r>
          </w:p>
        </w:tc>
      </w:tr>
      <w:tr w:rsidR="00A754C1" w:rsidRPr="00E87295" w14:paraId="288E256F" w14:textId="77777777" w:rsidTr="006846CF">
        <w:trPr>
          <w:cantSplit/>
          <w:jc w:val="center"/>
        </w:trPr>
        <w:tc>
          <w:tcPr>
            <w:tcW w:w="9286" w:type="dxa"/>
            <w:gridSpan w:val="3"/>
            <w:tcBorders>
              <w:left w:val="nil"/>
              <w:bottom w:val="nil"/>
              <w:right w:val="nil"/>
            </w:tcBorders>
            <w:shd w:val="clear" w:color="auto" w:fill="auto"/>
          </w:tcPr>
          <w:p w14:paraId="630E4D48" w14:textId="7064EB4C" w:rsidR="00A754C1" w:rsidRPr="00E87295" w:rsidRDefault="00A754C1" w:rsidP="00E87295">
            <w:pPr>
              <w:ind w:left="284" w:hanging="284"/>
              <w:jc w:val="both"/>
              <w:rPr>
                <w:sz w:val="22"/>
                <w:szCs w:val="22"/>
                <w:lang w:val="pl-PL"/>
              </w:rPr>
            </w:pPr>
            <w:r w:rsidRPr="00E87295">
              <w:rPr>
                <w:sz w:val="22"/>
                <w:szCs w:val="22"/>
                <w:vertAlign w:val="superscript"/>
                <w:lang w:val="pl-PL"/>
              </w:rPr>
              <w:t>a</w:t>
            </w:r>
            <w:r w:rsidRPr="00E87295">
              <w:rPr>
                <w:sz w:val="22"/>
                <w:szCs w:val="22"/>
                <w:lang w:val="pl-PL"/>
              </w:rPr>
              <w:tab/>
              <w:t>Nakon 24. ned</w:t>
            </w:r>
            <w:r w:rsidR="00C7727A" w:rsidRPr="00E87295">
              <w:rPr>
                <w:sz w:val="22"/>
                <w:szCs w:val="22"/>
                <w:lang w:val="pl-PL"/>
              </w:rPr>
              <w:t>j</w:t>
            </w:r>
            <w:r w:rsidRPr="00E87295">
              <w:rPr>
                <w:sz w:val="22"/>
                <w:szCs w:val="22"/>
                <w:lang w:val="pl-PL"/>
              </w:rPr>
              <w:t>elje nije postojala grupa koja je primala placebo.</w:t>
            </w:r>
          </w:p>
          <w:p w14:paraId="36B7BE57" w14:textId="519CB30B" w:rsidR="00A754C1" w:rsidRPr="00E87295" w:rsidRDefault="00A754C1" w:rsidP="00E87295">
            <w:pPr>
              <w:ind w:left="284" w:hanging="284"/>
              <w:jc w:val="both"/>
              <w:rPr>
                <w:sz w:val="22"/>
                <w:szCs w:val="22"/>
                <w:lang w:val="pl-PL"/>
              </w:rPr>
            </w:pPr>
            <w:r w:rsidRPr="00E87295">
              <w:rPr>
                <w:sz w:val="22"/>
                <w:szCs w:val="22"/>
                <w:lang w:val="pl-PL"/>
              </w:rPr>
              <w:t>b</w:t>
            </w:r>
            <w:r w:rsidRPr="00E87295">
              <w:rPr>
                <w:sz w:val="22"/>
                <w:szCs w:val="22"/>
                <w:lang w:val="pl-PL"/>
              </w:rPr>
              <w:tab/>
              <w:t>Ispitanici pogodni za proc</w:t>
            </w:r>
            <w:r w:rsidR="00C7727A" w:rsidRPr="00E87295">
              <w:rPr>
                <w:sz w:val="22"/>
                <w:szCs w:val="22"/>
                <w:lang w:val="pl-PL"/>
              </w:rPr>
              <w:t>j</w:t>
            </w:r>
            <w:r w:rsidRPr="00E87295">
              <w:rPr>
                <w:sz w:val="22"/>
                <w:szCs w:val="22"/>
                <w:lang w:val="pl-PL"/>
              </w:rPr>
              <w:t>enu čiji je status odgovora bio poznat.</w:t>
            </w:r>
          </w:p>
          <w:p w14:paraId="420DDAC2" w14:textId="2DA62A61" w:rsidR="00A754C1" w:rsidRPr="00E87295" w:rsidRDefault="00A754C1" w:rsidP="00E87295">
            <w:pPr>
              <w:tabs>
                <w:tab w:val="left" w:pos="270"/>
              </w:tabs>
              <w:ind w:left="284" w:hanging="284"/>
              <w:jc w:val="both"/>
              <w:rPr>
                <w:sz w:val="22"/>
                <w:szCs w:val="22"/>
              </w:rPr>
            </w:pPr>
            <w:r w:rsidRPr="00E87295">
              <w:rPr>
                <w:sz w:val="22"/>
                <w:szCs w:val="22"/>
                <w:lang w:val="pl-PL"/>
              </w:rPr>
              <w:t>c</w:t>
            </w:r>
            <w:r w:rsidRPr="00E87295">
              <w:rPr>
                <w:sz w:val="22"/>
                <w:szCs w:val="22"/>
                <w:lang w:val="pl-PL"/>
              </w:rPr>
              <w:tab/>
              <w:t>Ispitanici kod kojih je uočena prom</w:t>
            </w:r>
            <w:r w:rsidR="00C7727A" w:rsidRPr="00E87295">
              <w:rPr>
                <w:sz w:val="22"/>
                <w:szCs w:val="22"/>
                <w:lang w:val="pl-PL"/>
              </w:rPr>
              <w:t>j</w:t>
            </w:r>
            <w:r w:rsidRPr="00E87295">
              <w:rPr>
                <w:sz w:val="22"/>
                <w:szCs w:val="22"/>
                <w:lang w:val="pl-PL"/>
              </w:rPr>
              <w:t>ena od početka ispitivanja.</w:t>
            </w:r>
          </w:p>
        </w:tc>
      </w:tr>
    </w:tbl>
    <w:p w14:paraId="5985BD6E" w14:textId="77777777" w:rsidR="00A754C1" w:rsidRPr="00E87295" w:rsidRDefault="00A754C1" w:rsidP="00E87295">
      <w:pPr>
        <w:jc w:val="both"/>
        <w:rPr>
          <w:sz w:val="22"/>
          <w:szCs w:val="22"/>
          <w:lang w:val="sr-Latn-RS"/>
        </w:rPr>
      </w:pPr>
    </w:p>
    <w:p w14:paraId="04A5D0D4" w14:textId="77777777" w:rsidR="001A5B54" w:rsidRPr="00E87295" w:rsidRDefault="001A5B54" w:rsidP="00E87295">
      <w:pPr>
        <w:keepNext/>
        <w:jc w:val="both"/>
        <w:rPr>
          <w:i/>
          <w:sz w:val="22"/>
          <w:szCs w:val="22"/>
          <w:lang w:val="sr-Latn-RS"/>
        </w:rPr>
      </w:pPr>
      <w:r w:rsidRPr="00E87295">
        <w:rPr>
          <w:i/>
          <w:sz w:val="22"/>
          <w:szCs w:val="22"/>
          <w:u w:val="single"/>
          <w:lang w:val="sr-Latn-RS"/>
        </w:rPr>
        <w:t>Odgovor tokom vremena</w:t>
      </w:r>
    </w:p>
    <w:p w14:paraId="6848F78E" w14:textId="380932A4" w:rsidR="001A5B54" w:rsidRPr="00E87295" w:rsidRDefault="001A5B54" w:rsidP="00E87295">
      <w:pPr>
        <w:widowControl w:val="0"/>
        <w:jc w:val="both"/>
        <w:rPr>
          <w:sz w:val="22"/>
          <w:szCs w:val="22"/>
          <w:lang w:val="sr-Latn-RS"/>
        </w:rPr>
      </w:pPr>
      <w:r w:rsidRPr="00E87295">
        <w:rPr>
          <w:sz w:val="22"/>
          <w:szCs w:val="22"/>
          <w:lang w:val="sr-Latn-RS"/>
        </w:rPr>
        <w:t>U studiji DISCOVER 2, veći odgovor ACR 20 zab</w:t>
      </w:r>
      <w:r w:rsidR="00343954" w:rsidRPr="00E87295">
        <w:rPr>
          <w:sz w:val="22"/>
          <w:szCs w:val="22"/>
          <w:lang w:val="sr-Latn-RS"/>
        </w:rPr>
        <w:t>i</w:t>
      </w:r>
      <w:r w:rsidRPr="00E87295">
        <w:rPr>
          <w:sz w:val="22"/>
          <w:szCs w:val="22"/>
          <w:lang w:val="sr-Latn-RS"/>
        </w:rPr>
        <w:t>l</w:t>
      </w:r>
      <w:r w:rsidR="00343954" w:rsidRPr="00E87295">
        <w:rPr>
          <w:sz w:val="22"/>
          <w:szCs w:val="22"/>
          <w:lang w:val="sr-Latn-RS"/>
        </w:rPr>
        <w:t>j</w:t>
      </w:r>
      <w:r w:rsidRPr="00E87295">
        <w:rPr>
          <w:sz w:val="22"/>
          <w:szCs w:val="22"/>
          <w:lang w:val="sr-Latn-RS"/>
        </w:rPr>
        <w:t xml:space="preserve">ežen je </w:t>
      </w:r>
      <w:r w:rsidR="0082786A" w:rsidRPr="00E87295">
        <w:rPr>
          <w:sz w:val="22"/>
          <w:szCs w:val="22"/>
          <w:lang w:val="sr-Latn-RS"/>
        </w:rPr>
        <w:t xml:space="preserve">kod ispitanika </w:t>
      </w:r>
      <w:r w:rsidRPr="00E87295">
        <w:rPr>
          <w:sz w:val="22"/>
          <w:szCs w:val="22"/>
          <w:lang w:val="sr-Latn-RS"/>
        </w:rPr>
        <w:t>u ob</w:t>
      </w:r>
      <w:r w:rsidR="00343954" w:rsidRPr="00E87295">
        <w:rPr>
          <w:sz w:val="22"/>
          <w:szCs w:val="22"/>
          <w:lang w:val="sr-Latn-RS"/>
        </w:rPr>
        <w:t>j</w:t>
      </w:r>
      <w:r w:rsidRPr="00E87295">
        <w:rPr>
          <w:sz w:val="22"/>
          <w:szCs w:val="22"/>
          <w:lang w:val="sr-Latn-RS"/>
        </w:rPr>
        <w:t xml:space="preserve">e grupe koje su primale guselkumab </w:t>
      </w:r>
      <w:r w:rsidR="0082786A" w:rsidRPr="00E87295">
        <w:rPr>
          <w:sz w:val="22"/>
          <w:szCs w:val="22"/>
          <w:lang w:val="sr-Latn-RS"/>
        </w:rPr>
        <w:t>u odnosu na one</w:t>
      </w:r>
      <w:r w:rsidRPr="00E87295">
        <w:rPr>
          <w:sz w:val="22"/>
          <w:szCs w:val="22"/>
          <w:lang w:val="sr-Latn-RS"/>
        </w:rPr>
        <w:t xml:space="preserve"> koji su primali placebo već 4. ned</w:t>
      </w:r>
      <w:r w:rsidR="00B94F3E" w:rsidRPr="00E87295">
        <w:rPr>
          <w:sz w:val="22"/>
          <w:szCs w:val="22"/>
          <w:lang w:val="sr-Latn-RS"/>
        </w:rPr>
        <w:t>j</w:t>
      </w:r>
      <w:r w:rsidRPr="00E87295">
        <w:rPr>
          <w:sz w:val="22"/>
          <w:szCs w:val="22"/>
          <w:lang w:val="sr-Latn-RS"/>
        </w:rPr>
        <w:t>elje, a terapijska razlika je nastavila da se povećava tokom vremena sve do 24. ned</w:t>
      </w:r>
      <w:r w:rsidR="00343954" w:rsidRPr="00E87295">
        <w:rPr>
          <w:sz w:val="22"/>
          <w:szCs w:val="22"/>
          <w:lang w:val="sr-Latn-RS"/>
        </w:rPr>
        <w:t>j</w:t>
      </w:r>
      <w:r w:rsidRPr="00E87295">
        <w:rPr>
          <w:sz w:val="22"/>
          <w:szCs w:val="22"/>
          <w:lang w:val="sr-Latn-RS"/>
        </w:rPr>
        <w:t>elje (Slika 5).</w:t>
      </w:r>
    </w:p>
    <w:p w14:paraId="524DF8AC" w14:textId="77777777" w:rsidR="001A5B54" w:rsidRPr="00E87295" w:rsidRDefault="001A5B54" w:rsidP="00E87295">
      <w:pPr>
        <w:keepNext/>
        <w:jc w:val="both"/>
        <w:rPr>
          <w:b/>
          <w:bCs/>
          <w:sz w:val="22"/>
          <w:szCs w:val="22"/>
          <w:lang w:val="sr-Latn-RS"/>
        </w:rPr>
      </w:pPr>
    </w:p>
    <w:p w14:paraId="1449C284" w14:textId="0F8E71A7" w:rsidR="001A5B54" w:rsidRPr="00E87295" w:rsidRDefault="001A5B54" w:rsidP="00E87295">
      <w:pPr>
        <w:keepNext/>
        <w:jc w:val="both"/>
        <w:rPr>
          <w:sz w:val="22"/>
          <w:szCs w:val="22"/>
          <w:lang w:val="sr-Latn-RS"/>
        </w:rPr>
      </w:pPr>
      <w:r w:rsidRPr="00E87295">
        <w:rPr>
          <w:b/>
          <w:bCs/>
          <w:sz w:val="22"/>
          <w:szCs w:val="22"/>
          <w:lang w:val="sr-Latn-RS"/>
        </w:rPr>
        <w:t>Slika 5:</w:t>
      </w:r>
      <w:r w:rsidRPr="00E87295">
        <w:rPr>
          <w:b/>
          <w:sz w:val="22"/>
          <w:szCs w:val="22"/>
          <w:lang w:val="sr-Latn-RS"/>
        </w:rPr>
        <w:tab/>
        <w:t xml:space="preserve"> </w:t>
      </w:r>
      <w:r w:rsidRPr="00E87295">
        <w:rPr>
          <w:b/>
          <w:bCs/>
          <w:sz w:val="22"/>
          <w:szCs w:val="22"/>
          <w:lang w:val="sr-Latn-RS"/>
        </w:rPr>
        <w:t>Odgovor ACR 20 po pos</w:t>
      </w:r>
      <w:r w:rsidR="00343954" w:rsidRPr="00E87295">
        <w:rPr>
          <w:b/>
          <w:bCs/>
          <w:sz w:val="22"/>
          <w:szCs w:val="22"/>
          <w:lang w:val="sr-Latn-RS"/>
        </w:rPr>
        <w:t>j</w:t>
      </w:r>
      <w:r w:rsidRPr="00E87295">
        <w:rPr>
          <w:b/>
          <w:bCs/>
          <w:sz w:val="22"/>
          <w:szCs w:val="22"/>
          <w:lang w:val="sr-Latn-RS"/>
        </w:rPr>
        <w:t>etama tokom 24. ned</w:t>
      </w:r>
      <w:r w:rsidR="00343954" w:rsidRPr="00E87295">
        <w:rPr>
          <w:b/>
          <w:bCs/>
          <w:sz w:val="22"/>
          <w:szCs w:val="22"/>
          <w:lang w:val="sr-Latn-RS"/>
        </w:rPr>
        <w:t>j</w:t>
      </w:r>
      <w:r w:rsidRPr="00E87295">
        <w:rPr>
          <w:b/>
          <w:bCs/>
          <w:sz w:val="22"/>
          <w:szCs w:val="22"/>
          <w:lang w:val="sr-Latn-RS"/>
        </w:rPr>
        <w:t>elje u studiji DISCOVER 2</w:t>
      </w:r>
    </w:p>
    <w:p w14:paraId="6CB8083C" w14:textId="77777777" w:rsidR="001A5B54" w:rsidRPr="00E87295" w:rsidRDefault="001A5B54" w:rsidP="00E87295">
      <w:pPr>
        <w:jc w:val="both"/>
        <w:rPr>
          <w:sz w:val="22"/>
          <w:szCs w:val="22"/>
          <w:lang w:val="sr-Latn-RS"/>
        </w:rPr>
      </w:pPr>
      <w:r w:rsidRPr="00E87295">
        <w:rPr>
          <w:b/>
          <w:bCs/>
          <w:noProof/>
          <w:sz w:val="22"/>
          <w:szCs w:val="22"/>
        </w:rPr>
        <mc:AlternateContent>
          <mc:Choice Requires="wps">
            <w:drawing>
              <wp:anchor distT="45720" distB="45720" distL="114300" distR="114300" simplePos="0" relativeHeight="251660288" behindDoc="0" locked="0" layoutInCell="1" allowOverlap="1" wp14:anchorId="7C2D4947" wp14:editId="70612D43">
                <wp:simplePos x="0" y="0"/>
                <wp:positionH relativeFrom="column">
                  <wp:posOffset>2599911</wp:posOffset>
                </wp:positionH>
                <wp:positionV relativeFrom="paragraph">
                  <wp:posOffset>2555847</wp:posOffset>
                </wp:positionV>
                <wp:extent cx="1470742" cy="2857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42" cy="285750"/>
                        </a:xfrm>
                        <a:prstGeom prst="rect">
                          <a:avLst/>
                        </a:prstGeom>
                        <a:solidFill>
                          <a:srgbClr val="FFFFFF"/>
                        </a:solidFill>
                        <a:ln w="9525">
                          <a:noFill/>
                          <a:miter lim="800000"/>
                          <a:headEnd/>
                          <a:tailEnd/>
                        </a:ln>
                      </wps:spPr>
                      <wps:txbx>
                        <w:txbxContent>
                          <w:p w14:paraId="52485DF6" w14:textId="77777777" w:rsidR="000838FC" w:rsidRPr="002444C3" w:rsidRDefault="000838FC" w:rsidP="001A5B54">
                            <w:pPr>
                              <w:rPr>
                                <w:sz w:val="20"/>
                                <w:szCs w:val="20"/>
                                <w:lang w:val="sr-Latn-RS"/>
                              </w:rPr>
                            </w:pPr>
                            <w:r>
                              <w:rPr>
                                <w:sz w:val="20"/>
                                <w:szCs w:val="20"/>
                                <w:lang w:val="sr-Latn-RS"/>
                              </w:rPr>
                              <w:t>Nedelje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D4947" id="Text Box 2" o:spid="_x0000_s1027" type="#_x0000_t202" style="position:absolute;left:0;text-align:left;margin-left:204.7pt;margin-top:201.25pt;width:115.8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" stroked="f">
                <v:textbox inset="0,0,0,0">
                  <w:txbxContent>
                    <w:p w14:paraId="52485DF6" w14:textId="77777777" w:rsidR="000838FC" w:rsidRPr="002444C3" w:rsidRDefault="000838FC" w:rsidP="001A5B54">
                      <w:pPr>
                        <w:rPr>
                          <w:sz w:val="20"/>
                          <w:szCs w:val="20"/>
                          <w:lang w:val="sr-Latn-RS"/>
                        </w:rPr>
                      </w:pPr>
                      <w:r>
                        <w:rPr>
                          <w:sz w:val="20"/>
                          <w:szCs w:val="20"/>
                          <w:lang w:val="sr-Latn-RS"/>
                        </w:rPr>
                        <w:t>Nedelje</w:t>
                      </w:r>
                    </w:p>
                  </w:txbxContent>
                </v:textbox>
              </v:shape>
            </w:pict>
          </mc:Fallback>
        </mc:AlternateContent>
      </w:r>
      <w:r w:rsidRPr="00E87295">
        <w:rPr>
          <w:b/>
          <w:bCs/>
          <w:noProof/>
          <w:sz w:val="22"/>
          <w:szCs w:val="22"/>
        </w:rPr>
        <mc:AlternateContent>
          <mc:Choice Requires="wps">
            <w:drawing>
              <wp:anchor distT="45720" distB="45720" distL="114300" distR="114300" simplePos="0" relativeHeight="251659264" behindDoc="0" locked="0" layoutInCell="1" allowOverlap="1" wp14:anchorId="5B1268F0" wp14:editId="6C5093EE">
                <wp:simplePos x="0" y="0"/>
                <wp:positionH relativeFrom="column">
                  <wp:posOffset>87216</wp:posOffset>
                </wp:positionH>
                <wp:positionV relativeFrom="paragraph">
                  <wp:posOffset>480474</wp:posOffset>
                </wp:positionV>
                <wp:extent cx="222637" cy="1335819"/>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7" cy="1335819"/>
                        </a:xfrm>
                        <a:prstGeom prst="rect">
                          <a:avLst/>
                        </a:prstGeom>
                        <a:solidFill>
                          <a:srgbClr val="FFFFFF"/>
                        </a:solidFill>
                        <a:ln w="9525">
                          <a:noFill/>
                          <a:miter lim="800000"/>
                          <a:headEnd/>
                          <a:tailEnd/>
                        </a:ln>
                      </wps:spPr>
                      <wps:txbx>
                        <w:txbxContent>
                          <w:p w14:paraId="4BB93588" w14:textId="77777777" w:rsidR="000838FC" w:rsidRPr="002444C3" w:rsidRDefault="000838FC" w:rsidP="001A5B54">
                            <w:pPr>
                              <w:rPr>
                                <w:sz w:val="20"/>
                                <w:szCs w:val="20"/>
                              </w:rPr>
                            </w:pPr>
                            <w:r w:rsidRPr="002444C3">
                              <w:rPr>
                                <w:sz w:val="20"/>
                                <w:szCs w:val="20"/>
                              </w:rPr>
                              <w:t>Procenat ispitanika (%)</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268F0" id="_x0000_s1028" type="#_x0000_t202" style="position:absolute;left:0;text-align:left;margin-left:6.85pt;margin-top:37.85pt;width:17.55pt;height:10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" stroked="f">
                <v:textbox style="layout-flow:vertical;mso-layout-flow-alt:bottom-to-top" inset="0,0,0,0">
                  <w:txbxContent>
                    <w:p w14:paraId="4BB93588" w14:textId="77777777" w:rsidR="000838FC" w:rsidRPr="002444C3" w:rsidRDefault="000838FC" w:rsidP="001A5B54">
                      <w:pPr>
                        <w:rPr>
                          <w:sz w:val="20"/>
                          <w:szCs w:val="20"/>
                        </w:rPr>
                      </w:pPr>
                      <w:r w:rsidRPr="002444C3">
                        <w:rPr>
                          <w:sz w:val="20"/>
                          <w:szCs w:val="20"/>
                        </w:rPr>
                        <w:t>Procenat ispitanika (%)</w:t>
                      </w:r>
                    </w:p>
                  </w:txbxContent>
                </v:textbox>
              </v:shape>
            </w:pict>
          </mc:Fallback>
        </mc:AlternateContent>
      </w:r>
      <w:r w:rsidRPr="00E87295">
        <w:rPr>
          <w:b/>
          <w:noProof/>
          <w:sz w:val="22"/>
          <w:szCs w:val="22"/>
        </w:rPr>
        <w:drawing>
          <wp:inline distT="0" distB="0" distL="0" distR="0" wp14:anchorId="6A47FC02" wp14:editId="669BBDF4">
            <wp:extent cx="5760720" cy="3070860"/>
            <wp:effectExtent l="0" t="0" r="0" b="0"/>
            <wp:docPr id="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3070860"/>
                    </a:xfrm>
                    <a:prstGeom prst="rect">
                      <a:avLst/>
                    </a:prstGeom>
                    <a:noFill/>
                    <a:ln>
                      <a:noFill/>
                    </a:ln>
                  </pic:spPr>
                </pic:pic>
              </a:graphicData>
            </a:graphic>
          </wp:inline>
        </w:drawing>
      </w:r>
    </w:p>
    <w:p w14:paraId="6B20CE2B" w14:textId="77777777" w:rsidR="001A5B54" w:rsidRPr="00E87295" w:rsidRDefault="001A5B54" w:rsidP="00E87295">
      <w:pPr>
        <w:jc w:val="both"/>
        <w:rPr>
          <w:bCs/>
          <w:iCs/>
          <w:sz w:val="22"/>
          <w:szCs w:val="22"/>
          <w:u w:val="single"/>
          <w:lang w:val="sr-Latn-RS"/>
        </w:rPr>
      </w:pPr>
    </w:p>
    <w:p w14:paraId="7A6C0719" w14:textId="612A18DF" w:rsidR="007671AA" w:rsidRPr="00E87295" w:rsidRDefault="007671AA">
      <w:pPr>
        <w:widowControl w:val="0"/>
        <w:jc w:val="both"/>
        <w:rPr>
          <w:sz w:val="22"/>
          <w:szCs w:val="22"/>
          <w:lang w:val="sr-Latn-RS"/>
        </w:rPr>
      </w:pPr>
      <w:r w:rsidRPr="00E87295">
        <w:rPr>
          <w:sz w:val="22"/>
          <w:szCs w:val="22"/>
          <w:lang w:val="sr-Latn-RS"/>
        </w:rPr>
        <w:t xml:space="preserve">U ispitivanju DISCOVER 2 odgovor ACR 20 kod pacijenata koji su kontinuirano primali guselkumab </w:t>
      </w:r>
      <w:r w:rsidRPr="00E87295">
        <w:rPr>
          <w:sz w:val="22"/>
          <w:szCs w:val="22"/>
          <w:lang w:val="sr-Latn-RS"/>
        </w:rPr>
        <w:lastRenderedPageBreak/>
        <w:t>održao se od 24. do 52. ned</w:t>
      </w:r>
      <w:r w:rsidR="00B94F3E" w:rsidRPr="00E87295">
        <w:rPr>
          <w:sz w:val="22"/>
          <w:szCs w:val="22"/>
          <w:lang w:val="sr-Latn-RS"/>
        </w:rPr>
        <w:t>j</w:t>
      </w:r>
      <w:r w:rsidRPr="00E87295">
        <w:rPr>
          <w:sz w:val="22"/>
          <w:szCs w:val="22"/>
          <w:lang w:val="sr-Latn-RS"/>
        </w:rPr>
        <w:t>elje (vid</w:t>
      </w:r>
      <w:r w:rsidR="00B94F3E" w:rsidRPr="00E87295">
        <w:rPr>
          <w:sz w:val="22"/>
          <w:szCs w:val="22"/>
          <w:lang w:val="sr-Latn-RS"/>
        </w:rPr>
        <w:t>j</w:t>
      </w:r>
      <w:r w:rsidRPr="00E87295">
        <w:rPr>
          <w:sz w:val="22"/>
          <w:szCs w:val="22"/>
          <w:lang w:val="sr-Latn-RS"/>
        </w:rPr>
        <w:t>eti Sliku 6)</w:t>
      </w:r>
      <w:r w:rsidR="00FB3DEB" w:rsidRPr="00E87295">
        <w:rPr>
          <w:sz w:val="22"/>
          <w:szCs w:val="22"/>
          <w:lang w:val="sr-Latn-RS"/>
        </w:rPr>
        <w:t>.</w:t>
      </w:r>
      <w:r w:rsidR="00866B41" w:rsidRPr="00E87295">
        <w:rPr>
          <w:sz w:val="22"/>
          <w:szCs w:val="22"/>
          <w:lang w:val="sr-Latn-RS"/>
        </w:rPr>
        <w:t xml:space="preserve"> </w:t>
      </w:r>
      <w:r w:rsidR="00FB3DEB" w:rsidRPr="00E87295">
        <w:rPr>
          <w:sz w:val="22"/>
          <w:szCs w:val="22"/>
          <w:lang w:val="sr-Latn-RS"/>
        </w:rPr>
        <w:t>Kod ispitanika koji su kontinuirano primali guselkumab  tokom 52 ned</w:t>
      </w:r>
      <w:r w:rsidR="00C7727A" w:rsidRPr="00E87295">
        <w:rPr>
          <w:sz w:val="22"/>
          <w:szCs w:val="22"/>
          <w:lang w:val="sr-Latn-RS"/>
        </w:rPr>
        <w:t>j</w:t>
      </w:r>
      <w:r w:rsidR="00FB3DEB" w:rsidRPr="00E87295">
        <w:rPr>
          <w:sz w:val="22"/>
          <w:szCs w:val="22"/>
          <w:lang w:val="sr-Latn-RS"/>
        </w:rPr>
        <w:t>elje, odgovor ACR 20 održao se od 52. do 100. ned</w:t>
      </w:r>
      <w:r w:rsidR="00C7727A" w:rsidRPr="00E87295">
        <w:rPr>
          <w:sz w:val="22"/>
          <w:szCs w:val="22"/>
          <w:lang w:val="sr-Latn-RS"/>
        </w:rPr>
        <w:t>j</w:t>
      </w:r>
      <w:r w:rsidR="00FB3DEB" w:rsidRPr="00E87295">
        <w:rPr>
          <w:sz w:val="22"/>
          <w:szCs w:val="22"/>
          <w:lang w:val="sr-Latn-RS"/>
        </w:rPr>
        <w:t>elje (vid</w:t>
      </w:r>
      <w:r w:rsidR="00C7727A" w:rsidRPr="00E87295">
        <w:rPr>
          <w:sz w:val="22"/>
          <w:szCs w:val="22"/>
          <w:lang w:val="sr-Latn-RS"/>
        </w:rPr>
        <w:t>j</w:t>
      </w:r>
      <w:r w:rsidR="00FB3DEB" w:rsidRPr="00E87295">
        <w:rPr>
          <w:sz w:val="22"/>
          <w:szCs w:val="22"/>
          <w:lang w:val="sr-Latn-RS"/>
        </w:rPr>
        <w:t>eti Sliku 7).</w:t>
      </w:r>
    </w:p>
    <w:p w14:paraId="1D593D2D" w14:textId="77777777" w:rsidR="007671AA" w:rsidRPr="00E87295" w:rsidRDefault="007671AA" w:rsidP="00E87295">
      <w:pPr>
        <w:widowControl w:val="0"/>
        <w:jc w:val="both"/>
        <w:rPr>
          <w:sz w:val="22"/>
          <w:szCs w:val="22"/>
          <w:lang w:val="sr-Latn-RS"/>
        </w:rPr>
      </w:pPr>
    </w:p>
    <w:p w14:paraId="603C0A82" w14:textId="77777777" w:rsidR="007671AA" w:rsidRPr="00E87295" w:rsidRDefault="007671AA" w:rsidP="00E87295">
      <w:pPr>
        <w:widowControl w:val="0"/>
        <w:jc w:val="both"/>
        <w:rPr>
          <w:sz w:val="22"/>
          <w:szCs w:val="22"/>
          <w:lang w:val="sr-Latn-RS"/>
        </w:rPr>
      </w:pPr>
    </w:p>
    <w:p w14:paraId="7F6F9577" w14:textId="0379783D" w:rsidR="00FB3DEB" w:rsidRPr="00E87295" w:rsidRDefault="00FB3DEB" w:rsidP="00E87295">
      <w:pPr>
        <w:keepNext/>
        <w:ind w:left="1134" w:hanging="1134"/>
        <w:jc w:val="both"/>
        <w:rPr>
          <w:sz w:val="22"/>
          <w:szCs w:val="22"/>
          <w:lang w:val="sr-Latn-RS"/>
        </w:rPr>
      </w:pPr>
      <w:r w:rsidRPr="00E87295">
        <w:rPr>
          <w:sz w:val="22"/>
          <w:szCs w:val="22"/>
          <w:lang w:val="sr-Latn-RS"/>
        </w:rPr>
        <w:t>Slika 6:</w:t>
      </w:r>
      <w:r w:rsidRPr="00E87295">
        <w:rPr>
          <w:sz w:val="22"/>
          <w:szCs w:val="22"/>
          <w:lang w:val="sr-Latn-RS"/>
        </w:rPr>
        <w:tab/>
        <w:t>Odgovor ACR 20 po pos</w:t>
      </w:r>
      <w:r w:rsidR="00C7727A" w:rsidRPr="00E87295">
        <w:rPr>
          <w:sz w:val="22"/>
          <w:szCs w:val="22"/>
          <w:lang w:val="sr-Latn-RS"/>
        </w:rPr>
        <w:t>j</w:t>
      </w:r>
      <w:r w:rsidRPr="00E87295">
        <w:rPr>
          <w:sz w:val="22"/>
          <w:szCs w:val="22"/>
          <w:lang w:val="sr-Latn-RS"/>
        </w:rPr>
        <w:t>eti od 24. ned</w:t>
      </w:r>
      <w:r w:rsidR="00C7727A" w:rsidRPr="00E87295">
        <w:rPr>
          <w:sz w:val="22"/>
          <w:szCs w:val="22"/>
          <w:lang w:val="sr-Latn-RS"/>
        </w:rPr>
        <w:t>j</w:t>
      </w:r>
      <w:r w:rsidRPr="00E87295">
        <w:rPr>
          <w:sz w:val="22"/>
          <w:szCs w:val="22"/>
          <w:lang w:val="sr-Latn-RS"/>
        </w:rPr>
        <w:t>elje do 52. ned</w:t>
      </w:r>
      <w:r w:rsidR="00C7727A" w:rsidRPr="00E87295">
        <w:rPr>
          <w:sz w:val="22"/>
          <w:szCs w:val="22"/>
          <w:lang w:val="sr-Latn-RS"/>
        </w:rPr>
        <w:t>j</w:t>
      </w:r>
      <w:r w:rsidRPr="00E87295">
        <w:rPr>
          <w:sz w:val="22"/>
          <w:szCs w:val="22"/>
          <w:lang w:val="sr-Latn-RS"/>
        </w:rPr>
        <w:t>elje u ispitivanju DISCOVER 2</w:t>
      </w:r>
    </w:p>
    <w:p w14:paraId="76C605CA" w14:textId="77777777" w:rsidR="00FB3DEB" w:rsidRPr="00E87295" w:rsidRDefault="00FB3DEB" w:rsidP="00E87295">
      <w:pPr>
        <w:keepNext/>
        <w:jc w:val="both"/>
        <w:rPr>
          <w:sz w:val="22"/>
          <w:szCs w:val="22"/>
        </w:rPr>
      </w:pPr>
    </w:p>
    <w:p w14:paraId="25D9177C" w14:textId="77777777" w:rsidR="00FB3DEB" w:rsidRPr="00E87295" w:rsidRDefault="00FB3DEB" w:rsidP="00E87295">
      <w:pPr>
        <w:keepNext/>
        <w:jc w:val="both"/>
        <w:rPr>
          <w:sz w:val="22"/>
          <w:szCs w:val="22"/>
        </w:rPr>
      </w:pPr>
      <w:r w:rsidRPr="00E87295">
        <w:rPr>
          <w:noProof/>
          <w:sz w:val="22"/>
          <w:szCs w:val="22"/>
        </w:rPr>
        <w:drawing>
          <wp:inline distT="0" distB="0" distL="0" distR="0" wp14:anchorId="688C08DA" wp14:editId="5F3C81CA">
            <wp:extent cx="6668735" cy="3200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7448" t="26997" r="8109" b="40025"/>
                    <a:stretch/>
                  </pic:blipFill>
                  <pic:spPr bwMode="auto">
                    <a:xfrm>
                      <a:off x="0" y="0"/>
                      <a:ext cx="6668735" cy="3200400"/>
                    </a:xfrm>
                    <a:prstGeom prst="rect">
                      <a:avLst/>
                    </a:prstGeom>
                    <a:ln>
                      <a:noFill/>
                    </a:ln>
                    <a:extLst>
                      <a:ext uri="{53640926-AAD7-44D8-BBD7-CCE9431645EC}">
                        <a14:shadowObscured xmlns:a14="http://schemas.microsoft.com/office/drawing/2010/main"/>
                      </a:ext>
                    </a:extLst>
                  </pic:spPr>
                </pic:pic>
              </a:graphicData>
            </a:graphic>
          </wp:inline>
        </w:drawing>
      </w:r>
    </w:p>
    <w:p w14:paraId="1466C8B1" w14:textId="77777777" w:rsidR="00FB3DEB" w:rsidRPr="00E87295" w:rsidRDefault="00FB3DEB" w:rsidP="00E87295">
      <w:pPr>
        <w:keepNext/>
        <w:jc w:val="both"/>
        <w:rPr>
          <w:sz w:val="22"/>
          <w:szCs w:val="22"/>
        </w:rPr>
      </w:pPr>
    </w:p>
    <w:p w14:paraId="711880C3" w14:textId="1B068934" w:rsidR="00FB3DEB" w:rsidRPr="00E87295" w:rsidRDefault="00FB3DEB" w:rsidP="00E87295">
      <w:pPr>
        <w:keepNext/>
        <w:ind w:left="1134" w:hanging="1134"/>
        <w:jc w:val="both"/>
        <w:rPr>
          <w:sz w:val="22"/>
          <w:szCs w:val="22"/>
          <w:lang w:val="sr-Latn-RS"/>
        </w:rPr>
      </w:pPr>
      <w:r w:rsidRPr="00E87295">
        <w:rPr>
          <w:sz w:val="22"/>
          <w:szCs w:val="22"/>
          <w:lang w:val="sr-Latn-RS"/>
        </w:rPr>
        <w:t>Slika 7:</w:t>
      </w:r>
      <w:r w:rsidRPr="00E87295">
        <w:rPr>
          <w:sz w:val="22"/>
          <w:szCs w:val="22"/>
          <w:lang w:val="sr-Latn-RS"/>
        </w:rPr>
        <w:tab/>
        <w:t>Odgovor ACR 20 po pos</w:t>
      </w:r>
      <w:r w:rsidR="00C7727A" w:rsidRPr="00E87295">
        <w:rPr>
          <w:sz w:val="22"/>
          <w:szCs w:val="22"/>
          <w:lang w:val="sr-Latn-RS"/>
        </w:rPr>
        <w:t>j</w:t>
      </w:r>
      <w:r w:rsidRPr="00E87295">
        <w:rPr>
          <w:sz w:val="22"/>
          <w:szCs w:val="22"/>
          <w:lang w:val="sr-Latn-RS"/>
        </w:rPr>
        <w:t>eti od 52. ned</w:t>
      </w:r>
      <w:r w:rsidR="00C7727A" w:rsidRPr="00E87295">
        <w:rPr>
          <w:sz w:val="22"/>
          <w:szCs w:val="22"/>
          <w:lang w:val="sr-Latn-RS"/>
        </w:rPr>
        <w:t>j</w:t>
      </w:r>
      <w:r w:rsidRPr="00E87295">
        <w:rPr>
          <w:sz w:val="22"/>
          <w:szCs w:val="22"/>
          <w:lang w:val="sr-Latn-RS"/>
        </w:rPr>
        <w:t>elje do 100. ned</w:t>
      </w:r>
      <w:r w:rsidR="00C7727A" w:rsidRPr="00E87295">
        <w:rPr>
          <w:sz w:val="22"/>
          <w:szCs w:val="22"/>
          <w:lang w:val="sr-Latn-RS"/>
        </w:rPr>
        <w:t>j</w:t>
      </w:r>
      <w:r w:rsidRPr="00E87295">
        <w:rPr>
          <w:sz w:val="22"/>
          <w:szCs w:val="22"/>
          <w:lang w:val="sr-Latn-RS"/>
        </w:rPr>
        <w:t>elje u ispitivanju DISCOVER 2</w:t>
      </w:r>
    </w:p>
    <w:p w14:paraId="541099CC" w14:textId="77777777" w:rsidR="00FB3DEB" w:rsidRPr="00E87295" w:rsidRDefault="00FB3DEB" w:rsidP="00E87295">
      <w:pPr>
        <w:keepNext/>
        <w:jc w:val="both"/>
        <w:rPr>
          <w:sz w:val="22"/>
          <w:szCs w:val="22"/>
        </w:rPr>
      </w:pPr>
    </w:p>
    <w:p w14:paraId="1BE902C0" w14:textId="77777777" w:rsidR="00FB3DEB" w:rsidRPr="00E87295" w:rsidRDefault="00FB3DEB" w:rsidP="00E87295">
      <w:pPr>
        <w:jc w:val="both"/>
        <w:rPr>
          <w:sz w:val="22"/>
          <w:szCs w:val="22"/>
        </w:rPr>
      </w:pPr>
      <w:r w:rsidRPr="00E87295">
        <w:rPr>
          <w:noProof/>
          <w:sz w:val="22"/>
          <w:szCs w:val="22"/>
        </w:rPr>
        <w:drawing>
          <wp:inline distT="0" distB="0" distL="0" distR="0" wp14:anchorId="1060A00C" wp14:editId="65E89D36">
            <wp:extent cx="6057900" cy="283462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5122" t="60896" r="8528" b="6125"/>
                    <a:stretch/>
                  </pic:blipFill>
                  <pic:spPr bwMode="auto">
                    <a:xfrm>
                      <a:off x="0" y="0"/>
                      <a:ext cx="6057933" cy="2834640"/>
                    </a:xfrm>
                    <a:prstGeom prst="rect">
                      <a:avLst/>
                    </a:prstGeom>
                    <a:ln>
                      <a:noFill/>
                    </a:ln>
                    <a:extLst>
                      <a:ext uri="{53640926-AAD7-44D8-BBD7-CCE9431645EC}">
                        <a14:shadowObscured xmlns:a14="http://schemas.microsoft.com/office/drawing/2010/main"/>
                      </a:ext>
                    </a:extLst>
                  </pic:spPr>
                </pic:pic>
              </a:graphicData>
            </a:graphic>
          </wp:inline>
        </w:drawing>
      </w:r>
    </w:p>
    <w:p w14:paraId="551B38D8" w14:textId="77777777" w:rsidR="00FB3DEB" w:rsidRPr="00E87295" w:rsidRDefault="00FB3DEB" w:rsidP="00E87295">
      <w:pPr>
        <w:widowControl w:val="0"/>
        <w:jc w:val="both"/>
        <w:rPr>
          <w:sz w:val="22"/>
          <w:szCs w:val="22"/>
          <w:lang w:val="sr-Latn-RS"/>
        </w:rPr>
      </w:pPr>
    </w:p>
    <w:p w14:paraId="462DDD35" w14:textId="77777777" w:rsidR="00FB3DEB" w:rsidRPr="00E87295" w:rsidRDefault="00FB3DEB" w:rsidP="00E87295">
      <w:pPr>
        <w:widowControl w:val="0"/>
        <w:jc w:val="both"/>
        <w:rPr>
          <w:sz w:val="22"/>
          <w:szCs w:val="22"/>
          <w:lang w:val="sr-Latn-RS"/>
        </w:rPr>
      </w:pPr>
    </w:p>
    <w:p w14:paraId="0B6A1335" w14:textId="77777777" w:rsidR="00FB3DEB" w:rsidRPr="00E87295" w:rsidRDefault="00FB3DEB" w:rsidP="00E87295">
      <w:pPr>
        <w:widowControl w:val="0"/>
        <w:jc w:val="both"/>
        <w:rPr>
          <w:sz w:val="22"/>
          <w:szCs w:val="22"/>
          <w:lang w:val="sr-Latn-RS"/>
        </w:rPr>
      </w:pPr>
    </w:p>
    <w:p w14:paraId="649248DF" w14:textId="5ACB2EA2" w:rsidR="001A5B54" w:rsidRPr="00E87295" w:rsidRDefault="001A5B54" w:rsidP="00E87295">
      <w:pPr>
        <w:widowControl w:val="0"/>
        <w:jc w:val="both"/>
        <w:rPr>
          <w:sz w:val="22"/>
          <w:szCs w:val="22"/>
          <w:lang w:val="sr-Latn-RS"/>
        </w:rPr>
      </w:pPr>
      <w:r w:rsidRPr="00E87295">
        <w:rPr>
          <w:sz w:val="22"/>
          <w:szCs w:val="22"/>
          <w:lang w:val="sr-Latn-RS"/>
        </w:rPr>
        <w:t>Odgovori zab</w:t>
      </w:r>
      <w:r w:rsidR="00343954" w:rsidRPr="00E87295">
        <w:rPr>
          <w:sz w:val="22"/>
          <w:szCs w:val="22"/>
          <w:lang w:val="sr-Latn-RS"/>
        </w:rPr>
        <w:t>i</w:t>
      </w:r>
      <w:r w:rsidRPr="00E87295">
        <w:rPr>
          <w:sz w:val="22"/>
          <w:szCs w:val="22"/>
          <w:lang w:val="sr-Latn-RS"/>
        </w:rPr>
        <w:t>l</w:t>
      </w:r>
      <w:r w:rsidR="00343954" w:rsidRPr="00E87295">
        <w:rPr>
          <w:sz w:val="22"/>
          <w:szCs w:val="22"/>
          <w:lang w:val="sr-Latn-RS"/>
        </w:rPr>
        <w:t>j</w:t>
      </w:r>
      <w:r w:rsidRPr="00E87295">
        <w:rPr>
          <w:sz w:val="22"/>
          <w:szCs w:val="22"/>
          <w:lang w:val="sr-Latn-RS"/>
        </w:rPr>
        <w:t>eženi u grupama koje su primale guselkumab bili su slični nezavisno od istovremene prim</w:t>
      </w:r>
      <w:r w:rsidR="00343954" w:rsidRPr="00E87295">
        <w:rPr>
          <w:sz w:val="22"/>
          <w:szCs w:val="22"/>
          <w:lang w:val="sr-Latn-RS"/>
        </w:rPr>
        <w:t>j</w:t>
      </w:r>
      <w:r w:rsidRPr="00E87295">
        <w:rPr>
          <w:sz w:val="22"/>
          <w:szCs w:val="22"/>
          <w:lang w:val="sr-Latn-RS"/>
        </w:rPr>
        <w:t>ene csDMARD uključujući i MTX (DISCOVER 1 i 2). Uz to, pregled po godinama starosti, polu, rasi, t</w:t>
      </w:r>
      <w:r w:rsidR="00343954" w:rsidRPr="00E87295">
        <w:rPr>
          <w:sz w:val="22"/>
          <w:szCs w:val="22"/>
          <w:lang w:val="sr-Latn-RS"/>
        </w:rPr>
        <w:t>j</w:t>
      </w:r>
      <w:r w:rsidRPr="00E87295">
        <w:rPr>
          <w:sz w:val="22"/>
          <w:szCs w:val="22"/>
          <w:lang w:val="sr-Latn-RS"/>
        </w:rPr>
        <w:t>elesnoj težini i prethodnoj upotrebi</w:t>
      </w:r>
      <w:r w:rsidRPr="00E87295">
        <w:rPr>
          <w:sz w:val="22"/>
          <w:szCs w:val="22"/>
          <w:lang w:val="sr-Latn-RS" w:eastAsia="zh-TW"/>
        </w:rPr>
        <w:t xml:space="preserve"> csDMARD (</w:t>
      </w:r>
      <w:r w:rsidRPr="00E87295">
        <w:rPr>
          <w:sz w:val="22"/>
          <w:szCs w:val="22"/>
          <w:lang w:val="sr-Latn-RS"/>
        </w:rPr>
        <w:t xml:space="preserve">DISCOVER 1 i 2) </w:t>
      </w:r>
      <w:r w:rsidRPr="00E87295">
        <w:rPr>
          <w:sz w:val="22"/>
          <w:szCs w:val="22"/>
          <w:lang w:val="sr-Latn-RS" w:eastAsia="zh-TW"/>
        </w:rPr>
        <w:t xml:space="preserve">i </w:t>
      </w:r>
      <w:r w:rsidRPr="00E87295">
        <w:rPr>
          <w:sz w:val="22"/>
          <w:szCs w:val="22"/>
          <w:lang w:val="sr-Latn-RS"/>
        </w:rPr>
        <w:t>prethodnoj upotrebi</w:t>
      </w:r>
      <w:r w:rsidRPr="00E87295">
        <w:rPr>
          <w:sz w:val="22"/>
          <w:szCs w:val="22"/>
          <w:lang w:val="sr-Latn-RS" w:eastAsia="zh-TW"/>
        </w:rPr>
        <w:t xml:space="preserve"> </w:t>
      </w:r>
      <w:r w:rsidRPr="00E87295">
        <w:rPr>
          <w:sz w:val="22"/>
          <w:szCs w:val="22"/>
          <w:lang w:val="sr-Latn-RS"/>
        </w:rPr>
        <w:t xml:space="preserve">anti-TNFα (DISCOVER 1), </w:t>
      </w:r>
      <w:r w:rsidRPr="00E87295">
        <w:rPr>
          <w:rFonts w:eastAsia="MS Mincho"/>
          <w:sz w:val="22"/>
          <w:szCs w:val="22"/>
          <w:lang w:val="sr-Latn-RS" w:eastAsia="ja-JP"/>
        </w:rPr>
        <w:t xml:space="preserve">nije ukazao ni na kakve razlike u odgovoru na </w:t>
      </w:r>
      <w:r w:rsidRPr="00E87295">
        <w:rPr>
          <w:sz w:val="22"/>
          <w:szCs w:val="22"/>
          <w:lang w:val="sr-Latn-RS"/>
        </w:rPr>
        <w:t>guselkumab</w:t>
      </w:r>
      <w:r w:rsidR="0082786A" w:rsidRPr="00E87295">
        <w:rPr>
          <w:rFonts w:eastAsia="MS Mincho"/>
          <w:sz w:val="22"/>
          <w:szCs w:val="22"/>
          <w:lang w:val="sr-Latn-RS" w:eastAsia="ja-JP"/>
        </w:rPr>
        <w:t xml:space="preserve"> između</w:t>
      </w:r>
      <w:r w:rsidRPr="00E87295">
        <w:rPr>
          <w:rFonts w:eastAsia="MS Mincho"/>
          <w:sz w:val="22"/>
          <w:szCs w:val="22"/>
          <w:lang w:val="sr-Latn-RS" w:eastAsia="ja-JP"/>
        </w:rPr>
        <w:t xml:space="preserve"> ovi</w:t>
      </w:r>
      <w:r w:rsidR="0082786A" w:rsidRPr="00E87295">
        <w:rPr>
          <w:rFonts w:eastAsia="MS Mincho"/>
          <w:sz w:val="22"/>
          <w:szCs w:val="22"/>
          <w:lang w:val="sr-Latn-RS" w:eastAsia="ja-JP"/>
        </w:rPr>
        <w:t>h</w:t>
      </w:r>
      <w:r w:rsidRPr="00E87295">
        <w:rPr>
          <w:rFonts w:eastAsia="MS Mincho"/>
          <w:sz w:val="22"/>
          <w:szCs w:val="22"/>
          <w:lang w:val="sr-Latn-RS" w:eastAsia="ja-JP"/>
        </w:rPr>
        <w:t xml:space="preserve"> podgrupa. </w:t>
      </w:r>
    </w:p>
    <w:p w14:paraId="5B027996" w14:textId="77777777" w:rsidR="001A5B54" w:rsidRPr="00E87295" w:rsidRDefault="001A5B54" w:rsidP="00E87295">
      <w:pPr>
        <w:autoSpaceDE w:val="0"/>
        <w:autoSpaceDN w:val="0"/>
        <w:adjustRightInd w:val="0"/>
        <w:jc w:val="both"/>
        <w:rPr>
          <w:sz w:val="22"/>
          <w:szCs w:val="22"/>
          <w:lang w:val="sr-Latn-RS" w:eastAsia="zh-TW"/>
        </w:rPr>
      </w:pPr>
    </w:p>
    <w:p w14:paraId="08FF62E3" w14:textId="4E49E45A" w:rsidR="001A5B54" w:rsidRPr="00E87295" w:rsidRDefault="001A5B54" w:rsidP="00E87295">
      <w:pPr>
        <w:autoSpaceDE w:val="0"/>
        <w:autoSpaceDN w:val="0"/>
        <w:adjustRightInd w:val="0"/>
        <w:jc w:val="both"/>
        <w:rPr>
          <w:sz w:val="22"/>
          <w:szCs w:val="22"/>
          <w:lang w:val="sr-Latn-RS"/>
        </w:rPr>
      </w:pPr>
      <w:r w:rsidRPr="00E87295">
        <w:rPr>
          <w:sz w:val="22"/>
          <w:szCs w:val="22"/>
          <w:lang w:val="sr-Latn-RS" w:eastAsia="zh-TW"/>
        </w:rPr>
        <w:lastRenderedPageBreak/>
        <w:t>U studijama DISCOVER 1 i 2, poboljšanje je pokazano po svim komponentama skorova ACR uključujući i proc</w:t>
      </w:r>
      <w:r w:rsidR="00343954" w:rsidRPr="00E87295">
        <w:rPr>
          <w:sz w:val="22"/>
          <w:szCs w:val="22"/>
          <w:lang w:val="sr-Latn-RS" w:eastAsia="zh-TW"/>
        </w:rPr>
        <w:t>j</w:t>
      </w:r>
      <w:r w:rsidRPr="00E87295">
        <w:rPr>
          <w:sz w:val="22"/>
          <w:szCs w:val="22"/>
          <w:lang w:val="sr-Latn-RS" w:eastAsia="zh-TW"/>
        </w:rPr>
        <w:t>enu bola od strane pacijenata. U ob</w:t>
      </w:r>
      <w:r w:rsidR="00343954" w:rsidRPr="00E87295">
        <w:rPr>
          <w:sz w:val="22"/>
          <w:szCs w:val="22"/>
          <w:lang w:val="sr-Latn-RS" w:eastAsia="zh-TW"/>
        </w:rPr>
        <w:t>j</w:t>
      </w:r>
      <w:r w:rsidRPr="00E87295">
        <w:rPr>
          <w:sz w:val="22"/>
          <w:szCs w:val="22"/>
          <w:lang w:val="sr-Latn-RS" w:eastAsia="zh-TW"/>
        </w:rPr>
        <w:t>e studije je u 24-toj ned</w:t>
      </w:r>
      <w:r w:rsidR="00343954" w:rsidRPr="00E87295">
        <w:rPr>
          <w:sz w:val="22"/>
          <w:szCs w:val="22"/>
          <w:lang w:val="sr-Latn-RS" w:eastAsia="zh-TW"/>
        </w:rPr>
        <w:t>j</w:t>
      </w:r>
      <w:r w:rsidRPr="00E87295">
        <w:rPr>
          <w:sz w:val="22"/>
          <w:szCs w:val="22"/>
          <w:lang w:val="sr-Latn-RS" w:eastAsia="zh-TW"/>
        </w:rPr>
        <w:t xml:space="preserve">elji procenat </w:t>
      </w:r>
      <w:r w:rsidRPr="00E87295">
        <w:rPr>
          <w:sz w:val="22"/>
          <w:szCs w:val="22"/>
          <w:lang w:val="sr-Latn-RS"/>
        </w:rPr>
        <w:t>pacijenata koji su postigli modifikovane kriterijume odgovora PsA (</w:t>
      </w:r>
      <w:r w:rsidR="0082786A" w:rsidRPr="00E87295">
        <w:rPr>
          <w:sz w:val="22"/>
          <w:szCs w:val="22"/>
          <w:lang w:val="sr-Latn-RS"/>
        </w:rPr>
        <w:t xml:space="preserve">engl. </w:t>
      </w:r>
      <w:r w:rsidR="0082786A" w:rsidRPr="00E87295">
        <w:rPr>
          <w:i/>
          <w:sz w:val="22"/>
          <w:szCs w:val="22"/>
          <w:lang w:val="sr-Latn-RS"/>
        </w:rPr>
        <w:t>PsA response criteria</w:t>
      </w:r>
      <w:r w:rsidR="0082786A" w:rsidRPr="00E87295">
        <w:rPr>
          <w:sz w:val="22"/>
          <w:szCs w:val="22"/>
          <w:lang w:val="sr-Latn-RS"/>
        </w:rPr>
        <w:t xml:space="preserve">, </w:t>
      </w:r>
      <w:r w:rsidRPr="00E87295">
        <w:rPr>
          <w:sz w:val="22"/>
          <w:szCs w:val="22"/>
          <w:lang w:val="sr-Latn-RS"/>
        </w:rPr>
        <w:t>PsARC) bio veći u grupama koje su primale guselkumab u poređenju sa grupama u kojima je prim</w:t>
      </w:r>
      <w:r w:rsidR="00343954" w:rsidRPr="00E87295">
        <w:rPr>
          <w:sz w:val="22"/>
          <w:szCs w:val="22"/>
          <w:lang w:val="sr-Latn-RS"/>
        </w:rPr>
        <w:t>j</w:t>
      </w:r>
      <w:r w:rsidRPr="00E87295">
        <w:rPr>
          <w:sz w:val="22"/>
          <w:szCs w:val="22"/>
          <w:lang w:val="sr-Latn-RS"/>
        </w:rPr>
        <w:t xml:space="preserve">enjivan placebo. </w:t>
      </w:r>
      <w:r w:rsidR="007671AA" w:rsidRPr="00E87295">
        <w:rPr>
          <w:sz w:val="22"/>
          <w:szCs w:val="22"/>
          <w:lang w:val="sr-Latn-RS"/>
        </w:rPr>
        <w:t>PsARC odgovori održali su se od 24. do 52. ned</w:t>
      </w:r>
      <w:r w:rsidR="00B94F3E" w:rsidRPr="00E87295">
        <w:rPr>
          <w:sz w:val="22"/>
          <w:szCs w:val="22"/>
          <w:lang w:val="sr-Latn-RS"/>
        </w:rPr>
        <w:t>j</w:t>
      </w:r>
      <w:r w:rsidR="007671AA" w:rsidRPr="00E87295">
        <w:rPr>
          <w:sz w:val="22"/>
          <w:szCs w:val="22"/>
          <w:lang w:val="sr-Latn-RS"/>
        </w:rPr>
        <w:t>elje</w:t>
      </w:r>
      <w:r w:rsidR="00FB3DEB" w:rsidRPr="00E87295">
        <w:rPr>
          <w:sz w:val="22"/>
          <w:szCs w:val="22"/>
          <w:lang w:val="sr-Latn-RS"/>
        </w:rPr>
        <w:t xml:space="preserve"> u ispitivanju DISCOVER 1 i do 100. ned</w:t>
      </w:r>
      <w:r w:rsidR="00C7727A" w:rsidRPr="00E87295">
        <w:rPr>
          <w:sz w:val="22"/>
          <w:szCs w:val="22"/>
          <w:lang w:val="sr-Latn-RS"/>
        </w:rPr>
        <w:t>j</w:t>
      </w:r>
      <w:r w:rsidR="00FB3DEB" w:rsidRPr="00E87295">
        <w:rPr>
          <w:sz w:val="22"/>
          <w:szCs w:val="22"/>
          <w:lang w:val="sr-Latn-RS"/>
        </w:rPr>
        <w:t>elja u ispitivanju DISCOVER 2</w:t>
      </w:r>
      <w:r w:rsidR="007671AA" w:rsidRPr="00E87295">
        <w:rPr>
          <w:sz w:val="22"/>
          <w:szCs w:val="22"/>
          <w:lang w:val="sr-Latn-RS"/>
        </w:rPr>
        <w:t>.</w:t>
      </w:r>
    </w:p>
    <w:p w14:paraId="48814773" w14:textId="77777777" w:rsidR="001A5B54" w:rsidRPr="00E87295" w:rsidRDefault="001A5B54" w:rsidP="00E87295">
      <w:pPr>
        <w:autoSpaceDE w:val="0"/>
        <w:autoSpaceDN w:val="0"/>
        <w:adjustRightInd w:val="0"/>
        <w:jc w:val="both"/>
        <w:rPr>
          <w:sz w:val="22"/>
          <w:szCs w:val="22"/>
          <w:lang w:val="sr-Latn-RS"/>
        </w:rPr>
      </w:pPr>
    </w:p>
    <w:p w14:paraId="229EEE55" w14:textId="714415CD" w:rsidR="001A5B54" w:rsidRPr="00E87295" w:rsidRDefault="001A5B54" w:rsidP="00E87295">
      <w:pPr>
        <w:jc w:val="both"/>
        <w:rPr>
          <w:sz w:val="22"/>
          <w:szCs w:val="22"/>
          <w:lang w:val="sr-Latn-RS"/>
        </w:rPr>
      </w:pPr>
      <w:bookmarkStart w:id="7" w:name="_Hlk20729476"/>
      <w:r w:rsidRPr="00E87295">
        <w:rPr>
          <w:sz w:val="22"/>
          <w:szCs w:val="22"/>
          <w:lang w:val="sr-Latn-RS"/>
        </w:rPr>
        <w:t>Daktilitis i entezitis su proc</w:t>
      </w:r>
      <w:r w:rsidR="006E31CC" w:rsidRPr="00E87295">
        <w:rPr>
          <w:sz w:val="22"/>
          <w:szCs w:val="22"/>
          <w:lang w:val="sr-Latn-RS"/>
        </w:rPr>
        <w:t>i</w:t>
      </w:r>
      <w:r w:rsidR="00343954" w:rsidRPr="00E87295">
        <w:rPr>
          <w:sz w:val="22"/>
          <w:szCs w:val="22"/>
          <w:lang w:val="sr-Latn-RS"/>
        </w:rPr>
        <w:t>j</w:t>
      </w:r>
      <w:r w:rsidRPr="00E87295">
        <w:rPr>
          <w:sz w:val="22"/>
          <w:szCs w:val="22"/>
          <w:lang w:val="sr-Latn-RS"/>
        </w:rPr>
        <w:t>enjeni na osnovu objedinjenih podataka iz studija DISCOVER 1 i 2. Među pacijentima koji su na početku studija imali daktilitis, procenat pacijenata sa izl</w:t>
      </w:r>
      <w:r w:rsidR="00343954" w:rsidRPr="00E87295">
        <w:rPr>
          <w:sz w:val="22"/>
          <w:szCs w:val="22"/>
          <w:lang w:val="sr-Latn-RS"/>
        </w:rPr>
        <w:t>ij</w:t>
      </w:r>
      <w:r w:rsidRPr="00E87295">
        <w:rPr>
          <w:sz w:val="22"/>
          <w:szCs w:val="22"/>
          <w:lang w:val="sr-Latn-RS"/>
        </w:rPr>
        <w:t>ečenim daktilitisom  u 24-toj ned</w:t>
      </w:r>
      <w:r w:rsidR="00343954" w:rsidRPr="00E87295">
        <w:rPr>
          <w:sz w:val="22"/>
          <w:szCs w:val="22"/>
          <w:lang w:val="sr-Latn-RS"/>
        </w:rPr>
        <w:t>j</w:t>
      </w:r>
      <w:r w:rsidRPr="00E87295">
        <w:rPr>
          <w:sz w:val="22"/>
          <w:szCs w:val="22"/>
          <w:lang w:val="sr-Latn-RS"/>
        </w:rPr>
        <w:t>elji bio je veći u grupi koja je primala guselkumab na svakih 8 ned</w:t>
      </w:r>
      <w:r w:rsidR="00343954" w:rsidRPr="00E87295">
        <w:rPr>
          <w:sz w:val="22"/>
          <w:szCs w:val="22"/>
          <w:lang w:val="sr-Latn-RS"/>
        </w:rPr>
        <w:t>j</w:t>
      </w:r>
      <w:r w:rsidRPr="00E87295">
        <w:rPr>
          <w:sz w:val="22"/>
          <w:szCs w:val="22"/>
          <w:lang w:val="sr-Latn-RS"/>
        </w:rPr>
        <w:t>elja (59,4%, nominalni p &lt; 0,001) i na svake 4 ned</w:t>
      </w:r>
      <w:r w:rsidR="00343954" w:rsidRPr="00E87295">
        <w:rPr>
          <w:sz w:val="22"/>
          <w:szCs w:val="22"/>
          <w:lang w:val="sr-Latn-RS"/>
        </w:rPr>
        <w:t>j</w:t>
      </w:r>
      <w:r w:rsidRPr="00E87295">
        <w:rPr>
          <w:sz w:val="22"/>
          <w:szCs w:val="22"/>
          <w:lang w:val="sr-Latn-RS"/>
        </w:rPr>
        <w:t>elje (63,5%, p = 0,006) u poređenju sa placebom (42,2%). Među pacijentima koji su na početku studija imali entezitis, procenat pacijenata sa izl</w:t>
      </w:r>
      <w:r w:rsidR="00343954" w:rsidRPr="00E87295">
        <w:rPr>
          <w:sz w:val="22"/>
          <w:szCs w:val="22"/>
          <w:lang w:val="sr-Latn-RS"/>
        </w:rPr>
        <w:t>ij</w:t>
      </w:r>
      <w:r w:rsidRPr="00E87295">
        <w:rPr>
          <w:sz w:val="22"/>
          <w:szCs w:val="22"/>
          <w:lang w:val="sr-Latn-RS"/>
        </w:rPr>
        <w:t>ečenim entezitisom u 24-toj ned</w:t>
      </w:r>
      <w:r w:rsidR="00343954" w:rsidRPr="00E87295">
        <w:rPr>
          <w:sz w:val="22"/>
          <w:szCs w:val="22"/>
          <w:lang w:val="sr-Latn-RS"/>
        </w:rPr>
        <w:t>j</w:t>
      </w:r>
      <w:r w:rsidRPr="00E87295">
        <w:rPr>
          <w:sz w:val="22"/>
          <w:szCs w:val="22"/>
          <w:lang w:val="sr-Latn-RS"/>
        </w:rPr>
        <w:t>elji bio je veći u grupi koja je primala guselkumab na svakih 8 ned</w:t>
      </w:r>
      <w:r w:rsidR="00343954" w:rsidRPr="00E87295">
        <w:rPr>
          <w:sz w:val="22"/>
          <w:szCs w:val="22"/>
          <w:lang w:val="sr-Latn-RS"/>
        </w:rPr>
        <w:t>j</w:t>
      </w:r>
      <w:r w:rsidRPr="00E87295">
        <w:rPr>
          <w:sz w:val="22"/>
          <w:szCs w:val="22"/>
          <w:lang w:val="sr-Latn-RS"/>
        </w:rPr>
        <w:t>elja (49,6%, nominalni p &lt; 0,001) i na svake 4 ned</w:t>
      </w:r>
      <w:r w:rsidR="00343954" w:rsidRPr="00E87295">
        <w:rPr>
          <w:sz w:val="22"/>
          <w:szCs w:val="22"/>
          <w:lang w:val="sr-Latn-RS"/>
        </w:rPr>
        <w:t>j</w:t>
      </w:r>
      <w:r w:rsidRPr="00E87295">
        <w:rPr>
          <w:sz w:val="22"/>
          <w:szCs w:val="22"/>
          <w:lang w:val="sr-Latn-RS"/>
        </w:rPr>
        <w:t>elje (44,9%, p = 0,006) u poređenju sa placebom (29,4%).</w:t>
      </w:r>
      <w:bookmarkEnd w:id="7"/>
      <w:r w:rsidR="007671AA" w:rsidRPr="00E87295">
        <w:rPr>
          <w:sz w:val="22"/>
          <w:szCs w:val="22"/>
          <w:lang w:val="sr-Latn-RS"/>
        </w:rPr>
        <w:t xml:space="preserve"> Ud</w:t>
      </w:r>
      <w:r w:rsidR="00B94F3E" w:rsidRPr="00E87295">
        <w:rPr>
          <w:sz w:val="22"/>
          <w:szCs w:val="22"/>
          <w:lang w:val="sr-Latn-RS"/>
        </w:rPr>
        <w:t>i</w:t>
      </w:r>
      <w:r w:rsidR="007671AA" w:rsidRPr="00E87295">
        <w:rPr>
          <w:sz w:val="22"/>
          <w:szCs w:val="22"/>
          <w:lang w:val="sr-Latn-RS"/>
        </w:rPr>
        <w:t>o ispitanika kod kojih se povukao daktilitis (81,2% u grupi koja je primala guselkumab na svakih 8 ned</w:t>
      </w:r>
      <w:r w:rsidR="00B94F3E" w:rsidRPr="00E87295">
        <w:rPr>
          <w:sz w:val="22"/>
          <w:szCs w:val="22"/>
          <w:lang w:val="sr-Latn-RS"/>
        </w:rPr>
        <w:t>j</w:t>
      </w:r>
      <w:r w:rsidR="007671AA" w:rsidRPr="00E87295">
        <w:rPr>
          <w:sz w:val="22"/>
          <w:szCs w:val="22"/>
          <w:lang w:val="sr-Latn-RS"/>
        </w:rPr>
        <w:t>elja i 80,4% u grupi koja je primala guselkumab na svakih 4 ned</w:t>
      </w:r>
      <w:r w:rsidR="00B94F3E" w:rsidRPr="00E87295">
        <w:rPr>
          <w:sz w:val="22"/>
          <w:szCs w:val="22"/>
          <w:lang w:val="sr-Latn-RS"/>
        </w:rPr>
        <w:t>j</w:t>
      </w:r>
      <w:r w:rsidR="007671AA" w:rsidRPr="00E87295">
        <w:rPr>
          <w:sz w:val="22"/>
          <w:szCs w:val="22"/>
          <w:lang w:val="sr-Latn-RS"/>
        </w:rPr>
        <w:t>elja) odnosno entezitis (62,7% u grupi koja je primala guselkumab na svakih 8 ned</w:t>
      </w:r>
      <w:r w:rsidR="00B94F3E" w:rsidRPr="00E87295">
        <w:rPr>
          <w:sz w:val="22"/>
          <w:szCs w:val="22"/>
          <w:lang w:val="sr-Latn-RS"/>
        </w:rPr>
        <w:t>j</w:t>
      </w:r>
      <w:r w:rsidR="007671AA" w:rsidRPr="00E87295">
        <w:rPr>
          <w:sz w:val="22"/>
          <w:szCs w:val="22"/>
          <w:lang w:val="sr-Latn-RS"/>
        </w:rPr>
        <w:t>elja i 60,9% u grupi koja je primala guselkumab na svakih 4 ned</w:t>
      </w:r>
      <w:r w:rsidR="00B94F3E" w:rsidRPr="00E87295">
        <w:rPr>
          <w:sz w:val="22"/>
          <w:szCs w:val="22"/>
          <w:lang w:val="sr-Latn-RS"/>
        </w:rPr>
        <w:t>j</w:t>
      </w:r>
      <w:r w:rsidR="007671AA" w:rsidRPr="00E87295">
        <w:rPr>
          <w:sz w:val="22"/>
          <w:szCs w:val="22"/>
          <w:lang w:val="sr-Latn-RS"/>
        </w:rPr>
        <w:t>elja) održao se do 52. ned</w:t>
      </w:r>
      <w:r w:rsidR="00B94F3E" w:rsidRPr="00E87295">
        <w:rPr>
          <w:sz w:val="22"/>
          <w:szCs w:val="22"/>
          <w:lang w:val="sr-Latn-RS"/>
        </w:rPr>
        <w:t>j</w:t>
      </w:r>
      <w:r w:rsidR="007671AA" w:rsidRPr="00E87295">
        <w:rPr>
          <w:sz w:val="22"/>
          <w:szCs w:val="22"/>
          <w:lang w:val="sr-Latn-RS"/>
        </w:rPr>
        <w:t>elje.</w:t>
      </w:r>
      <w:r w:rsidR="00FB3DEB" w:rsidRPr="00E87295">
        <w:rPr>
          <w:sz w:val="22"/>
          <w:szCs w:val="22"/>
          <w:lang w:val="sr-Latn-RS"/>
        </w:rPr>
        <w:t xml:space="preserve"> U ispitivanju DISCOVER 2, među ispitanicima koji su imali daktilitis i entezitis na početku, procenat pacijenata kod kojih je došlo do razr</w:t>
      </w:r>
      <w:r w:rsidR="00E02144" w:rsidRPr="00E87295">
        <w:rPr>
          <w:sz w:val="22"/>
          <w:szCs w:val="22"/>
          <w:lang w:val="sr-Latn-RS"/>
        </w:rPr>
        <w:t>j</w:t>
      </w:r>
      <w:r w:rsidR="00FB3DEB" w:rsidRPr="00E87295">
        <w:rPr>
          <w:sz w:val="22"/>
          <w:szCs w:val="22"/>
          <w:lang w:val="sr-Latn-RS"/>
        </w:rPr>
        <w:t>ešavanja daktilitisa (91,1% u grupi l</w:t>
      </w:r>
      <w:r w:rsidR="00E02144" w:rsidRPr="00E87295">
        <w:rPr>
          <w:sz w:val="22"/>
          <w:szCs w:val="22"/>
          <w:lang w:val="sr-Latn-RS"/>
        </w:rPr>
        <w:t>ij</w:t>
      </w:r>
      <w:r w:rsidR="00FB3DEB" w:rsidRPr="00E87295">
        <w:rPr>
          <w:sz w:val="22"/>
          <w:szCs w:val="22"/>
          <w:lang w:val="sr-Latn-RS"/>
        </w:rPr>
        <w:t>ečenoj na svakih 8 ned</w:t>
      </w:r>
      <w:r w:rsidR="00E02144" w:rsidRPr="00E87295">
        <w:rPr>
          <w:sz w:val="22"/>
          <w:szCs w:val="22"/>
          <w:lang w:val="sr-Latn-RS"/>
        </w:rPr>
        <w:t>j</w:t>
      </w:r>
      <w:r w:rsidR="00FB3DEB" w:rsidRPr="00E87295">
        <w:rPr>
          <w:sz w:val="22"/>
          <w:szCs w:val="22"/>
          <w:lang w:val="sr-Latn-RS"/>
        </w:rPr>
        <w:t>elja i 82,9% u grupi l</w:t>
      </w:r>
      <w:r w:rsidR="00E02144" w:rsidRPr="00E87295">
        <w:rPr>
          <w:sz w:val="22"/>
          <w:szCs w:val="22"/>
          <w:lang w:val="sr-Latn-RS"/>
        </w:rPr>
        <w:t>ij</w:t>
      </w:r>
      <w:r w:rsidR="00FB3DEB" w:rsidRPr="00E87295">
        <w:rPr>
          <w:sz w:val="22"/>
          <w:szCs w:val="22"/>
          <w:lang w:val="sr-Latn-RS"/>
        </w:rPr>
        <w:t>ečenoj na svake 4 ned</w:t>
      </w:r>
      <w:r w:rsidR="00E02144" w:rsidRPr="00E87295">
        <w:rPr>
          <w:sz w:val="22"/>
          <w:szCs w:val="22"/>
          <w:lang w:val="sr-Latn-RS"/>
        </w:rPr>
        <w:t>j</w:t>
      </w:r>
      <w:r w:rsidR="00FB3DEB" w:rsidRPr="00E87295">
        <w:rPr>
          <w:sz w:val="22"/>
          <w:szCs w:val="22"/>
          <w:lang w:val="sr-Latn-RS"/>
        </w:rPr>
        <w:t xml:space="preserve">elje) i onih kod kojh je došlo do </w:t>
      </w:r>
      <w:r w:rsidR="006E31CC" w:rsidRPr="00E87295">
        <w:rPr>
          <w:sz w:val="22"/>
          <w:szCs w:val="22"/>
          <w:lang w:val="sr-Latn-RS"/>
        </w:rPr>
        <w:t>povlačenja</w:t>
      </w:r>
      <w:r w:rsidR="00FB3DEB" w:rsidRPr="00E87295">
        <w:rPr>
          <w:sz w:val="22"/>
          <w:szCs w:val="22"/>
          <w:lang w:val="sr-Latn-RS"/>
        </w:rPr>
        <w:t xml:space="preserve"> entezitisa (77,5% u grupi l</w:t>
      </w:r>
      <w:r w:rsidR="00E02144" w:rsidRPr="00E87295">
        <w:rPr>
          <w:sz w:val="22"/>
          <w:szCs w:val="22"/>
          <w:lang w:val="sr-Latn-RS"/>
        </w:rPr>
        <w:t>ij</w:t>
      </w:r>
      <w:r w:rsidR="00FB3DEB" w:rsidRPr="00E87295">
        <w:rPr>
          <w:sz w:val="22"/>
          <w:szCs w:val="22"/>
          <w:lang w:val="sr-Latn-RS"/>
        </w:rPr>
        <w:t>ečenoj na svakih 8 ned</w:t>
      </w:r>
      <w:r w:rsidR="00E02144" w:rsidRPr="00E87295">
        <w:rPr>
          <w:sz w:val="22"/>
          <w:szCs w:val="22"/>
          <w:lang w:val="sr-Latn-RS"/>
        </w:rPr>
        <w:t>j</w:t>
      </w:r>
      <w:r w:rsidR="00FB3DEB" w:rsidRPr="00E87295">
        <w:rPr>
          <w:sz w:val="22"/>
          <w:szCs w:val="22"/>
          <w:lang w:val="sr-Latn-RS"/>
        </w:rPr>
        <w:t>elja i 67,7% u grupi l</w:t>
      </w:r>
      <w:r w:rsidR="00E02144" w:rsidRPr="00E87295">
        <w:rPr>
          <w:sz w:val="22"/>
          <w:szCs w:val="22"/>
          <w:lang w:val="sr-Latn-RS"/>
        </w:rPr>
        <w:t>ij</w:t>
      </w:r>
      <w:r w:rsidR="00FB3DEB" w:rsidRPr="00E87295">
        <w:rPr>
          <w:sz w:val="22"/>
          <w:szCs w:val="22"/>
          <w:lang w:val="sr-Latn-RS"/>
        </w:rPr>
        <w:t>ečenoj na svake 4 ned</w:t>
      </w:r>
      <w:r w:rsidR="00E02144" w:rsidRPr="00E87295">
        <w:rPr>
          <w:sz w:val="22"/>
          <w:szCs w:val="22"/>
          <w:lang w:val="sr-Latn-RS"/>
        </w:rPr>
        <w:t>j</w:t>
      </w:r>
      <w:r w:rsidR="00FB3DEB" w:rsidRPr="00E87295">
        <w:rPr>
          <w:sz w:val="22"/>
          <w:szCs w:val="22"/>
          <w:lang w:val="sr-Latn-RS"/>
        </w:rPr>
        <w:t>elje) održao se do 100. ned</w:t>
      </w:r>
      <w:r w:rsidR="00E02144" w:rsidRPr="00E87295">
        <w:rPr>
          <w:sz w:val="22"/>
          <w:szCs w:val="22"/>
          <w:lang w:val="sr-Latn-RS"/>
        </w:rPr>
        <w:t>j</w:t>
      </w:r>
      <w:r w:rsidR="00FB3DEB" w:rsidRPr="00E87295">
        <w:rPr>
          <w:sz w:val="22"/>
          <w:szCs w:val="22"/>
          <w:lang w:val="sr-Latn-RS"/>
        </w:rPr>
        <w:t>elje.</w:t>
      </w:r>
    </w:p>
    <w:p w14:paraId="4629E767" w14:textId="77777777" w:rsidR="001A5B54" w:rsidRPr="00E87295" w:rsidRDefault="001A5B54" w:rsidP="00E87295">
      <w:pPr>
        <w:jc w:val="both"/>
        <w:rPr>
          <w:sz w:val="22"/>
          <w:szCs w:val="22"/>
          <w:lang w:val="sr-Latn-RS"/>
        </w:rPr>
      </w:pPr>
    </w:p>
    <w:p w14:paraId="509F40EB" w14:textId="599201A7" w:rsidR="001A5B54" w:rsidRPr="00E87295" w:rsidRDefault="001A5B54" w:rsidP="00E87295">
      <w:pPr>
        <w:autoSpaceDE w:val="0"/>
        <w:autoSpaceDN w:val="0"/>
        <w:adjustRightInd w:val="0"/>
        <w:jc w:val="both"/>
        <w:rPr>
          <w:sz w:val="22"/>
          <w:szCs w:val="22"/>
          <w:lang w:val="sr-Latn-RS"/>
        </w:rPr>
      </w:pPr>
      <w:r w:rsidRPr="00E87295">
        <w:rPr>
          <w:sz w:val="22"/>
          <w:szCs w:val="22"/>
          <w:lang w:val="sr-Latn-RS" w:eastAsia="zh-TW"/>
        </w:rPr>
        <w:t xml:space="preserve">U studijama DISCOVER 1 i 2, </w:t>
      </w:r>
      <w:r w:rsidRPr="00E87295">
        <w:rPr>
          <w:sz w:val="22"/>
          <w:szCs w:val="22"/>
          <w:lang w:val="sr-Latn-RS"/>
        </w:rPr>
        <w:t>pacijenti l</w:t>
      </w:r>
      <w:r w:rsidR="00343954" w:rsidRPr="00E87295">
        <w:rPr>
          <w:sz w:val="22"/>
          <w:szCs w:val="22"/>
          <w:lang w:val="sr-Latn-RS"/>
        </w:rPr>
        <w:t>ij</w:t>
      </w:r>
      <w:r w:rsidRPr="00E87295">
        <w:rPr>
          <w:sz w:val="22"/>
          <w:szCs w:val="22"/>
          <w:lang w:val="sr-Latn-RS"/>
        </w:rPr>
        <w:t xml:space="preserve">ečeni guselkumabom koji su na prvom pregledu imali  spondilitis sa perifernim artritisom kao glavnu kliničku manifestaciju pokazali su veće poboljšanje u odnosu na početno stanje u Batovom indeksu aktivnosti ankilozirajućeg spondilitisa (engl. </w:t>
      </w:r>
      <w:r w:rsidRPr="00E87295">
        <w:rPr>
          <w:i/>
          <w:iCs/>
          <w:sz w:val="22"/>
          <w:szCs w:val="22"/>
          <w:lang w:val="sr-Latn-RS"/>
        </w:rPr>
        <w:t>Bath Ankylosing Spondylitis Disease Activity Index – BASDAI</w:t>
      </w:r>
      <w:r w:rsidRPr="00E87295">
        <w:rPr>
          <w:sz w:val="22"/>
          <w:szCs w:val="22"/>
          <w:lang w:val="sr-Latn-RS"/>
        </w:rPr>
        <w:t xml:space="preserve"> ) u poređenju sa placebom u 24-toj ned</w:t>
      </w:r>
      <w:r w:rsidR="00343954" w:rsidRPr="00E87295">
        <w:rPr>
          <w:sz w:val="22"/>
          <w:szCs w:val="22"/>
          <w:lang w:val="sr-Latn-RS"/>
        </w:rPr>
        <w:t>j</w:t>
      </w:r>
      <w:r w:rsidRPr="00E87295">
        <w:rPr>
          <w:sz w:val="22"/>
          <w:szCs w:val="22"/>
          <w:lang w:val="sr-Latn-RS"/>
        </w:rPr>
        <w:t xml:space="preserve">elji. </w:t>
      </w:r>
      <w:r w:rsidR="007671AA" w:rsidRPr="00E87295">
        <w:rPr>
          <w:sz w:val="22"/>
          <w:szCs w:val="22"/>
          <w:lang w:val="sr-Latn-RS"/>
        </w:rPr>
        <w:t>Poboljšanja BASDAI indeksa održala su se od 24. do 52. ned</w:t>
      </w:r>
      <w:r w:rsidR="00B94F3E" w:rsidRPr="00E87295">
        <w:rPr>
          <w:sz w:val="22"/>
          <w:szCs w:val="22"/>
          <w:lang w:val="sr-Latn-RS"/>
        </w:rPr>
        <w:t>j</w:t>
      </w:r>
      <w:r w:rsidR="007671AA" w:rsidRPr="00E87295">
        <w:rPr>
          <w:sz w:val="22"/>
          <w:szCs w:val="22"/>
          <w:lang w:val="sr-Latn-RS"/>
        </w:rPr>
        <w:t>elje</w:t>
      </w:r>
      <w:r w:rsidR="00FB3DEB" w:rsidRPr="00E87295">
        <w:rPr>
          <w:sz w:val="22"/>
          <w:szCs w:val="22"/>
          <w:lang w:val="sr-Latn-RS"/>
        </w:rPr>
        <w:t xml:space="preserve"> u DISCOVER 1 i 100. ned</w:t>
      </w:r>
      <w:r w:rsidR="00E02144" w:rsidRPr="00E87295">
        <w:rPr>
          <w:sz w:val="22"/>
          <w:szCs w:val="22"/>
          <w:lang w:val="sr-Latn-RS"/>
        </w:rPr>
        <w:t>j</w:t>
      </w:r>
      <w:r w:rsidR="00FB3DEB" w:rsidRPr="00E87295">
        <w:rPr>
          <w:sz w:val="22"/>
          <w:szCs w:val="22"/>
          <w:lang w:val="sr-Latn-RS"/>
        </w:rPr>
        <w:t>elji u DISCOVER 2.</w:t>
      </w:r>
    </w:p>
    <w:p w14:paraId="088A63CC" w14:textId="77777777" w:rsidR="001A5B54" w:rsidRPr="00E87295" w:rsidRDefault="001A5B54" w:rsidP="00E87295">
      <w:pPr>
        <w:jc w:val="both"/>
        <w:rPr>
          <w:i/>
          <w:iCs/>
          <w:sz w:val="22"/>
          <w:szCs w:val="22"/>
          <w:lang w:val="sr-Latn-RS"/>
        </w:rPr>
      </w:pPr>
    </w:p>
    <w:p w14:paraId="40233637" w14:textId="77777777" w:rsidR="001A5B54" w:rsidRPr="00E87295" w:rsidRDefault="001A5B54" w:rsidP="00E87295">
      <w:pPr>
        <w:keepNext/>
        <w:jc w:val="both"/>
        <w:rPr>
          <w:sz w:val="22"/>
          <w:szCs w:val="22"/>
          <w:u w:val="single"/>
          <w:lang w:val="sr-Latn-RS"/>
        </w:rPr>
      </w:pPr>
      <w:bookmarkStart w:id="8" w:name="_Hlk51855597"/>
      <w:r w:rsidRPr="00E87295">
        <w:rPr>
          <w:i/>
          <w:iCs/>
          <w:sz w:val="22"/>
          <w:szCs w:val="22"/>
          <w:u w:val="single"/>
          <w:lang w:val="sr-Latn-RS"/>
        </w:rPr>
        <w:t>Radiografski odgovor</w:t>
      </w:r>
    </w:p>
    <w:p w14:paraId="21E3C329" w14:textId="51565303" w:rsidR="001A5B54" w:rsidRPr="00E87295" w:rsidRDefault="001A5B54" w:rsidP="00E87295">
      <w:pPr>
        <w:widowControl w:val="0"/>
        <w:jc w:val="both"/>
        <w:rPr>
          <w:strike/>
          <w:sz w:val="22"/>
          <w:szCs w:val="22"/>
          <w:lang w:val="sr-Latn-RS"/>
        </w:rPr>
      </w:pPr>
      <w:r w:rsidRPr="00E87295">
        <w:rPr>
          <w:sz w:val="22"/>
          <w:szCs w:val="22"/>
          <w:lang w:val="sr-Latn-RS"/>
        </w:rPr>
        <w:t>U studiji DISCOVER 2, inhibicija progresije strukturnog oštećenja m</w:t>
      </w:r>
      <w:r w:rsidR="00343954" w:rsidRPr="00E87295">
        <w:rPr>
          <w:sz w:val="22"/>
          <w:szCs w:val="22"/>
          <w:lang w:val="sr-Latn-RS"/>
        </w:rPr>
        <w:t>j</w:t>
      </w:r>
      <w:r w:rsidRPr="00E87295">
        <w:rPr>
          <w:sz w:val="22"/>
          <w:szCs w:val="22"/>
          <w:lang w:val="sr-Latn-RS"/>
        </w:rPr>
        <w:t>erena je radiografski i izražavana kao srednja prom</w:t>
      </w:r>
      <w:r w:rsidR="00343954" w:rsidRPr="00E87295">
        <w:rPr>
          <w:sz w:val="22"/>
          <w:szCs w:val="22"/>
          <w:lang w:val="sr-Latn-RS"/>
        </w:rPr>
        <w:t>j</w:t>
      </w:r>
      <w:r w:rsidRPr="00E87295">
        <w:rPr>
          <w:sz w:val="22"/>
          <w:szCs w:val="22"/>
          <w:lang w:val="sr-Latn-RS"/>
        </w:rPr>
        <w:t>ena u odnosu na početno stanje u ukupnom modifikovanom skoru van der Heijde-Sharp (vdH-S)</w:t>
      </w:r>
      <w:bookmarkStart w:id="9" w:name="_Hlk36652092"/>
      <w:r w:rsidRPr="00E87295">
        <w:rPr>
          <w:sz w:val="22"/>
          <w:szCs w:val="22"/>
          <w:lang w:val="sr-Latn-RS"/>
        </w:rPr>
        <w:t>. Grupa koja je primala guselkumab na svake 4 ned</w:t>
      </w:r>
      <w:r w:rsidR="00343954" w:rsidRPr="00E87295">
        <w:rPr>
          <w:sz w:val="22"/>
          <w:szCs w:val="22"/>
          <w:lang w:val="sr-Latn-RS"/>
        </w:rPr>
        <w:t>j</w:t>
      </w:r>
      <w:r w:rsidRPr="00E87295">
        <w:rPr>
          <w:sz w:val="22"/>
          <w:szCs w:val="22"/>
          <w:lang w:val="sr-Latn-RS"/>
        </w:rPr>
        <w:t>elje pokazala je 24. ned</w:t>
      </w:r>
      <w:r w:rsidR="00343954" w:rsidRPr="00E87295">
        <w:rPr>
          <w:sz w:val="22"/>
          <w:szCs w:val="22"/>
          <w:lang w:val="sr-Latn-RS"/>
        </w:rPr>
        <w:t>j</w:t>
      </w:r>
      <w:r w:rsidRPr="00E87295">
        <w:rPr>
          <w:sz w:val="22"/>
          <w:szCs w:val="22"/>
          <w:lang w:val="sr-Latn-RS"/>
        </w:rPr>
        <w:t>elje  statistički signifikantno manju radiografsku progresiju, a grupa koja je primala guselkumab na svakih 8 ned</w:t>
      </w:r>
      <w:r w:rsidR="00343954" w:rsidRPr="00E87295">
        <w:rPr>
          <w:sz w:val="22"/>
          <w:szCs w:val="22"/>
          <w:lang w:val="sr-Latn-RS"/>
        </w:rPr>
        <w:t>j</w:t>
      </w:r>
      <w:r w:rsidRPr="00E87295">
        <w:rPr>
          <w:sz w:val="22"/>
          <w:szCs w:val="22"/>
          <w:lang w:val="sr-Latn-RS"/>
        </w:rPr>
        <w:t xml:space="preserve">elja pokazala je numerički manju progresiju u poređenju sa placebom (Tabela </w:t>
      </w:r>
      <w:r w:rsidR="00FB3DEB" w:rsidRPr="00E87295">
        <w:rPr>
          <w:sz w:val="22"/>
          <w:szCs w:val="22"/>
          <w:lang w:val="sr-Latn-RS"/>
        </w:rPr>
        <w:t>11</w:t>
      </w:r>
      <w:r w:rsidRPr="00E87295">
        <w:rPr>
          <w:sz w:val="22"/>
          <w:szCs w:val="22"/>
          <w:lang w:val="sr-Latn-RS"/>
        </w:rPr>
        <w:t>). Zab</w:t>
      </w:r>
      <w:r w:rsidR="00343954" w:rsidRPr="00E87295">
        <w:rPr>
          <w:sz w:val="22"/>
          <w:szCs w:val="22"/>
          <w:lang w:val="sr-Latn-RS"/>
        </w:rPr>
        <w:t>i</w:t>
      </w:r>
      <w:r w:rsidRPr="00E87295">
        <w:rPr>
          <w:sz w:val="22"/>
          <w:szCs w:val="22"/>
          <w:lang w:val="sr-Latn-RS"/>
        </w:rPr>
        <w:t>l</w:t>
      </w:r>
      <w:r w:rsidR="00343954" w:rsidRPr="00E87295">
        <w:rPr>
          <w:sz w:val="22"/>
          <w:szCs w:val="22"/>
          <w:lang w:val="sr-Latn-RS"/>
        </w:rPr>
        <w:t>j</w:t>
      </w:r>
      <w:r w:rsidRPr="00E87295">
        <w:rPr>
          <w:sz w:val="22"/>
          <w:szCs w:val="22"/>
          <w:lang w:val="sr-Latn-RS"/>
        </w:rPr>
        <w:t>ežena korist sa režimom doziranja guselkumaba na svake 4 ned</w:t>
      </w:r>
      <w:r w:rsidR="00343954" w:rsidRPr="00E87295">
        <w:rPr>
          <w:sz w:val="22"/>
          <w:szCs w:val="22"/>
          <w:lang w:val="sr-Latn-RS"/>
        </w:rPr>
        <w:t>j</w:t>
      </w:r>
      <w:r w:rsidRPr="00E87295">
        <w:rPr>
          <w:sz w:val="22"/>
          <w:szCs w:val="22"/>
          <w:lang w:val="sr-Latn-RS"/>
        </w:rPr>
        <w:t>elje u inhibiciji radiografske progresije (t.j. manja srednja prom</w:t>
      </w:r>
      <w:r w:rsidR="00343954" w:rsidRPr="00E87295">
        <w:rPr>
          <w:sz w:val="22"/>
          <w:szCs w:val="22"/>
          <w:lang w:val="sr-Latn-RS"/>
        </w:rPr>
        <w:t>j</w:t>
      </w:r>
      <w:r w:rsidRPr="00E87295">
        <w:rPr>
          <w:sz w:val="22"/>
          <w:szCs w:val="22"/>
          <w:lang w:val="sr-Latn-RS"/>
        </w:rPr>
        <w:t>ena u odnosu na početno stanje u  ukupnom modifikovanom skoru kada je poređena grupa koja je l</w:t>
      </w:r>
      <w:r w:rsidR="00343954" w:rsidRPr="00E87295">
        <w:rPr>
          <w:sz w:val="22"/>
          <w:szCs w:val="22"/>
          <w:lang w:val="sr-Latn-RS"/>
        </w:rPr>
        <w:t>ij</w:t>
      </w:r>
      <w:r w:rsidRPr="00E87295">
        <w:rPr>
          <w:sz w:val="22"/>
          <w:szCs w:val="22"/>
          <w:lang w:val="sr-Latn-RS"/>
        </w:rPr>
        <w:t>ek primala na 4 ned</w:t>
      </w:r>
      <w:r w:rsidR="00343954" w:rsidRPr="00E87295">
        <w:rPr>
          <w:sz w:val="22"/>
          <w:szCs w:val="22"/>
          <w:lang w:val="sr-Latn-RS"/>
        </w:rPr>
        <w:t>j</w:t>
      </w:r>
      <w:r w:rsidRPr="00E87295">
        <w:rPr>
          <w:sz w:val="22"/>
          <w:szCs w:val="22"/>
          <w:lang w:val="sr-Latn-RS"/>
        </w:rPr>
        <w:t>elje sa placebom) bila je najizraženija kod ispitanika koji su na početku studije imali i visoke vr</w:t>
      </w:r>
      <w:r w:rsidR="00343954" w:rsidRPr="00E87295">
        <w:rPr>
          <w:sz w:val="22"/>
          <w:szCs w:val="22"/>
          <w:lang w:val="sr-Latn-RS"/>
        </w:rPr>
        <w:t>ij</w:t>
      </w:r>
      <w:r w:rsidRPr="00E87295">
        <w:rPr>
          <w:sz w:val="22"/>
          <w:szCs w:val="22"/>
          <w:lang w:val="sr-Latn-RS"/>
        </w:rPr>
        <w:t xml:space="preserve">ednosti C-reaktivnog proteina i veći broj zglobova sa erozijom. </w:t>
      </w:r>
    </w:p>
    <w:bookmarkEnd w:id="8"/>
    <w:bookmarkEnd w:id="9"/>
    <w:p w14:paraId="39C2B3F1" w14:textId="77777777" w:rsidR="001A5B54" w:rsidRPr="00E87295" w:rsidRDefault="001A5B54" w:rsidP="00E87295">
      <w:pPr>
        <w:jc w:val="both"/>
        <w:rPr>
          <w:sz w:val="22"/>
          <w:szCs w:val="22"/>
          <w:lang w:val="sr-Latn-RS"/>
        </w:rPr>
      </w:pPr>
    </w:p>
    <w:tbl>
      <w:tblPr>
        <w:tblW w:w="93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546"/>
        <w:gridCol w:w="6458"/>
      </w:tblGrid>
      <w:tr w:rsidR="001A5B54" w:rsidRPr="00E87295" w14:paraId="64D19CCB" w14:textId="77777777" w:rsidTr="009F5282">
        <w:trPr>
          <w:cantSplit/>
        </w:trPr>
        <w:tc>
          <w:tcPr>
            <w:tcW w:w="5000" w:type="pct"/>
            <w:gridSpan w:val="3"/>
            <w:tcBorders>
              <w:bottom w:val="single" w:sz="4" w:space="0" w:color="auto"/>
            </w:tcBorders>
            <w:shd w:val="clear" w:color="auto" w:fill="auto"/>
          </w:tcPr>
          <w:p w14:paraId="7D7DF94B" w14:textId="54231072" w:rsidR="001A5B54" w:rsidRPr="00E87295" w:rsidRDefault="001A5B54" w:rsidP="00E87295">
            <w:pPr>
              <w:keepNext/>
              <w:jc w:val="both"/>
              <w:rPr>
                <w:b/>
                <w:sz w:val="22"/>
                <w:szCs w:val="22"/>
                <w:lang w:val="sr-Latn-RS"/>
              </w:rPr>
            </w:pPr>
            <w:bookmarkStart w:id="10" w:name="_Hlk53477986"/>
            <w:r w:rsidRPr="00E87295">
              <w:rPr>
                <w:b/>
                <w:sz w:val="22"/>
                <w:szCs w:val="22"/>
                <w:lang w:val="sr-Latn-RS"/>
              </w:rPr>
              <w:t>Tabela </w:t>
            </w:r>
            <w:r w:rsidR="007671AA" w:rsidRPr="00E87295">
              <w:rPr>
                <w:b/>
                <w:sz w:val="22"/>
                <w:szCs w:val="22"/>
                <w:lang w:val="sr-Latn-RS"/>
              </w:rPr>
              <w:t>1</w:t>
            </w:r>
            <w:r w:rsidR="00FB3DEB" w:rsidRPr="00E87295">
              <w:rPr>
                <w:b/>
                <w:sz w:val="22"/>
                <w:szCs w:val="22"/>
                <w:lang w:val="sr-Latn-RS"/>
              </w:rPr>
              <w:t>1</w:t>
            </w:r>
            <w:r w:rsidRPr="00E87295">
              <w:rPr>
                <w:b/>
                <w:sz w:val="22"/>
                <w:szCs w:val="22"/>
                <w:lang w:val="sr-Latn-RS"/>
              </w:rPr>
              <w:t>:</w:t>
            </w:r>
            <w:r w:rsidRPr="00E87295">
              <w:rPr>
                <w:b/>
                <w:sz w:val="22"/>
                <w:szCs w:val="22"/>
                <w:lang w:val="sr-Latn-RS"/>
              </w:rPr>
              <w:tab/>
              <w:t>Prom</w:t>
            </w:r>
            <w:r w:rsidR="00343954" w:rsidRPr="00E87295">
              <w:rPr>
                <w:b/>
                <w:sz w:val="22"/>
                <w:szCs w:val="22"/>
                <w:lang w:val="sr-Latn-RS"/>
              </w:rPr>
              <w:t>j</w:t>
            </w:r>
            <w:r w:rsidRPr="00E87295">
              <w:rPr>
                <w:b/>
                <w:sz w:val="22"/>
                <w:szCs w:val="22"/>
                <w:lang w:val="sr-Latn-RS"/>
              </w:rPr>
              <w:t>ene u vr</w:t>
            </w:r>
            <w:r w:rsidR="006E31CC" w:rsidRPr="00E87295">
              <w:rPr>
                <w:b/>
                <w:sz w:val="22"/>
                <w:szCs w:val="22"/>
                <w:lang w:val="sr-Latn-RS"/>
              </w:rPr>
              <w:t>ij</w:t>
            </w:r>
            <w:r w:rsidRPr="00E87295">
              <w:rPr>
                <w:b/>
                <w:sz w:val="22"/>
                <w:szCs w:val="22"/>
                <w:lang w:val="sr-Latn-RS"/>
              </w:rPr>
              <w:t>ednosti ukupnog modifikovanog skora vdH-S 24. ned</w:t>
            </w:r>
            <w:r w:rsidR="006E31CC" w:rsidRPr="00E87295">
              <w:rPr>
                <w:b/>
                <w:sz w:val="22"/>
                <w:szCs w:val="22"/>
                <w:lang w:val="sr-Latn-RS"/>
              </w:rPr>
              <w:t>j</w:t>
            </w:r>
            <w:r w:rsidRPr="00E87295">
              <w:rPr>
                <w:b/>
                <w:sz w:val="22"/>
                <w:szCs w:val="22"/>
                <w:lang w:val="sr-Latn-RS"/>
              </w:rPr>
              <w:t>elje u odnosu na početno stanje u studiji DISCOVER 2</w:t>
            </w:r>
          </w:p>
        </w:tc>
      </w:tr>
      <w:tr w:rsidR="001A5B54" w:rsidRPr="00E87295" w14:paraId="2938C25A" w14:textId="77777777" w:rsidTr="009F5282">
        <w:trPr>
          <w:cantSplit/>
        </w:trPr>
        <w:tc>
          <w:tcPr>
            <w:tcW w:w="1245" w:type="pct"/>
            <w:tcBorders>
              <w:bottom w:val="single" w:sz="4" w:space="0" w:color="auto"/>
            </w:tcBorders>
            <w:shd w:val="clear" w:color="auto" w:fill="auto"/>
          </w:tcPr>
          <w:p w14:paraId="5878FCF9" w14:textId="77777777" w:rsidR="001A5B54" w:rsidRPr="00E87295" w:rsidRDefault="001A5B54" w:rsidP="00E87295">
            <w:pPr>
              <w:jc w:val="both"/>
              <w:rPr>
                <w:sz w:val="22"/>
                <w:szCs w:val="22"/>
                <w:lang w:val="sr-Latn-RS"/>
              </w:rPr>
            </w:pPr>
          </w:p>
        </w:tc>
        <w:tc>
          <w:tcPr>
            <w:tcW w:w="278" w:type="pct"/>
            <w:tcBorders>
              <w:bottom w:val="single" w:sz="4" w:space="0" w:color="auto"/>
            </w:tcBorders>
            <w:shd w:val="clear" w:color="auto" w:fill="auto"/>
          </w:tcPr>
          <w:p w14:paraId="348DC582" w14:textId="77777777" w:rsidR="001A5B54" w:rsidRPr="00E87295" w:rsidRDefault="001A5B54" w:rsidP="00E87295">
            <w:pPr>
              <w:jc w:val="both"/>
              <w:rPr>
                <w:sz w:val="22"/>
                <w:szCs w:val="22"/>
                <w:lang w:val="sr-Latn-RS"/>
              </w:rPr>
            </w:pPr>
            <w:r w:rsidRPr="00E87295">
              <w:rPr>
                <w:sz w:val="22"/>
                <w:szCs w:val="22"/>
                <w:lang w:val="sr-Latn-RS"/>
              </w:rPr>
              <w:t>N</w:t>
            </w:r>
          </w:p>
        </w:tc>
        <w:tc>
          <w:tcPr>
            <w:tcW w:w="3477" w:type="pct"/>
            <w:tcBorders>
              <w:bottom w:val="single" w:sz="4" w:space="0" w:color="auto"/>
            </w:tcBorders>
            <w:shd w:val="clear" w:color="auto" w:fill="auto"/>
          </w:tcPr>
          <w:p w14:paraId="3DDED907" w14:textId="3BD784F4" w:rsidR="001A5B54" w:rsidRPr="00E87295" w:rsidRDefault="001A5B54" w:rsidP="00E87295">
            <w:pPr>
              <w:jc w:val="both"/>
              <w:rPr>
                <w:sz w:val="22"/>
                <w:szCs w:val="22"/>
                <w:lang w:val="sr-Latn-RS"/>
              </w:rPr>
            </w:pPr>
            <w:r w:rsidRPr="00E87295">
              <w:rPr>
                <w:b/>
                <w:sz w:val="22"/>
                <w:szCs w:val="22"/>
                <w:lang w:val="sr-Latn-RS"/>
              </w:rPr>
              <w:t xml:space="preserve">Srednja </w:t>
            </w:r>
            <w:r w:rsidR="006E31CC" w:rsidRPr="00E87295">
              <w:rPr>
                <w:b/>
                <w:sz w:val="22"/>
                <w:szCs w:val="22"/>
                <w:lang w:val="sr-Latn-RS"/>
              </w:rPr>
              <w:t>vrijednost (LS)</w:t>
            </w:r>
            <w:r w:rsidRPr="00E87295">
              <w:rPr>
                <w:b/>
                <w:sz w:val="22"/>
                <w:szCs w:val="22"/>
                <w:vertAlign w:val="superscript"/>
                <w:lang w:val="sr-Latn-RS"/>
              </w:rPr>
              <w:t>c</w:t>
            </w:r>
            <w:r w:rsidRPr="00E87295">
              <w:rPr>
                <w:b/>
                <w:sz w:val="22"/>
                <w:szCs w:val="22"/>
                <w:lang w:val="sr-Latn-RS"/>
              </w:rPr>
              <w:t xml:space="preserve"> (95% CI</w:t>
            </w:r>
            <w:r w:rsidRPr="00E87295">
              <w:rPr>
                <w:b/>
                <w:sz w:val="22"/>
                <w:szCs w:val="22"/>
                <w:vertAlign w:val="superscript"/>
                <w:lang w:val="sr-Latn-RS"/>
              </w:rPr>
              <w:t>d</w:t>
            </w:r>
            <w:r w:rsidRPr="00E87295">
              <w:rPr>
                <w:b/>
                <w:sz w:val="22"/>
                <w:szCs w:val="22"/>
                <w:lang w:val="sr-Latn-RS"/>
              </w:rPr>
              <w:t>) u vr</w:t>
            </w:r>
            <w:r w:rsidR="00343954" w:rsidRPr="00E87295">
              <w:rPr>
                <w:b/>
                <w:sz w:val="22"/>
                <w:szCs w:val="22"/>
                <w:lang w:val="sr-Latn-RS"/>
              </w:rPr>
              <w:t>ij</w:t>
            </w:r>
            <w:r w:rsidRPr="00E87295">
              <w:rPr>
                <w:b/>
                <w:sz w:val="22"/>
                <w:szCs w:val="22"/>
                <w:lang w:val="sr-Latn-RS"/>
              </w:rPr>
              <w:t>ednosti skora vdH-S 24. ned</w:t>
            </w:r>
            <w:r w:rsidR="00343954" w:rsidRPr="00E87295">
              <w:rPr>
                <w:b/>
                <w:sz w:val="22"/>
                <w:szCs w:val="22"/>
                <w:lang w:val="sr-Latn-RS"/>
              </w:rPr>
              <w:t>j</w:t>
            </w:r>
            <w:r w:rsidRPr="00E87295">
              <w:rPr>
                <w:b/>
                <w:sz w:val="22"/>
                <w:szCs w:val="22"/>
                <w:lang w:val="sr-Latn-RS"/>
              </w:rPr>
              <w:t>elje u odnosu na početno stanje</w:t>
            </w:r>
          </w:p>
        </w:tc>
      </w:tr>
      <w:tr w:rsidR="001A5B54" w:rsidRPr="00E87295" w14:paraId="50B8007C" w14:textId="77777777" w:rsidTr="009F5282">
        <w:trPr>
          <w:cantSplit/>
        </w:trPr>
        <w:tc>
          <w:tcPr>
            <w:tcW w:w="1245" w:type="pct"/>
            <w:tcBorders>
              <w:top w:val="single" w:sz="4" w:space="0" w:color="auto"/>
              <w:bottom w:val="nil"/>
              <w:right w:val="single" w:sz="4" w:space="0" w:color="auto"/>
            </w:tcBorders>
            <w:shd w:val="clear" w:color="auto" w:fill="auto"/>
          </w:tcPr>
          <w:p w14:paraId="0184C440" w14:textId="77777777" w:rsidR="001A5B54" w:rsidRPr="00E87295" w:rsidRDefault="001A5B54" w:rsidP="00E87295">
            <w:pPr>
              <w:jc w:val="both"/>
              <w:rPr>
                <w:sz w:val="22"/>
                <w:szCs w:val="22"/>
                <w:lang w:val="sr-Latn-RS"/>
              </w:rPr>
            </w:pPr>
            <w:r w:rsidRPr="00E87295">
              <w:rPr>
                <w:sz w:val="22"/>
                <w:szCs w:val="22"/>
                <w:lang w:val="sr-Latn-RS"/>
              </w:rPr>
              <w:t>Placebo</w:t>
            </w:r>
          </w:p>
        </w:tc>
        <w:tc>
          <w:tcPr>
            <w:tcW w:w="278" w:type="pct"/>
            <w:tcBorders>
              <w:top w:val="single" w:sz="4" w:space="0" w:color="auto"/>
              <w:left w:val="single" w:sz="4" w:space="0" w:color="auto"/>
              <w:bottom w:val="nil"/>
              <w:right w:val="single" w:sz="4" w:space="0" w:color="auto"/>
            </w:tcBorders>
            <w:shd w:val="clear" w:color="auto" w:fill="auto"/>
          </w:tcPr>
          <w:p w14:paraId="5D697EA6" w14:textId="77777777" w:rsidR="001A5B54" w:rsidRPr="00E87295" w:rsidRDefault="001A5B54" w:rsidP="00E87295">
            <w:pPr>
              <w:jc w:val="both"/>
              <w:rPr>
                <w:sz w:val="22"/>
                <w:szCs w:val="22"/>
                <w:lang w:val="sr-Latn-RS"/>
              </w:rPr>
            </w:pPr>
            <w:r w:rsidRPr="00E87295">
              <w:rPr>
                <w:sz w:val="22"/>
                <w:szCs w:val="22"/>
                <w:lang w:val="sr-Latn-RS"/>
              </w:rPr>
              <w:t>246</w:t>
            </w:r>
          </w:p>
        </w:tc>
        <w:tc>
          <w:tcPr>
            <w:tcW w:w="3477" w:type="pct"/>
            <w:tcBorders>
              <w:top w:val="single" w:sz="4" w:space="0" w:color="auto"/>
              <w:left w:val="single" w:sz="4" w:space="0" w:color="auto"/>
              <w:bottom w:val="nil"/>
            </w:tcBorders>
            <w:shd w:val="clear" w:color="auto" w:fill="auto"/>
          </w:tcPr>
          <w:p w14:paraId="332C9760" w14:textId="77777777" w:rsidR="001A5B54" w:rsidRPr="00E87295" w:rsidRDefault="001A5B54" w:rsidP="00E87295">
            <w:pPr>
              <w:jc w:val="both"/>
              <w:rPr>
                <w:sz w:val="22"/>
                <w:szCs w:val="22"/>
                <w:lang w:val="sr-Latn-RS"/>
              </w:rPr>
            </w:pPr>
            <w:r w:rsidRPr="00E87295">
              <w:rPr>
                <w:sz w:val="22"/>
                <w:szCs w:val="22"/>
                <w:lang w:val="sr-Latn-RS"/>
              </w:rPr>
              <w:t>0,95 (0,61; 1,29)</w:t>
            </w:r>
          </w:p>
        </w:tc>
      </w:tr>
      <w:tr w:rsidR="001A5B54" w:rsidRPr="00E87295" w14:paraId="0BC57FB7" w14:textId="77777777" w:rsidTr="009F5282">
        <w:trPr>
          <w:cantSplit/>
        </w:trPr>
        <w:tc>
          <w:tcPr>
            <w:tcW w:w="1245" w:type="pct"/>
            <w:tcBorders>
              <w:top w:val="nil"/>
              <w:bottom w:val="nil"/>
              <w:right w:val="single" w:sz="4" w:space="0" w:color="auto"/>
            </w:tcBorders>
            <w:shd w:val="clear" w:color="auto" w:fill="auto"/>
          </w:tcPr>
          <w:p w14:paraId="3DF7813E" w14:textId="17DF0D99" w:rsidR="001A5B54" w:rsidRPr="00E87295" w:rsidRDefault="001A5B54" w:rsidP="00E87295">
            <w:pPr>
              <w:jc w:val="both"/>
              <w:rPr>
                <w:sz w:val="22"/>
                <w:szCs w:val="22"/>
                <w:lang w:val="sr-Latn-RS"/>
              </w:rPr>
            </w:pPr>
            <w:r w:rsidRPr="00E87295">
              <w:rPr>
                <w:sz w:val="22"/>
                <w:szCs w:val="22"/>
                <w:lang w:val="sr-Latn-RS"/>
              </w:rPr>
              <w:t>Guselkumab 100 mg na 8 ned</w:t>
            </w:r>
            <w:r w:rsidR="00343954" w:rsidRPr="00E87295">
              <w:rPr>
                <w:sz w:val="22"/>
                <w:szCs w:val="22"/>
                <w:lang w:val="sr-Latn-RS"/>
              </w:rPr>
              <w:t>j</w:t>
            </w:r>
            <w:r w:rsidRPr="00E87295">
              <w:rPr>
                <w:sz w:val="22"/>
                <w:szCs w:val="22"/>
                <w:lang w:val="sr-Latn-RS"/>
              </w:rPr>
              <w:t>elja</w:t>
            </w:r>
          </w:p>
        </w:tc>
        <w:tc>
          <w:tcPr>
            <w:tcW w:w="278" w:type="pct"/>
            <w:tcBorders>
              <w:top w:val="nil"/>
              <w:left w:val="single" w:sz="4" w:space="0" w:color="auto"/>
              <w:bottom w:val="nil"/>
              <w:right w:val="single" w:sz="4" w:space="0" w:color="auto"/>
            </w:tcBorders>
            <w:shd w:val="clear" w:color="auto" w:fill="auto"/>
          </w:tcPr>
          <w:p w14:paraId="5B260C73" w14:textId="77777777" w:rsidR="001A5B54" w:rsidRPr="00E87295" w:rsidRDefault="001A5B54" w:rsidP="00E87295">
            <w:pPr>
              <w:jc w:val="both"/>
              <w:rPr>
                <w:sz w:val="22"/>
                <w:szCs w:val="22"/>
                <w:lang w:val="sr-Latn-RS"/>
              </w:rPr>
            </w:pPr>
            <w:r w:rsidRPr="00E87295">
              <w:rPr>
                <w:sz w:val="22"/>
                <w:szCs w:val="22"/>
                <w:lang w:val="sr-Latn-RS"/>
              </w:rPr>
              <w:t>248</w:t>
            </w:r>
          </w:p>
        </w:tc>
        <w:tc>
          <w:tcPr>
            <w:tcW w:w="3477" w:type="pct"/>
            <w:tcBorders>
              <w:top w:val="nil"/>
              <w:left w:val="single" w:sz="4" w:space="0" w:color="auto"/>
              <w:bottom w:val="nil"/>
            </w:tcBorders>
            <w:shd w:val="clear" w:color="auto" w:fill="auto"/>
          </w:tcPr>
          <w:p w14:paraId="5DB88B51" w14:textId="77777777" w:rsidR="001A5B54" w:rsidRPr="00E87295" w:rsidRDefault="001A5B54" w:rsidP="00E87295">
            <w:pPr>
              <w:jc w:val="both"/>
              <w:rPr>
                <w:sz w:val="22"/>
                <w:szCs w:val="22"/>
                <w:lang w:val="sr-Latn-RS"/>
              </w:rPr>
            </w:pPr>
            <w:r w:rsidRPr="00E87295">
              <w:rPr>
                <w:sz w:val="22"/>
                <w:szCs w:val="22"/>
                <w:lang w:val="sr-Latn-RS"/>
              </w:rPr>
              <w:t>0,52</w:t>
            </w:r>
            <w:r w:rsidRPr="00E87295">
              <w:rPr>
                <w:sz w:val="22"/>
                <w:szCs w:val="22"/>
                <w:vertAlign w:val="superscript"/>
                <w:lang w:val="sr-Latn-RS"/>
              </w:rPr>
              <w:t xml:space="preserve"> a</w:t>
            </w:r>
            <w:r w:rsidRPr="00E87295">
              <w:rPr>
                <w:sz w:val="22"/>
                <w:szCs w:val="22"/>
                <w:lang w:val="sr-Latn-RS"/>
              </w:rPr>
              <w:t xml:space="preserve"> (0,18; 0,86)</w:t>
            </w:r>
          </w:p>
        </w:tc>
      </w:tr>
      <w:tr w:rsidR="001A5B54" w:rsidRPr="00E87295" w14:paraId="6CF4D12F" w14:textId="77777777" w:rsidTr="009F5282">
        <w:trPr>
          <w:cantSplit/>
        </w:trPr>
        <w:tc>
          <w:tcPr>
            <w:tcW w:w="1245" w:type="pct"/>
            <w:tcBorders>
              <w:top w:val="nil"/>
              <w:bottom w:val="single" w:sz="4" w:space="0" w:color="auto"/>
              <w:right w:val="single" w:sz="4" w:space="0" w:color="auto"/>
            </w:tcBorders>
            <w:shd w:val="clear" w:color="auto" w:fill="auto"/>
          </w:tcPr>
          <w:p w14:paraId="32C1486D" w14:textId="631956C2" w:rsidR="001A5B54" w:rsidRPr="00E87295" w:rsidRDefault="001A5B54" w:rsidP="00E87295">
            <w:pPr>
              <w:jc w:val="both"/>
              <w:rPr>
                <w:sz w:val="22"/>
                <w:szCs w:val="22"/>
                <w:lang w:val="sr-Latn-RS"/>
              </w:rPr>
            </w:pPr>
            <w:r w:rsidRPr="00E87295">
              <w:rPr>
                <w:sz w:val="22"/>
                <w:szCs w:val="22"/>
                <w:lang w:val="sr-Latn-RS"/>
              </w:rPr>
              <w:t>Guselkumab 100 mg na 4 ned</w:t>
            </w:r>
            <w:r w:rsidR="00343954" w:rsidRPr="00E87295">
              <w:rPr>
                <w:sz w:val="22"/>
                <w:szCs w:val="22"/>
                <w:lang w:val="sr-Latn-RS"/>
              </w:rPr>
              <w:t>j</w:t>
            </w:r>
            <w:r w:rsidRPr="00E87295">
              <w:rPr>
                <w:sz w:val="22"/>
                <w:szCs w:val="22"/>
                <w:lang w:val="sr-Latn-RS"/>
              </w:rPr>
              <w:t>elje</w:t>
            </w:r>
          </w:p>
        </w:tc>
        <w:tc>
          <w:tcPr>
            <w:tcW w:w="278" w:type="pct"/>
            <w:tcBorders>
              <w:top w:val="nil"/>
              <w:left w:val="single" w:sz="4" w:space="0" w:color="auto"/>
              <w:bottom w:val="single" w:sz="4" w:space="0" w:color="auto"/>
              <w:right w:val="single" w:sz="4" w:space="0" w:color="auto"/>
            </w:tcBorders>
            <w:shd w:val="clear" w:color="auto" w:fill="auto"/>
          </w:tcPr>
          <w:p w14:paraId="3C04593C" w14:textId="77777777" w:rsidR="001A5B54" w:rsidRPr="00E87295" w:rsidRDefault="001A5B54" w:rsidP="00E87295">
            <w:pPr>
              <w:jc w:val="both"/>
              <w:rPr>
                <w:sz w:val="22"/>
                <w:szCs w:val="22"/>
                <w:lang w:val="sr-Latn-RS"/>
              </w:rPr>
            </w:pPr>
            <w:r w:rsidRPr="00E87295">
              <w:rPr>
                <w:sz w:val="22"/>
                <w:szCs w:val="22"/>
                <w:lang w:val="sr-Latn-RS"/>
              </w:rPr>
              <w:t>245</w:t>
            </w:r>
          </w:p>
        </w:tc>
        <w:tc>
          <w:tcPr>
            <w:tcW w:w="3477" w:type="pct"/>
            <w:tcBorders>
              <w:top w:val="nil"/>
              <w:left w:val="single" w:sz="4" w:space="0" w:color="auto"/>
              <w:bottom w:val="single" w:sz="4" w:space="0" w:color="auto"/>
            </w:tcBorders>
            <w:shd w:val="clear" w:color="auto" w:fill="auto"/>
          </w:tcPr>
          <w:p w14:paraId="0DE03242" w14:textId="77777777" w:rsidR="001A5B54" w:rsidRPr="00E87295" w:rsidRDefault="001A5B54" w:rsidP="00E87295">
            <w:pPr>
              <w:jc w:val="both"/>
              <w:rPr>
                <w:sz w:val="22"/>
                <w:szCs w:val="22"/>
                <w:lang w:val="sr-Latn-RS"/>
              </w:rPr>
            </w:pPr>
            <w:r w:rsidRPr="00E87295">
              <w:rPr>
                <w:sz w:val="22"/>
                <w:szCs w:val="22"/>
                <w:lang w:val="sr-Latn-RS"/>
              </w:rPr>
              <w:t>0,29</w:t>
            </w:r>
            <w:r w:rsidRPr="00E87295">
              <w:rPr>
                <w:sz w:val="22"/>
                <w:szCs w:val="22"/>
                <w:vertAlign w:val="superscript"/>
                <w:lang w:val="sr-Latn-RS"/>
              </w:rPr>
              <w:t xml:space="preserve"> b</w:t>
            </w:r>
            <w:r w:rsidRPr="00E87295">
              <w:rPr>
                <w:sz w:val="22"/>
                <w:szCs w:val="22"/>
                <w:lang w:val="sr-Latn-RS"/>
              </w:rPr>
              <w:t xml:space="preserve"> (-0,05; 0,63)</w:t>
            </w:r>
          </w:p>
        </w:tc>
      </w:tr>
      <w:tr w:rsidR="001A5B54" w:rsidRPr="00E87295" w14:paraId="4EBF1FBF" w14:textId="77777777" w:rsidTr="009F5282">
        <w:trPr>
          <w:cantSplit/>
        </w:trPr>
        <w:tc>
          <w:tcPr>
            <w:tcW w:w="5000" w:type="pct"/>
            <w:gridSpan w:val="3"/>
            <w:tcBorders>
              <w:top w:val="single" w:sz="4" w:space="0" w:color="auto"/>
              <w:left w:val="nil"/>
              <w:bottom w:val="nil"/>
              <w:right w:val="nil"/>
            </w:tcBorders>
          </w:tcPr>
          <w:p w14:paraId="0709F5A8" w14:textId="299521C9" w:rsidR="001A5B54" w:rsidRPr="00E87295" w:rsidRDefault="001A5B54" w:rsidP="00E87295">
            <w:pPr>
              <w:widowControl w:val="0"/>
              <w:ind w:left="284" w:hanging="284"/>
              <w:jc w:val="both"/>
              <w:rPr>
                <w:sz w:val="22"/>
                <w:szCs w:val="22"/>
                <w:lang w:val="sr-Latn-RS"/>
              </w:rPr>
            </w:pPr>
            <w:r w:rsidRPr="00E87295">
              <w:rPr>
                <w:sz w:val="22"/>
                <w:szCs w:val="22"/>
                <w:vertAlign w:val="superscript"/>
                <w:lang w:val="sr-Latn-RS"/>
              </w:rPr>
              <w:t>a</w:t>
            </w:r>
            <w:r w:rsidRPr="00E87295">
              <w:rPr>
                <w:sz w:val="22"/>
                <w:szCs w:val="22"/>
                <w:lang w:val="sr-Latn-RS"/>
              </w:rPr>
              <w:tab/>
              <w:t xml:space="preserve">nije statistički </w:t>
            </w:r>
            <w:r w:rsidR="006E31CC" w:rsidRPr="00E87295">
              <w:rPr>
                <w:sz w:val="22"/>
                <w:szCs w:val="22"/>
                <w:lang w:val="sr-Latn-RS"/>
              </w:rPr>
              <w:t>značajno</w:t>
            </w:r>
            <w:r w:rsidRPr="00E87295">
              <w:rPr>
                <w:sz w:val="22"/>
                <w:szCs w:val="22"/>
                <w:lang w:val="sr-Latn-RS"/>
              </w:rPr>
              <w:t xml:space="preserve"> p = 0,068 (glavn</w:t>
            </w:r>
            <w:r w:rsidR="006E31CC" w:rsidRPr="00E87295">
              <w:rPr>
                <w:sz w:val="22"/>
                <w:szCs w:val="22"/>
                <w:lang w:val="sr-Latn-RS"/>
              </w:rPr>
              <w:t>i</w:t>
            </w:r>
            <w:r w:rsidRPr="00E87295">
              <w:rPr>
                <w:sz w:val="22"/>
                <w:szCs w:val="22"/>
                <w:lang w:val="sr-Latn-RS"/>
              </w:rPr>
              <w:t xml:space="preserve"> sekundarn</w:t>
            </w:r>
            <w:r w:rsidR="006E31CC" w:rsidRPr="00E87295">
              <w:rPr>
                <w:sz w:val="22"/>
                <w:szCs w:val="22"/>
                <w:lang w:val="sr-Latn-RS"/>
              </w:rPr>
              <w:t>i parametar praćenja</w:t>
            </w:r>
            <w:r w:rsidRPr="00E87295">
              <w:rPr>
                <w:sz w:val="22"/>
                <w:szCs w:val="22"/>
                <w:lang w:val="sr-Latn-RS"/>
              </w:rPr>
              <w:t>)</w:t>
            </w:r>
          </w:p>
          <w:p w14:paraId="2421F1FE" w14:textId="593DD94F" w:rsidR="001A5B54" w:rsidRPr="00E87295" w:rsidRDefault="001A5B54" w:rsidP="00E87295">
            <w:pPr>
              <w:widowControl w:val="0"/>
              <w:ind w:left="284" w:hanging="284"/>
              <w:jc w:val="both"/>
              <w:rPr>
                <w:sz w:val="22"/>
                <w:szCs w:val="22"/>
                <w:lang w:val="sr-Latn-RS"/>
              </w:rPr>
            </w:pPr>
            <w:r w:rsidRPr="00E87295">
              <w:rPr>
                <w:sz w:val="22"/>
                <w:szCs w:val="22"/>
                <w:vertAlign w:val="superscript"/>
                <w:lang w:val="sr-Latn-RS"/>
              </w:rPr>
              <w:t>b</w:t>
            </w:r>
            <w:r w:rsidRPr="00E87295">
              <w:rPr>
                <w:sz w:val="22"/>
                <w:szCs w:val="22"/>
                <w:lang w:val="sr-Latn-RS"/>
              </w:rPr>
              <w:tab/>
              <w:t>p = 0,006 (glavn</w:t>
            </w:r>
            <w:r w:rsidR="006E31CC" w:rsidRPr="00E87295">
              <w:rPr>
                <w:sz w:val="22"/>
                <w:szCs w:val="22"/>
                <w:lang w:val="sr-Latn-RS"/>
              </w:rPr>
              <w:t>i sekundarni parametar praćenja</w:t>
            </w:r>
            <w:r w:rsidRPr="00E87295">
              <w:rPr>
                <w:sz w:val="22"/>
                <w:szCs w:val="22"/>
                <w:lang w:val="sr-Latn-RS"/>
              </w:rPr>
              <w:t>)</w:t>
            </w:r>
          </w:p>
          <w:p w14:paraId="454D6D72" w14:textId="3E8FE0C0" w:rsidR="001A5B54" w:rsidRPr="00E87295" w:rsidRDefault="001A5B54" w:rsidP="00E87295">
            <w:pPr>
              <w:widowControl w:val="0"/>
              <w:ind w:left="284" w:hanging="284"/>
              <w:jc w:val="both"/>
              <w:rPr>
                <w:sz w:val="22"/>
                <w:szCs w:val="22"/>
                <w:lang w:val="sr-Latn-RS"/>
              </w:rPr>
            </w:pPr>
            <w:r w:rsidRPr="00E87295">
              <w:rPr>
                <w:sz w:val="22"/>
                <w:szCs w:val="22"/>
                <w:vertAlign w:val="superscript"/>
                <w:lang w:val="sr-Latn-RS"/>
              </w:rPr>
              <w:t>c</w:t>
            </w:r>
            <w:r w:rsidRPr="00E87295">
              <w:rPr>
                <w:sz w:val="22"/>
                <w:szCs w:val="22"/>
                <w:lang w:val="sr-Latn-RS"/>
              </w:rPr>
              <w:tab/>
            </w:r>
            <w:r w:rsidR="006E31CC" w:rsidRPr="00E87295">
              <w:rPr>
                <w:sz w:val="22"/>
                <w:szCs w:val="22"/>
                <w:lang w:val="sr-Latn-RS"/>
              </w:rPr>
              <w:t xml:space="preserve">LS (engl. </w:t>
            </w:r>
            <w:r w:rsidR="006E31CC" w:rsidRPr="00E87295">
              <w:rPr>
                <w:i/>
                <w:sz w:val="22"/>
                <w:szCs w:val="22"/>
                <w:lang w:val="sr-Latn-RS"/>
              </w:rPr>
              <w:t>least square</w:t>
            </w:r>
            <w:r w:rsidR="006E31CC" w:rsidRPr="00E87295">
              <w:rPr>
                <w:sz w:val="22"/>
                <w:szCs w:val="22"/>
                <w:lang w:val="sr-Latn-RS"/>
              </w:rPr>
              <w:t>)</w:t>
            </w:r>
            <w:r w:rsidRPr="00E87295">
              <w:rPr>
                <w:sz w:val="22"/>
                <w:szCs w:val="22"/>
                <w:lang w:val="sr-Latn-RS"/>
              </w:rPr>
              <w:t xml:space="preserve"> = </w:t>
            </w:r>
            <w:r w:rsidR="006E31CC" w:rsidRPr="00E87295">
              <w:rPr>
                <w:sz w:val="22"/>
                <w:szCs w:val="22"/>
                <w:lang w:val="sr-Latn-RS"/>
              </w:rPr>
              <w:t>metoda</w:t>
            </w:r>
            <w:r w:rsidRPr="00E87295">
              <w:rPr>
                <w:sz w:val="22"/>
                <w:szCs w:val="22"/>
                <w:lang w:val="sr-Latn-RS"/>
              </w:rPr>
              <w:t xml:space="preserve"> najmanjih kvadrata</w:t>
            </w:r>
          </w:p>
          <w:p w14:paraId="466C95E4" w14:textId="30AE02D0" w:rsidR="001A5B54" w:rsidRPr="00E87295" w:rsidRDefault="001A5B54" w:rsidP="00E87295">
            <w:pPr>
              <w:widowControl w:val="0"/>
              <w:ind w:left="284" w:hanging="284"/>
              <w:jc w:val="both"/>
              <w:rPr>
                <w:sz w:val="22"/>
                <w:szCs w:val="22"/>
                <w:lang w:val="sr-Latn-RS"/>
              </w:rPr>
            </w:pPr>
            <w:r w:rsidRPr="00E87295">
              <w:rPr>
                <w:sz w:val="22"/>
                <w:szCs w:val="22"/>
                <w:vertAlign w:val="superscript"/>
                <w:lang w:val="sr-Latn-RS"/>
              </w:rPr>
              <w:t>d</w:t>
            </w:r>
            <w:r w:rsidRPr="00E87295">
              <w:rPr>
                <w:sz w:val="22"/>
                <w:szCs w:val="22"/>
                <w:lang w:val="sr-Latn-RS"/>
              </w:rPr>
              <w:tab/>
              <w:t>CI </w:t>
            </w:r>
            <w:r w:rsidR="006E31CC" w:rsidRPr="00E87295">
              <w:rPr>
                <w:sz w:val="22"/>
                <w:szCs w:val="22"/>
                <w:lang w:val="sr-Latn-ME"/>
              </w:rPr>
              <w:t xml:space="preserve">(engl. </w:t>
            </w:r>
            <w:r w:rsidR="006E31CC" w:rsidRPr="00E87295">
              <w:rPr>
                <w:i/>
                <w:iCs/>
                <w:sz w:val="22"/>
                <w:szCs w:val="22"/>
                <w:lang w:val="sr-Latn-ME"/>
              </w:rPr>
              <w:t>confidence interval</w:t>
            </w:r>
            <w:r w:rsidR="006E31CC" w:rsidRPr="00E87295">
              <w:rPr>
                <w:sz w:val="22"/>
                <w:szCs w:val="22"/>
                <w:lang w:val="sr-Latn-ME"/>
              </w:rPr>
              <w:t>)</w:t>
            </w:r>
            <w:r w:rsidR="006E31CC" w:rsidRPr="00E87295">
              <w:rPr>
                <w:sz w:val="22"/>
                <w:szCs w:val="22"/>
                <w:lang w:val="sr-Latn-RS"/>
              </w:rPr>
              <w:t xml:space="preserve"> </w:t>
            </w:r>
            <w:r w:rsidRPr="00E87295">
              <w:rPr>
                <w:sz w:val="22"/>
                <w:szCs w:val="22"/>
                <w:lang w:val="sr-Latn-RS"/>
              </w:rPr>
              <w:t>= interval pouzdanosti</w:t>
            </w:r>
          </w:p>
        </w:tc>
      </w:tr>
      <w:bookmarkEnd w:id="10"/>
    </w:tbl>
    <w:p w14:paraId="1531CD03" w14:textId="77777777" w:rsidR="001A5B54" w:rsidRPr="00E87295" w:rsidRDefault="001A5B54" w:rsidP="00E87295">
      <w:pPr>
        <w:jc w:val="both"/>
        <w:rPr>
          <w:sz w:val="22"/>
          <w:szCs w:val="22"/>
          <w:lang w:val="sr-Latn-RS"/>
        </w:rPr>
      </w:pPr>
    </w:p>
    <w:p w14:paraId="3292B1C6" w14:textId="3D76CA68" w:rsidR="001A5B54" w:rsidRPr="00E87295" w:rsidRDefault="001A5B54" w:rsidP="00E87295">
      <w:pPr>
        <w:autoSpaceDE w:val="0"/>
        <w:autoSpaceDN w:val="0"/>
        <w:adjustRightInd w:val="0"/>
        <w:jc w:val="both"/>
        <w:rPr>
          <w:sz w:val="22"/>
          <w:szCs w:val="22"/>
          <w:lang w:val="sr-Latn-RS"/>
        </w:rPr>
      </w:pPr>
      <w:r w:rsidRPr="00E87295">
        <w:rPr>
          <w:sz w:val="22"/>
          <w:szCs w:val="22"/>
          <w:lang w:val="sr-Latn-RS"/>
        </w:rPr>
        <w:t>Srednja prom</w:t>
      </w:r>
      <w:r w:rsidR="00343954" w:rsidRPr="00E87295">
        <w:rPr>
          <w:sz w:val="22"/>
          <w:szCs w:val="22"/>
          <w:lang w:val="sr-Latn-RS"/>
        </w:rPr>
        <w:t>j</w:t>
      </w:r>
      <w:r w:rsidRPr="00E87295">
        <w:rPr>
          <w:sz w:val="22"/>
          <w:szCs w:val="22"/>
          <w:lang w:val="sr-Latn-RS"/>
        </w:rPr>
        <w:t>en</w:t>
      </w:r>
      <w:r w:rsidR="00FB3DEB" w:rsidRPr="00E87295">
        <w:rPr>
          <w:sz w:val="22"/>
          <w:szCs w:val="22"/>
          <w:lang w:val="sr-Latn-RS"/>
        </w:rPr>
        <w:t>a</w:t>
      </w:r>
      <w:r w:rsidRPr="00E87295">
        <w:rPr>
          <w:sz w:val="22"/>
          <w:szCs w:val="22"/>
          <w:lang w:val="sr-Latn-RS"/>
        </w:rPr>
        <w:t xml:space="preserve"> ukupnog modifikovanog skora vdH-S </w:t>
      </w:r>
      <w:r w:rsidR="00FB3DEB" w:rsidRPr="00E87295">
        <w:rPr>
          <w:sz w:val="22"/>
          <w:szCs w:val="22"/>
          <w:lang w:val="sr-Latn-RS"/>
        </w:rPr>
        <w:t xml:space="preserve">u </w:t>
      </w:r>
      <w:r w:rsidRPr="00E87295">
        <w:rPr>
          <w:sz w:val="22"/>
          <w:szCs w:val="22"/>
          <w:lang w:val="sr-Latn-RS"/>
        </w:rPr>
        <w:t>52. ned</w:t>
      </w:r>
      <w:r w:rsidR="00343954" w:rsidRPr="00E87295">
        <w:rPr>
          <w:sz w:val="22"/>
          <w:szCs w:val="22"/>
          <w:lang w:val="sr-Latn-RS"/>
        </w:rPr>
        <w:t>j</w:t>
      </w:r>
      <w:r w:rsidRPr="00E87295">
        <w:rPr>
          <w:sz w:val="22"/>
          <w:szCs w:val="22"/>
          <w:lang w:val="sr-Latn-RS"/>
        </w:rPr>
        <w:t>elj</w:t>
      </w:r>
      <w:r w:rsidR="00FB3DEB" w:rsidRPr="00E87295">
        <w:rPr>
          <w:sz w:val="22"/>
          <w:szCs w:val="22"/>
          <w:lang w:val="sr-Latn-RS"/>
        </w:rPr>
        <w:t>i i u 100. ned</w:t>
      </w:r>
      <w:r w:rsidR="00E02144" w:rsidRPr="00E87295">
        <w:rPr>
          <w:sz w:val="22"/>
          <w:szCs w:val="22"/>
          <w:lang w:val="sr-Latn-RS"/>
        </w:rPr>
        <w:t>j</w:t>
      </w:r>
      <w:r w:rsidR="00FB3DEB" w:rsidRPr="00E87295">
        <w:rPr>
          <w:sz w:val="22"/>
          <w:szCs w:val="22"/>
          <w:lang w:val="sr-Latn-RS"/>
        </w:rPr>
        <w:t>elji</w:t>
      </w:r>
      <w:r w:rsidRPr="00E87295">
        <w:rPr>
          <w:sz w:val="22"/>
          <w:szCs w:val="22"/>
          <w:lang w:val="sr-Latn-RS"/>
        </w:rPr>
        <w:t xml:space="preserve"> bila je slična u grupama koje su primale guselkumab na 8 ned</w:t>
      </w:r>
      <w:r w:rsidR="00343954" w:rsidRPr="00E87295">
        <w:rPr>
          <w:sz w:val="22"/>
          <w:szCs w:val="22"/>
          <w:lang w:val="sr-Latn-RS"/>
        </w:rPr>
        <w:t>j</w:t>
      </w:r>
      <w:r w:rsidRPr="00E87295">
        <w:rPr>
          <w:sz w:val="22"/>
          <w:szCs w:val="22"/>
          <w:lang w:val="sr-Latn-RS"/>
        </w:rPr>
        <w:t>elja i na 4 ned</w:t>
      </w:r>
      <w:r w:rsidR="00343954" w:rsidRPr="00E87295">
        <w:rPr>
          <w:sz w:val="22"/>
          <w:szCs w:val="22"/>
          <w:lang w:val="sr-Latn-RS"/>
        </w:rPr>
        <w:t>j</w:t>
      </w:r>
      <w:r w:rsidRPr="00E87295">
        <w:rPr>
          <w:sz w:val="22"/>
          <w:szCs w:val="22"/>
          <w:lang w:val="sr-Latn-RS"/>
        </w:rPr>
        <w:t>elje (Tabela 1</w:t>
      </w:r>
      <w:r w:rsidR="00FB3DEB" w:rsidRPr="00E87295">
        <w:rPr>
          <w:sz w:val="22"/>
          <w:szCs w:val="22"/>
          <w:lang w:val="sr-Latn-RS"/>
        </w:rPr>
        <w:t>2</w:t>
      </w:r>
      <w:r w:rsidRPr="00E87295">
        <w:rPr>
          <w:sz w:val="22"/>
          <w:szCs w:val="22"/>
          <w:lang w:val="sr-Latn-RS"/>
        </w:rPr>
        <w:t xml:space="preserve">). </w:t>
      </w:r>
    </w:p>
    <w:p w14:paraId="515426D4" w14:textId="77777777" w:rsidR="006E31CC" w:rsidRPr="00E87295" w:rsidRDefault="006E31CC" w:rsidP="006E31CC">
      <w:pPr>
        <w:autoSpaceDE w:val="0"/>
        <w:autoSpaceDN w:val="0"/>
        <w:adjustRightInd w:val="0"/>
        <w:jc w:val="both"/>
        <w:rPr>
          <w:rFonts w:eastAsia="Calibri"/>
          <w:b/>
          <w:bCs/>
          <w:sz w:val="22"/>
          <w:szCs w:val="22"/>
          <w:lang w:val="sr-Latn-RS"/>
        </w:rPr>
      </w:pPr>
    </w:p>
    <w:p w14:paraId="113FD0A6" w14:textId="3A7901F7" w:rsidR="006E31CC" w:rsidRPr="00E87295" w:rsidRDefault="006E31CC" w:rsidP="00E87295">
      <w:pPr>
        <w:autoSpaceDE w:val="0"/>
        <w:autoSpaceDN w:val="0"/>
        <w:adjustRightInd w:val="0"/>
        <w:jc w:val="both"/>
        <w:rPr>
          <w:rFonts w:eastAsia="Calibri"/>
          <w:b/>
          <w:bCs/>
          <w:sz w:val="22"/>
          <w:szCs w:val="22"/>
          <w:lang w:val="sr-Latn-RS"/>
        </w:rPr>
      </w:pPr>
      <w:r w:rsidRPr="00E87295">
        <w:rPr>
          <w:rFonts w:eastAsia="Calibri"/>
          <w:b/>
          <w:bCs/>
          <w:sz w:val="22"/>
          <w:szCs w:val="22"/>
          <w:lang w:val="sr-Latn-RS"/>
        </w:rPr>
        <w:t xml:space="preserve">Tabela 12: </w:t>
      </w:r>
      <w:r w:rsidRPr="00E87295">
        <w:rPr>
          <w:rFonts w:eastAsia="Calibri"/>
          <w:b/>
          <w:bCs/>
          <w:sz w:val="22"/>
          <w:szCs w:val="22"/>
          <w:lang w:val="sr-Latn-RS"/>
        </w:rPr>
        <w:tab/>
        <w:t>Promjene u vrijednosti ukupnog modifikovanog skora vdH-S u 52. nedjelji i u 100. nedjelji u odnosu na početno stanje u studiji DISCOVER 2</w:t>
      </w:r>
    </w:p>
    <w:tbl>
      <w:tblPr>
        <w:tblStyle w:val="TableGrid"/>
        <w:tblW w:w="9307" w:type="dxa"/>
        <w:tblInd w:w="-5" w:type="dxa"/>
        <w:tblLook w:val="04A0" w:firstRow="1" w:lastRow="0" w:firstColumn="1" w:lastColumn="0" w:noHBand="0" w:noVBand="1"/>
      </w:tblPr>
      <w:tblGrid>
        <w:gridCol w:w="2302"/>
        <w:gridCol w:w="546"/>
        <w:gridCol w:w="6459"/>
      </w:tblGrid>
      <w:tr w:rsidR="001A5B54" w:rsidRPr="00E87295" w14:paraId="0096279E" w14:textId="77777777" w:rsidTr="00E87295">
        <w:tc>
          <w:tcPr>
            <w:tcW w:w="1237" w:type="pct"/>
          </w:tcPr>
          <w:p w14:paraId="058859BF" w14:textId="2D91A515" w:rsidR="001A5B54" w:rsidRPr="00E87295" w:rsidRDefault="001A5B54">
            <w:pPr>
              <w:rPr>
                <w:sz w:val="22"/>
                <w:szCs w:val="22"/>
                <w:lang w:val="sr-Latn-RS"/>
              </w:rPr>
            </w:pPr>
            <w:bookmarkStart w:id="11" w:name="_Hlk53478002"/>
          </w:p>
        </w:tc>
        <w:tc>
          <w:tcPr>
            <w:tcW w:w="293" w:type="pct"/>
          </w:tcPr>
          <w:p w14:paraId="5AE7AC82" w14:textId="0198F9D4" w:rsidR="001A5B54" w:rsidRPr="00E87295" w:rsidRDefault="001A5B54" w:rsidP="00E87295">
            <w:pPr>
              <w:jc w:val="both"/>
              <w:rPr>
                <w:sz w:val="22"/>
                <w:szCs w:val="22"/>
                <w:vertAlign w:val="superscript"/>
                <w:lang w:val="sr-Latn-RS"/>
              </w:rPr>
            </w:pPr>
            <w:r w:rsidRPr="00E87295">
              <w:rPr>
                <w:sz w:val="22"/>
                <w:szCs w:val="22"/>
                <w:lang w:val="sr-Latn-RS"/>
              </w:rPr>
              <w:t>N</w:t>
            </w:r>
            <w:r w:rsidR="00FB3DEB" w:rsidRPr="00E87295">
              <w:rPr>
                <w:sz w:val="22"/>
                <w:szCs w:val="22"/>
                <w:vertAlign w:val="superscript"/>
                <w:lang w:val="sr-Latn-RS"/>
              </w:rPr>
              <w:t>a</w:t>
            </w:r>
          </w:p>
        </w:tc>
        <w:tc>
          <w:tcPr>
            <w:tcW w:w="3470" w:type="pct"/>
          </w:tcPr>
          <w:p w14:paraId="04D1D2F1" w14:textId="6EF3B4C6" w:rsidR="001A5B54" w:rsidRPr="00E87295" w:rsidRDefault="001A5B54" w:rsidP="00E87295">
            <w:pPr>
              <w:jc w:val="both"/>
              <w:rPr>
                <w:sz w:val="22"/>
                <w:szCs w:val="22"/>
                <w:lang w:val="sr-Latn-RS"/>
              </w:rPr>
            </w:pPr>
            <w:r w:rsidRPr="00E87295">
              <w:rPr>
                <w:b/>
                <w:sz w:val="22"/>
                <w:szCs w:val="22"/>
                <w:lang w:val="sr-Latn-RS"/>
              </w:rPr>
              <w:t>Srednja prom</w:t>
            </w:r>
            <w:r w:rsidR="00343954" w:rsidRPr="00E87295">
              <w:rPr>
                <w:b/>
                <w:sz w:val="22"/>
                <w:szCs w:val="22"/>
                <w:lang w:val="sr-Latn-RS"/>
              </w:rPr>
              <w:t>j</w:t>
            </w:r>
            <w:r w:rsidRPr="00E87295">
              <w:rPr>
                <w:b/>
                <w:sz w:val="22"/>
                <w:szCs w:val="22"/>
                <w:lang w:val="sr-Latn-RS"/>
              </w:rPr>
              <w:t>ena (SD</w:t>
            </w:r>
            <w:r w:rsidRPr="00E87295">
              <w:rPr>
                <w:b/>
                <w:sz w:val="22"/>
                <w:szCs w:val="22"/>
                <w:vertAlign w:val="superscript"/>
                <w:lang w:val="sr-Latn-RS"/>
              </w:rPr>
              <w:t>b</w:t>
            </w:r>
            <w:r w:rsidRPr="00E87295">
              <w:rPr>
                <w:b/>
                <w:sz w:val="22"/>
                <w:szCs w:val="22"/>
                <w:lang w:val="sr-Latn-RS"/>
              </w:rPr>
              <w:t>) u vr</w:t>
            </w:r>
            <w:r w:rsidR="00343954" w:rsidRPr="00E87295">
              <w:rPr>
                <w:b/>
                <w:sz w:val="22"/>
                <w:szCs w:val="22"/>
                <w:lang w:val="sr-Latn-RS"/>
              </w:rPr>
              <w:t>ij</w:t>
            </w:r>
            <w:r w:rsidRPr="00E87295">
              <w:rPr>
                <w:b/>
                <w:sz w:val="22"/>
                <w:szCs w:val="22"/>
                <w:lang w:val="sr-Latn-RS"/>
              </w:rPr>
              <w:t xml:space="preserve">ednosti skora vdH-S </w:t>
            </w:r>
            <w:r w:rsidR="00FB3DEB" w:rsidRPr="00E87295">
              <w:rPr>
                <w:b/>
                <w:sz w:val="22"/>
                <w:szCs w:val="22"/>
                <w:lang w:val="sr-Latn-RS"/>
              </w:rPr>
              <w:t xml:space="preserve">u </w:t>
            </w:r>
            <w:r w:rsidRPr="00E87295">
              <w:rPr>
                <w:b/>
                <w:sz w:val="22"/>
                <w:szCs w:val="22"/>
                <w:lang w:val="sr-Latn-RS"/>
              </w:rPr>
              <w:t>odnosu na početno stanje</w:t>
            </w:r>
          </w:p>
        </w:tc>
      </w:tr>
      <w:tr w:rsidR="00FB3DEB" w:rsidRPr="00E87295" w14:paraId="0783170C" w14:textId="77777777" w:rsidTr="00E87295">
        <w:tc>
          <w:tcPr>
            <w:tcW w:w="1237" w:type="pct"/>
          </w:tcPr>
          <w:p w14:paraId="2E1A67F0" w14:textId="6C51340E" w:rsidR="00FB3DEB" w:rsidRPr="00E87295" w:rsidRDefault="00FB3DEB" w:rsidP="00E87295">
            <w:pPr>
              <w:jc w:val="both"/>
              <w:rPr>
                <w:sz w:val="22"/>
                <w:szCs w:val="22"/>
                <w:lang w:val="sr-Latn-RS"/>
              </w:rPr>
            </w:pPr>
            <w:r w:rsidRPr="00E87295">
              <w:rPr>
                <w:b/>
                <w:bCs/>
                <w:sz w:val="22"/>
                <w:szCs w:val="22"/>
                <w:lang w:val="sr-Latn-RS"/>
              </w:rPr>
              <w:t>52. ned</w:t>
            </w:r>
            <w:r w:rsidR="00E02144" w:rsidRPr="00E87295">
              <w:rPr>
                <w:b/>
                <w:bCs/>
                <w:sz w:val="22"/>
                <w:szCs w:val="22"/>
                <w:lang w:val="sr-Latn-RS"/>
              </w:rPr>
              <w:t>j</w:t>
            </w:r>
            <w:r w:rsidRPr="00E87295">
              <w:rPr>
                <w:b/>
                <w:bCs/>
                <w:sz w:val="22"/>
                <w:szCs w:val="22"/>
                <w:lang w:val="sr-Latn-RS"/>
              </w:rPr>
              <w:t>elja</w:t>
            </w:r>
          </w:p>
        </w:tc>
        <w:tc>
          <w:tcPr>
            <w:tcW w:w="293" w:type="pct"/>
          </w:tcPr>
          <w:p w14:paraId="46123C40" w14:textId="77777777" w:rsidR="00FB3DEB" w:rsidRPr="00E87295" w:rsidRDefault="00FB3DEB" w:rsidP="00E87295">
            <w:pPr>
              <w:jc w:val="both"/>
              <w:rPr>
                <w:sz w:val="22"/>
                <w:szCs w:val="22"/>
                <w:lang w:val="sr-Latn-RS"/>
              </w:rPr>
            </w:pPr>
          </w:p>
        </w:tc>
        <w:tc>
          <w:tcPr>
            <w:tcW w:w="3470" w:type="pct"/>
          </w:tcPr>
          <w:p w14:paraId="449E49D4" w14:textId="77777777" w:rsidR="00FB3DEB" w:rsidRPr="00E87295" w:rsidRDefault="00FB3DEB" w:rsidP="00E87295">
            <w:pPr>
              <w:jc w:val="both"/>
              <w:rPr>
                <w:sz w:val="22"/>
                <w:szCs w:val="22"/>
                <w:lang w:val="sr-Latn-RS"/>
              </w:rPr>
            </w:pPr>
          </w:p>
        </w:tc>
      </w:tr>
      <w:tr w:rsidR="00FB3DEB" w:rsidRPr="00E87295" w14:paraId="6766C283" w14:textId="77777777" w:rsidTr="00E87295">
        <w:tc>
          <w:tcPr>
            <w:tcW w:w="1237" w:type="pct"/>
          </w:tcPr>
          <w:p w14:paraId="1B7A977E" w14:textId="4224AB7D" w:rsidR="00FB3DEB" w:rsidRPr="00E87295" w:rsidRDefault="00FB3DEB" w:rsidP="00E87295">
            <w:pPr>
              <w:jc w:val="both"/>
              <w:rPr>
                <w:sz w:val="22"/>
                <w:szCs w:val="22"/>
                <w:lang w:val="sr-Latn-RS"/>
              </w:rPr>
            </w:pPr>
            <w:r w:rsidRPr="00E87295">
              <w:rPr>
                <w:sz w:val="22"/>
                <w:szCs w:val="22"/>
                <w:lang w:val="sr-Latn-RS"/>
              </w:rPr>
              <w:t>guselkumab 100 mg na 8 nedjelja</w:t>
            </w:r>
          </w:p>
        </w:tc>
        <w:tc>
          <w:tcPr>
            <w:tcW w:w="293" w:type="pct"/>
          </w:tcPr>
          <w:p w14:paraId="49126E01" w14:textId="77777777" w:rsidR="00FB3DEB" w:rsidRPr="00E87295" w:rsidRDefault="00FB3DEB" w:rsidP="00E87295">
            <w:pPr>
              <w:jc w:val="both"/>
              <w:rPr>
                <w:sz w:val="22"/>
                <w:szCs w:val="22"/>
                <w:lang w:val="sr-Latn-RS"/>
              </w:rPr>
            </w:pPr>
            <w:r w:rsidRPr="00E87295">
              <w:rPr>
                <w:sz w:val="22"/>
                <w:szCs w:val="22"/>
                <w:lang w:val="sr-Latn-RS"/>
              </w:rPr>
              <w:t>235</w:t>
            </w:r>
          </w:p>
        </w:tc>
        <w:tc>
          <w:tcPr>
            <w:tcW w:w="3470" w:type="pct"/>
          </w:tcPr>
          <w:p w14:paraId="6312E84D" w14:textId="77777777" w:rsidR="00FB3DEB" w:rsidRPr="00E87295" w:rsidRDefault="00FB3DEB" w:rsidP="00E87295">
            <w:pPr>
              <w:jc w:val="both"/>
              <w:rPr>
                <w:sz w:val="22"/>
                <w:szCs w:val="22"/>
                <w:lang w:val="sr-Latn-RS"/>
              </w:rPr>
            </w:pPr>
            <w:r w:rsidRPr="00E87295">
              <w:rPr>
                <w:sz w:val="22"/>
                <w:szCs w:val="22"/>
                <w:lang w:val="sr-Latn-RS"/>
              </w:rPr>
              <w:t>0,97 (3,623)</w:t>
            </w:r>
          </w:p>
        </w:tc>
      </w:tr>
      <w:tr w:rsidR="00FB3DEB" w:rsidRPr="00E87295" w14:paraId="14A62C52" w14:textId="77777777" w:rsidTr="00E87295">
        <w:tc>
          <w:tcPr>
            <w:tcW w:w="1237" w:type="pct"/>
          </w:tcPr>
          <w:p w14:paraId="6C41150C" w14:textId="13D3B035" w:rsidR="00FB3DEB" w:rsidRPr="00E87295" w:rsidRDefault="00FB3DEB" w:rsidP="00E87295">
            <w:pPr>
              <w:jc w:val="both"/>
              <w:rPr>
                <w:sz w:val="22"/>
                <w:szCs w:val="22"/>
                <w:lang w:val="sr-Latn-RS"/>
              </w:rPr>
            </w:pPr>
            <w:r w:rsidRPr="00E87295">
              <w:rPr>
                <w:sz w:val="22"/>
                <w:szCs w:val="22"/>
                <w:lang w:val="sr-Latn-RS"/>
              </w:rPr>
              <w:t>guselkumab 100 mg na 4 nedjelje</w:t>
            </w:r>
          </w:p>
        </w:tc>
        <w:tc>
          <w:tcPr>
            <w:tcW w:w="293" w:type="pct"/>
          </w:tcPr>
          <w:p w14:paraId="17D1580F" w14:textId="77777777" w:rsidR="00FB3DEB" w:rsidRPr="00E87295" w:rsidRDefault="00FB3DEB" w:rsidP="00E87295">
            <w:pPr>
              <w:jc w:val="both"/>
              <w:rPr>
                <w:sz w:val="22"/>
                <w:szCs w:val="22"/>
                <w:lang w:val="sr-Latn-RS"/>
              </w:rPr>
            </w:pPr>
            <w:r w:rsidRPr="00E87295">
              <w:rPr>
                <w:sz w:val="22"/>
                <w:szCs w:val="22"/>
                <w:lang w:val="sr-Latn-RS"/>
              </w:rPr>
              <w:t>229</w:t>
            </w:r>
          </w:p>
        </w:tc>
        <w:tc>
          <w:tcPr>
            <w:tcW w:w="3470" w:type="pct"/>
          </w:tcPr>
          <w:p w14:paraId="552C041A" w14:textId="77777777" w:rsidR="00FB3DEB" w:rsidRPr="00E87295" w:rsidRDefault="00FB3DEB" w:rsidP="00E87295">
            <w:pPr>
              <w:jc w:val="both"/>
              <w:rPr>
                <w:sz w:val="22"/>
                <w:szCs w:val="22"/>
                <w:lang w:val="sr-Latn-RS"/>
              </w:rPr>
            </w:pPr>
            <w:r w:rsidRPr="00E87295">
              <w:rPr>
                <w:sz w:val="22"/>
                <w:szCs w:val="22"/>
                <w:lang w:val="sr-Latn-RS"/>
              </w:rPr>
              <w:t>1,07 (3,843)</w:t>
            </w:r>
          </w:p>
        </w:tc>
      </w:tr>
      <w:tr w:rsidR="00FB3DEB" w:rsidRPr="00E87295" w14:paraId="09FC9428" w14:textId="77777777" w:rsidTr="00E87295">
        <w:tc>
          <w:tcPr>
            <w:tcW w:w="1237" w:type="pct"/>
          </w:tcPr>
          <w:p w14:paraId="12EDC3E6" w14:textId="438C568B" w:rsidR="00FB3DEB" w:rsidRPr="00E87295" w:rsidRDefault="00FB3DEB" w:rsidP="00E87295">
            <w:pPr>
              <w:jc w:val="both"/>
              <w:rPr>
                <w:sz w:val="22"/>
                <w:szCs w:val="22"/>
                <w:lang w:val="sr-Latn-RS"/>
              </w:rPr>
            </w:pPr>
            <w:r w:rsidRPr="00E87295">
              <w:rPr>
                <w:b/>
                <w:bCs/>
                <w:sz w:val="22"/>
                <w:szCs w:val="22"/>
                <w:lang w:val="sr-Latn-RS"/>
              </w:rPr>
              <w:t>100. ned</w:t>
            </w:r>
            <w:r w:rsidR="00E02144" w:rsidRPr="00E87295">
              <w:rPr>
                <w:b/>
                <w:bCs/>
                <w:sz w:val="22"/>
                <w:szCs w:val="22"/>
                <w:lang w:val="sr-Latn-RS"/>
              </w:rPr>
              <w:t>j</w:t>
            </w:r>
            <w:r w:rsidRPr="00E87295">
              <w:rPr>
                <w:b/>
                <w:bCs/>
                <w:sz w:val="22"/>
                <w:szCs w:val="22"/>
                <w:lang w:val="sr-Latn-RS"/>
              </w:rPr>
              <w:t>elja</w:t>
            </w:r>
          </w:p>
        </w:tc>
        <w:tc>
          <w:tcPr>
            <w:tcW w:w="293" w:type="pct"/>
          </w:tcPr>
          <w:p w14:paraId="4680FD3C" w14:textId="77777777" w:rsidR="00FB3DEB" w:rsidRPr="00E87295" w:rsidRDefault="00FB3DEB" w:rsidP="00E87295">
            <w:pPr>
              <w:jc w:val="both"/>
              <w:rPr>
                <w:sz w:val="22"/>
                <w:szCs w:val="22"/>
                <w:lang w:val="sr-Latn-RS"/>
              </w:rPr>
            </w:pPr>
          </w:p>
        </w:tc>
        <w:tc>
          <w:tcPr>
            <w:tcW w:w="3470" w:type="pct"/>
          </w:tcPr>
          <w:p w14:paraId="5D7FC6DA" w14:textId="77777777" w:rsidR="00FB3DEB" w:rsidRPr="00E87295" w:rsidRDefault="00FB3DEB" w:rsidP="00E87295">
            <w:pPr>
              <w:jc w:val="both"/>
              <w:rPr>
                <w:sz w:val="22"/>
                <w:szCs w:val="22"/>
                <w:lang w:val="sr-Latn-RS"/>
              </w:rPr>
            </w:pPr>
          </w:p>
        </w:tc>
      </w:tr>
      <w:tr w:rsidR="00FB3DEB" w:rsidRPr="00E87295" w14:paraId="75F52925" w14:textId="77777777" w:rsidTr="00E87295">
        <w:tc>
          <w:tcPr>
            <w:tcW w:w="1237" w:type="pct"/>
          </w:tcPr>
          <w:p w14:paraId="2ABDEAF3" w14:textId="0D779B61" w:rsidR="00FB3DEB" w:rsidRPr="00E87295" w:rsidRDefault="00FB3DEB" w:rsidP="00E87295">
            <w:pPr>
              <w:jc w:val="both"/>
              <w:rPr>
                <w:b/>
                <w:bCs/>
                <w:sz w:val="22"/>
                <w:szCs w:val="22"/>
                <w:lang w:val="sr-Latn-RS"/>
              </w:rPr>
            </w:pPr>
            <w:r w:rsidRPr="00E87295">
              <w:rPr>
                <w:sz w:val="22"/>
                <w:szCs w:val="22"/>
                <w:lang w:val="sr-Latn-RS"/>
              </w:rPr>
              <w:t>guselkumab 100 mg na 8 nedelja</w:t>
            </w:r>
          </w:p>
        </w:tc>
        <w:tc>
          <w:tcPr>
            <w:tcW w:w="293" w:type="pct"/>
          </w:tcPr>
          <w:p w14:paraId="52EB485D" w14:textId="52C98FA5" w:rsidR="00FB3DEB" w:rsidRPr="00E87295" w:rsidRDefault="00FB3DEB" w:rsidP="00E87295">
            <w:pPr>
              <w:jc w:val="both"/>
              <w:rPr>
                <w:sz w:val="22"/>
                <w:szCs w:val="22"/>
                <w:lang w:val="sr-Latn-RS"/>
              </w:rPr>
            </w:pPr>
            <w:r w:rsidRPr="00E87295">
              <w:rPr>
                <w:sz w:val="22"/>
                <w:szCs w:val="22"/>
              </w:rPr>
              <w:t>216</w:t>
            </w:r>
          </w:p>
        </w:tc>
        <w:tc>
          <w:tcPr>
            <w:tcW w:w="3470" w:type="pct"/>
          </w:tcPr>
          <w:p w14:paraId="2743FAB1" w14:textId="199890F9" w:rsidR="00FB3DEB" w:rsidRPr="00E87295" w:rsidRDefault="00FB3DEB" w:rsidP="00E87295">
            <w:pPr>
              <w:jc w:val="both"/>
              <w:rPr>
                <w:sz w:val="22"/>
                <w:szCs w:val="22"/>
                <w:lang w:val="sr-Latn-RS"/>
              </w:rPr>
            </w:pPr>
            <w:r w:rsidRPr="00E87295">
              <w:rPr>
                <w:sz w:val="22"/>
                <w:szCs w:val="22"/>
                <w:lang w:val="en-CA"/>
              </w:rPr>
              <w:t>1,50 (4,393)</w:t>
            </w:r>
          </w:p>
        </w:tc>
      </w:tr>
      <w:tr w:rsidR="00FB3DEB" w:rsidRPr="00E87295" w14:paraId="7D236AB6" w14:textId="77777777" w:rsidTr="00E87295">
        <w:tc>
          <w:tcPr>
            <w:tcW w:w="1237" w:type="pct"/>
          </w:tcPr>
          <w:p w14:paraId="33C6A3AF" w14:textId="22D182C4" w:rsidR="00FB3DEB" w:rsidRPr="00E87295" w:rsidRDefault="00FB3DEB" w:rsidP="00E87295">
            <w:pPr>
              <w:jc w:val="both"/>
              <w:rPr>
                <w:b/>
                <w:bCs/>
                <w:sz w:val="22"/>
                <w:szCs w:val="22"/>
                <w:lang w:val="sr-Latn-RS"/>
              </w:rPr>
            </w:pPr>
            <w:r w:rsidRPr="00E87295">
              <w:rPr>
                <w:sz w:val="22"/>
                <w:szCs w:val="22"/>
                <w:lang w:val="sr-Latn-RS"/>
              </w:rPr>
              <w:t>guselkumab 100 mg na 4 nedelje</w:t>
            </w:r>
          </w:p>
        </w:tc>
        <w:tc>
          <w:tcPr>
            <w:tcW w:w="293" w:type="pct"/>
          </w:tcPr>
          <w:p w14:paraId="6682356E" w14:textId="0CFE66BE" w:rsidR="00FB3DEB" w:rsidRPr="00E87295" w:rsidRDefault="00FB3DEB" w:rsidP="00E87295">
            <w:pPr>
              <w:jc w:val="both"/>
              <w:rPr>
                <w:sz w:val="22"/>
                <w:szCs w:val="22"/>
                <w:lang w:val="sr-Latn-RS"/>
              </w:rPr>
            </w:pPr>
            <w:r w:rsidRPr="00E87295">
              <w:rPr>
                <w:sz w:val="22"/>
                <w:szCs w:val="22"/>
              </w:rPr>
              <w:t>211</w:t>
            </w:r>
          </w:p>
        </w:tc>
        <w:tc>
          <w:tcPr>
            <w:tcW w:w="3470" w:type="pct"/>
          </w:tcPr>
          <w:p w14:paraId="2C48BA64" w14:textId="16B8490A" w:rsidR="00FB3DEB" w:rsidRPr="00E87295" w:rsidRDefault="00FB3DEB" w:rsidP="00E87295">
            <w:pPr>
              <w:jc w:val="both"/>
              <w:rPr>
                <w:sz w:val="22"/>
                <w:szCs w:val="22"/>
                <w:lang w:val="sr-Latn-RS"/>
              </w:rPr>
            </w:pPr>
            <w:r w:rsidRPr="00E87295">
              <w:rPr>
                <w:sz w:val="22"/>
                <w:szCs w:val="22"/>
                <w:lang w:val="en-CA"/>
              </w:rPr>
              <w:t>1,68 (7,018)</w:t>
            </w:r>
          </w:p>
        </w:tc>
      </w:tr>
    </w:tbl>
    <w:bookmarkEnd w:id="11"/>
    <w:p w14:paraId="0C82AAAD" w14:textId="2D23B9AD" w:rsidR="006E31CC" w:rsidRPr="00E87295" w:rsidRDefault="006E31CC" w:rsidP="006E31CC">
      <w:pPr>
        <w:widowControl w:val="0"/>
        <w:ind w:left="284" w:hanging="284"/>
        <w:jc w:val="both"/>
        <w:rPr>
          <w:sz w:val="22"/>
          <w:szCs w:val="22"/>
          <w:lang w:val="sr-Latn-RS"/>
        </w:rPr>
      </w:pPr>
      <w:r w:rsidRPr="00E87295">
        <w:rPr>
          <w:sz w:val="22"/>
          <w:szCs w:val="22"/>
          <w:vertAlign w:val="superscript"/>
          <w:lang w:val="sr-Latn-RS"/>
        </w:rPr>
        <w:t>a</w:t>
      </w:r>
      <w:r w:rsidRPr="00E87295">
        <w:rPr>
          <w:sz w:val="22"/>
          <w:szCs w:val="22"/>
          <w:lang w:val="sr-Latn-RS"/>
        </w:rPr>
        <w:tab/>
      </w:r>
      <w:r w:rsidR="002E7A2B" w:rsidRPr="00E87295">
        <w:rPr>
          <w:sz w:val="22"/>
          <w:szCs w:val="22"/>
          <w:lang w:val="sr-Latn-RS"/>
        </w:rPr>
        <w:t xml:space="preserve">Ispitanici pogodni za </w:t>
      </w:r>
      <w:r w:rsidR="00E07B37" w:rsidRPr="00E87295">
        <w:rPr>
          <w:sz w:val="22"/>
          <w:szCs w:val="22"/>
          <w:lang w:val="sr-Latn-RS"/>
        </w:rPr>
        <w:t>pr</w:t>
      </w:r>
      <w:r w:rsidR="00EB373C" w:rsidRPr="00E87295">
        <w:rPr>
          <w:sz w:val="22"/>
          <w:szCs w:val="22"/>
          <w:lang w:val="sr-Latn-RS"/>
        </w:rPr>
        <w:t>ocjenu imali su za</w:t>
      </w:r>
      <w:r w:rsidR="002E7A2B" w:rsidRPr="00E87295">
        <w:rPr>
          <w:sz w:val="22"/>
          <w:szCs w:val="22"/>
          <w:lang w:val="sr-Latn-RS"/>
        </w:rPr>
        <w:t>paženu promjenu u</w:t>
      </w:r>
      <w:r w:rsidR="00EB373C" w:rsidRPr="00E87295">
        <w:rPr>
          <w:sz w:val="22"/>
          <w:szCs w:val="22"/>
          <w:lang w:val="sr-Latn-RS"/>
        </w:rPr>
        <w:t xml:space="preserve"> posmatranom periodu</w:t>
      </w:r>
      <w:r w:rsidR="002E7A2B" w:rsidRPr="00E87295">
        <w:rPr>
          <w:sz w:val="22"/>
          <w:szCs w:val="22"/>
          <w:lang w:val="sr-Latn-RS"/>
        </w:rPr>
        <w:t>)</w:t>
      </w:r>
    </w:p>
    <w:p w14:paraId="0BDA70B7" w14:textId="77777777" w:rsidR="006E31CC" w:rsidRPr="00E87295" w:rsidRDefault="006E31CC" w:rsidP="006E31CC">
      <w:pPr>
        <w:widowControl w:val="0"/>
        <w:ind w:left="284" w:hanging="284"/>
        <w:jc w:val="both"/>
        <w:rPr>
          <w:sz w:val="22"/>
          <w:szCs w:val="22"/>
          <w:lang w:val="sr-Latn-RS"/>
        </w:rPr>
      </w:pPr>
      <w:r w:rsidRPr="00E87295">
        <w:rPr>
          <w:sz w:val="22"/>
          <w:szCs w:val="22"/>
          <w:vertAlign w:val="superscript"/>
          <w:lang w:val="sr-Latn-RS"/>
        </w:rPr>
        <w:t>b</w:t>
      </w:r>
      <w:r w:rsidRPr="00E87295">
        <w:rPr>
          <w:sz w:val="22"/>
          <w:szCs w:val="22"/>
          <w:lang w:val="sr-Latn-RS"/>
        </w:rPr>
        <w:tab/>
        <w:t>SD = standardna devijacija</w:t>
      </w:r>
    </w:p>
    <w:p w14:paraId="205ABD4A" w14:textId="19A009F2" w:rsidR="001A5B54" w:rsidRPr="00E87295" w:rsidRDefault="006E31CC" w:rsidP="00E87295">
      <w:pPr>
        <w:jc w:val="both"/>
        <w:rPr>
          <w:sz w:val="22"/>
          <w:szCs w:val="22"/>
          <w:lang w:val="sr-Latn-RS"/>
        </w:rPr>
      </w:pPr>
      <w:r w:rsidRPr="00E87295">
        <w:rPr>
          <w:sz w:val="22"/>
          <w:szCs w:val="22"/>
          <w:lang w:val="sr-Latn-RS"/>
        </w:rPr>
        <w:t>Napomena: posl</w:t>
      </w:r>
      <w:r w:rsidR="002E7A2B" w:rsidRPr="00E87295">
        <w:rPr>
          <w:sz w:val="22"/>
          <w:szCs w:val="22"/>
          <w:lang w:val="sr-Latn-RS"/>
        </w:rPr>
        <w:t>ij</w:t>
      </w:r>
      <w:r w:rsidRPr="00E87295">
        <w:rPr>
          <w:sz w:val="22"/>
          <w:szCs w:val="22"/>
          <w:lang w:val="sr-Latn-RS"/>
        </w:rPr>
        <w:t>e 24. nedjelje nijedna grupa nije primala placebo</w:t>
      </w:r>
    </w:p>
    <w:p w14:paraId="03A61BE8" w14:textId="77777777" w:rsidR="002E7A2B" w:rsidRPr="00E87295" w:rsidRDefault="002E7A2B" w:rsidP="00E87295">
      <w:pPr>
        <w:jc w:val="both"/>
        <w:rPr>
          <w:sz w:val="22"/>
          <w:szCs w:val="22"/>
          <w:lang w:val="sr-Latn-RS"/>
        </w:rPr>
      </w:pPr>
    </w:p>
    <w:p w14:paraId="541C8C02" w14:textId="77777777" w:rsidR="001A5B54" w:rsidRPr="00E87295" w:rsidRDefault="001A5B54" w:rsidP="00E87295">
      <w:pPr>
        <w:keepNext/>
        <w:jc w:val="both"/>
        <w:rPr>
          <w:i/>
          <w:sz w:val="22"/>
          <w:szCs w:val="22"/>
          <w:u w:val="single"/>
          <w:lang w:val="sr-Latn-RS"/>
        </w:rPr>
      </w:pPr>
      <w:r w:rsidRPr="00E87295">
        <w:rPr>
          <w:i/>
          <w:sz w:val="22"/>
          <w:szCs w:val="22"/>
          <w:u w:val="single"/>
          <w:lang w:val="sr-Latn-RS"/>
        </w:rPr>
        <w:t>Fizička funkcija i kvalitet života povezan sa zdravljem</w:t>
      </w:r>
    </w:p>
    <w:p w14:paraId="6634178B" w14:textId="72D7ED4D" w:rsidR="001A5B54" w:rsidRPr="00E87295" w:rsidRDefault="001A5B54" w:rsidP="00E87295">
      <w:pPr>
        <w:jc w:val="both"/>
        <w:rPr>
          <w:sz w:val="22"/>
          <w:szCs w:val="22"/>
          <w:lang w:val="sr-Latn-RS"/>
        </w:rPr>
      </w:pPr>
      <w:r w:rsidRPr="00E87295">
        <w:rPr>
          <w:sz w:val="22"/>
          <w:szCs w:val="22"/>
          <w:lang w:val="sr-Latn-RS"/>
        </w:rPr>
        <w:t>U studijama DISCOVER 1 i 2, pacijenti koji su primali guselkumab pokazali su značajno poboljšanje (p &lt; 0,001) u fizičkom funkcionisanju u poređenju sa placebom, proc</w:t>
      </w:r>
      <w:r w:rsidR="002E7A2B" w:rsidRPr="00E87295">
        <w:rPr>
          <w:sz w:val="22"/>
          <w:szCs w:val="22"/>
          <w:lang w:val="sr-Latn-RS"/>
        </w:rPr>
        <w:t>i</w:t>
      </w:r>
      <w:r w:rsidR="00343954" w:rsidRPr="00E87295">
        <w:rPr>
          <w:sz w:val="22"/>
          <w:szCs w:val="22"/>
          <w:lang w:val="sr-Latn-RS"/>
        </w:rPr>
        <w:t>j</w:t>
      </w:r>
      <w:r w:rsidRPr="00E87295">
        <w:rPr>
          <w:sz w:val="22"/>
          <w:szCs w:val="22"/>
          <w:lang w:val="sr-Latn-RS"/>
        </w:rPr>
        <w:t>enjeno Indeksom onesposobljenosti na upitniku o proc</w:t>
      </w:r>
      <w:r w:rsidR="00343954" w:rsidRPr="00E87295">
        <w:rPr>
          <w:sz w:val="22"/>
          <w:szCs w:val="22"/>
          <w:lang w:val="sr-Latn-RS"/>
        </w:rPr>
        <w:t>j</w:t>
      </w:r>
      <w:r w:rsidRPr="00E87295">
        <w:rPr>
          <w:sz w:val="22"/>
          <w:szCs w:val="22"/>
          <w:lang w:val="sr-Latn-RS"/>
        </w:rPr>
        <w:t xml:space="preserve">eni zdravlja  (engl. </w:t>
      </w:r>
      <w:r w:rsidRPr="00E87295">
        <w:rPr>
          <w:i/>
          <w:iCs/>
          <w:sz w:val="22"/>
          <w:szCs w:val="22"/>
          <w:lang w:val="sr-Latn-RS"/>
        </w:rPr>
        <w:t>Health Assessment Questionnaire-Disability Index - HAQ-DI</w:t>
      </w:r>
      <w:r w:rsidRPr="00E87295">
        <w:rPr>
          <w:sz w:val="22"/>
          <w:szCs w:val="22"/>
          <w:lang w:val="sr-Latn-RS"/>
        </w:rPr>
        <w:t>)  24. ned</w:t>
      </w:r>
      <w:r w:rsidR="00343954" w:rsidRPr="00E87295">
        <w:rPr>
          <w:sz w:val="22"/>
          <w:szCs w:val="22"/>
          <w:lang w:val="sr-Latn-RS"/>
        </w:rPr>
        <w:t>j</w:t>
      </w:r>
      <w:r w:rsidRPr="00E87295">
        <w:rPr>
          <w:sz w:val="22"/>
          <w:szCs w:val="22"/>
          <w:lang w:val="sr-Latn-RS"/>
        </w:rPr>
        <w:t xml:space="preserve">elje. </w:t>
      </w:r>
      <w:r w:rsidR="007671AA" w:rsidRPr="00E87295">
        <w:rPr>
          <w:sz w:val="22"/>
          <w:szCs w:val="22"/>
          <w:lang w:val="sr-Latn-RS"/>
        </w:rPr>
        <w:t xml:space="preserve">Poboljšanja HAQ DI rezultata održala su se od 24. do 52. </w:t>
      </w:r>
      <w:r w:rsidR="00FB3DEB" w:rsidRPr="00E87295">
        <w:rPr>
          <w:sz w:val="22"/>
          <w:szCs w:val="22"/>
          <w:lang w:val="sr-Latn-RS"/>
        </w:rPr>
        <w:t>ned</w:t>
      </w:r>
      <w:r w:rsidR="00E02144" w:rsidRPr="00E87295">
        <w:rPr>
          <w:sz w:val="22"/>
          <w:szCs w:val="22"/>
          <w:lang w:val="sr-Latn-RS"/>
        </w:rPr>
        <w:t>j</w:t>
      </w:r>
      <w:r w:rsidR="00FB3DEB" w:rsidRPr="00E87295">
        <w:rPr>
          <w:sz w:val="22"/>
          <w:szCs w:val="22"/>
          <w:lang w:val="sr-Latn-RS"/>
        </w:rPr>
        <w:t>elje u ispitivanju DISCOVER 1 i do 100. ned</w:t>
      </w:r>
      <w:r w:rsidR="00E02144" w:rsidRPr="00E87295">
        <w:rPr>
          <w:sz w:val="22"/>
          <w:szCs w:val="22"/>
          <w:lang w:val="sr-Latn-RS"/>
        </w:rPr>
        <w:t>j</w:t>
      </w:r>
      <w:r w:rsidR="00FB3DEB" w:rsidRPr="00E87295">
        <w:rPr>
          <w:sz w:val="22"/>
          <w:szCs w:val="22"/>
          <w:lang w:val="sr-Latn-RS"/>
        </w:rPr>
        <w:t>elje u ispitivanju DISCOVER 2.</w:t>
      </w:r>
    </w:p>
    <w:p w14:paraId="77782222" w14:textId="77777777" w:rsidR="001A5B54" w:rsidRPr="00E87295" w:rsidRDefault="001A5B54" w:rsidP="00E87295">
      <w:pPr>
        <w:jc w:val="both"/>
        <w:rPr>
          <w:sz w:val="22"/>
          <w:szCs w:val="22"/>
          <w:lang w:val="sr-Latn-RS"/>
        </w:rPr>
      </w:pPr>
    </w:p>
    <w:p w14:paraId="2E7A7640" w14:textId="51327835" w:rsidR="0006393B" w:rsidRPr="00E87295" w:rsidRDefault="001A5B54">
      <w:pPr>
        <w:ind w:left="20"/>
        <w:jc w:val="both"/>
        <w:rPr>
          <w:rStyle w:val="BodyText7"/>
          <w:sz w:val="22"/>
          <w:szCs w:val="22"/>
        </w:rPr>
      </w:pPr>
      <w:r w:rsidRPr="00E87295">
        <w:rPr>
          <w:sz w:val="22"/>
          <w:szCs w:val="22"/>
          <w:lang w:val="sr-Latn-RS"/>
        </w:rPr>
        <w:t xml:space="preserve">Značajno veće poboljšanje u odnosu na početno stanje u skoru Sažetka fizičke komponente </w:t>
      </w:r>
      <w:r w:rsidR="007671AA" w:rsidRPr="00E87295">
        <w:rPr>
          <w:sz w:val="22"/>
          <w:szCs w:val="22"/>
          <w:lang w:val="sr-Latn-RS"/>
        </w:rPr>
        <w:t xml:space="preserve">(engl. </w:t>
      </w:r>
      <w:r w:rsidR="007671AA" w:rsidRPr="00E87295">
        <w:rPr>
          <w:i/>
          <w:iCs/>
          <w:sz w:val="22"/>
          <w:szCs w:val="22"/>
          <w:lang w:val="sr-Latn-RS"/>
        </w:rPr>
        <w:t>Physical Component Summary</w:t>
      </w:r>
      <w:r w:rsidR="007671AA" w:rsidRPr="00E87295">
        <w:rPr>
          <w:sz w:val="22"/>
          <w:szCs w:val="22"/>
          <w:lang w:val="sr-Latn-RS"/>
        </w:rPr>
        <w:t xml:space="preserve"> - PCS) </w:t>
      </w:r>
      <w:r w:rsidRPr="00E87295">
        <w:rPr>
          <w:sz w:val="22"/>
          <w:szCs w:val="22"/>
          <w:lang w:val="sr-Latn-RS"/>
        </w:rPr>
        <w:t>SF-36 zab</w:t>
      </w:r>
      <w:r w:rsidR="00343954" w:rsidRPr="00E87295">
        <w:rPr>
          <w:sz w:val="22"/>
          <w:szCs w:val="22"/>
          <w:lang w:val="sr-Latn-RS"/>
        </w:rPr>
        <w:t>i</w:t>
      </w:r>
      <w:r w:rsidRPr="00E87295">
        <w:rPr>
          <w:sz w:val="22"/>
          <w:szCs w:val="22"/>
          <w:lang w:val="sr-Latn-RS"/>
        </w:rPr>
        <w:t>l</w:t>
      </w:r>
      <w:r w:rsidR="00343954" w:rsidRPr="00E87295">
        <w:rPr>
          <w:sz w:val="22"/>
          <w:szCs w:val="22"/>
          <w:lang w:val="sr-Latn-RS"/>
        </w:rPr>
        <w:t>j</w:t>
      </w:r>
      <w:r w:rsidRPr="00E87295">
        <w:rPr>
          <w:sz w:val="22"/>
          <w:szCs w:val="22"/>
          <w:lang w:val="sr-Latn-RS"/>
        </w:rPr>
        <w:t>eženo je kod pacijenata koji su primali guselkumab u poređenju sa placebom 24. ned</w:t>
      </w:r>
      <w:r w:rsidR="00343954" w:rsidRPr="00E87295">
        <w:rPr>
          <w:sz w:val="22"/>
          <w:szCs w:val="22"/>
          <w:lang w:val="sr-Latn-RS"/>
        </w:rPr>
        <w:t>j</w:t>
      </w:r>
      <w:r w:rsidRPr="00E87295">
        <w:rPr>
          <w:sz w:val="22"/>
          <w:szCs w:val="22"/>
          <w:lang w:val="sr-Latn-RS"/>
        </w:rPr>
        <w:t>elje u studiji DISCOVER 1 (p &lt; 0,001 za ob</w:t>
      </w:r>
      <w:r w:rsidR="00343954" w:rsidRPr="00E87295">
        <w:rPr>
          <w:sz w:val="22"/>
          <w:szCs w:val="22"/>
          <w:lang w:val="sr-Latn-RS"/>
        </w:rPr>
        <w:t>j</w:t>
      </w:r>
      <w:r w:rsidRPr="00E87295">
        <w:rPr>
          <w:sz w:val="22"/>
          <w:szCs w:val="22"/>
          <w:lang w:val="sr-Latn-RS"/>
        </w:rPr>
        <w:t>e dozne grupe) i DISCOVER 2 (p = 0,006 za grupu koja je l</w:t>
      </w:r>
      <w:r w:rsidR="00343954" w:rsidRPr="00E87295">
        <w:rPr>
          <w:sz w:val="22"/>
          <w:szCs w:val="22"/>
          <w:lang w:val="sr-Latn-RS"/>
        </w:rPr>
        <w:t>ij</w:t>
      </w:r>
      <w:r w:rsidRPr="00E87295">
        <w:rPr>
          <w:sz w:val="22"/>
          <w:szCs w:val="22"/>
          <w:lang w:val="sr-Latn-RS"/>
        </w:rPr>
        <w:t>ek primala na 4 ned</w:t>
      </w:r>
      <w:r w:rsidR="00343954" w:rsidRPr="00E87295">
        <w:rPr>
          <w:sz w:val="22"/>
          <w:szCs w:val="22"/>
          <w:lang w:val="sr-Latn-RS"/>
        </w:rPr>
        <w:t>j</w:t>
      </w:r>
      <w:r w:rsidRPr="00E87295">
        <w:rPr>
          <w:sz w:val="22"/>
          <w:szCs w:val="22"/>
          <w:lang w:val="sr-Latn-RS"/>
        </w:rPr>
        <w:t>elje).</w:t>
      </w:r>
      <w:r w:rsidRPr="00E87295">
        <w:rPr>
          <w:bCs/>
          <w:iCs/>
          <w:sz w:val="22"/>
          <w:szCs w:val="22"/>
          <w:lang w:val="sr-Latn-RS"/>
        </w:rPr>
        <w:t xml:space="preserve"> U odnosu na početno stanje 24. ned</w:t>
      </w:r>
      <w:r w:rsidR="00343954" w:rsidRPr="00E87295">
        <w:rPr>
          <w:bCs/>
          <w:iCs/>
          <w:sz w:val="22"/>
          <w:szCs w:val="22"/>
          <w:lang w:val="sr-Latn-RS"/>
        </w:rPr>
        <w:t>j</w:t>
      </w:r>
      <w:r w:rsidRPr="00E87295">
        <w:rPr>
          <w:bCs/>
          <w:iCs/>
          <w:sz w:val="22"/>
          <w:szCs w:val="22"/>
          <w:lang w:val="sr-Latn-RS"/>
        </w:rPr>
        <w:t>elje zab</w:t>
      </w:r>
      <w:r w:rsidR="00343954" w:rsidRPr="00E87295">
        <w:rPr>
          <w:bCs/>
          <w:iCs/>
          <w:sz w:val="22"/>
          <w:szCs w:val="22"/>
          <w:lang w:val="sr-Latn-RS"/>
        </w:rPr>
        <w:t>i</w:t>
      </w:r>
      <w:r w:rsidRPr="00E87295">
        <w:rPr>
          <w:bCs/>
          <w:iCs/>
          <w:sz w:val="22"/>
          <w:szCs w:val="22"/>
          <w:lang w:val="sr-Latn-RS"/>
        </w:rPr>
        <w:t>l</w:t>
      </w:r>
      <w:r w:rsidR="00343954" w:rsidRPr="00E87295">
        <w:rPr>
          <w:bCs/>
          <w:iCs/>
          <w:sz w:val="22"/>
          <w:szCs w:val="22"/>
          <w:lang w:val="sr-Latn-RS"/>
        </w:rPr>
        <w:t>j</w:t>
      </w:r>
      <w:r w:rsidRPr="00E87295">
        <w:rPr>
          <w:bCs/>
          <w:iCs/>
          <w:sz w:val="22"/>
          <w:szCs w:val="22"/>
          <w:lang w:val="sr-Latn-RS"/>
        </w:rPr>
        <w:t>ežen je veći porast skora na Funkcionalnoj proc</w:t>
      </w:r>
      <w:r w:rsidR="002E7A2B" w:rsidRPr="00E87295">
        <w:rPr>
          <w:bCs/>
          <w:iCs/>
          <w:sz w:val="22"/>
          <w:szCs w:val="22"/>
          <w:lang w:val="sr-Latn-RS"/>
        </w:rPr>
        <w:t>j</w:t>
      </w:r>
      <w:r w:rsidRPr="00E87295">
        <w:rPr>
          <w:bCs/>
          <w:iCs/>
          <w:sz w:val="22"/>
          <w:szCs w:val="22"/>
          <w:lang w:val="sr-Latn-RS"/>
        </w:rPr>
        <w:t xml:space="preserve">eni terapije hroničnih bolesti za parametar zamora </w:t>
      </w:r>
      <w:r w:rsidRPr="00E87295">
        <w:rPr>
          <w:sz w:val="22"/>
          <w:szCs w:val="22"/>
          <w:lang w:val="sr-Latn-RS"/>
        </w:rPr>
        <w:t xml:space="preserve">(engl. </w:t>
      </w:r>
      <w:r w:rsidRPr="00E87295">
        <w:rPr>
          <w:i/>
          <w:iCs/>
          <w:sz w:val="22"/>
          <w:szCs w:val="22"/>
          <w:lang w:val="sr-Latn-RS"/>
        </w:rPr>
        <w:t xml:space="preserve">Functional Assessment of Chronic Illness Therapy-Fatigue - </w:t>
      </w:r>
      <w:r w:rsidRPr="00E87295">
        <w:rPr>
          <w:bCs/>
          <w:i/>
          <w:iCs/>
          <w:sz w:val="22"/>
          <w:szCs w:val="22"/>
          <w:lang w:val="sr-Latn-RS"/>
        </w:rPr>
        <w:t>FACIT-F</w:t>
      </w:r>
      <w:r w:rsidRPr="00E87295">
        <w:rPr>
          <w:sz w:val="22"/>
          <w:szCs w:val="22"/>
          <w:lang w:val="sr-Latn-RS"/>
        </w:rPr>
        <w:t xml:space="preserve">) </w:t>
      </w:r>
      <w:r w:rsidRPr="00E87295">
        <w:rPr>
          <w:bCs/>
          <w:iCs/>
          <w:sz w:val="22"/>
          <w:szCs w:val="22"/>
          <w:lang w:val="sr-Latn-RS"/>
        </w:rPr>
        <w:t>kod pacijenata koji su primali guselkumab u odnosu na placebo u ob</w:t>
      </w:r>
      <w:r w:rsidR="00343954" w:rsidRPr="00E87295">
        <w:rPr>
          <w:bCs/>
          <w:iCs/>
          <w:sz w:val="22"/>
          <w:szCs w:val="22"/>
          <w:lang w:val="sr-Latn-RS"/>
        </w:rPr>
        <w:t>j</w:t>
      </w:r>
      <w:r w:rsidRPr="00E87295">
        <w:rPr>
          <w:bCs/>
          <w:iCs/>
          <w:sz w:val="22"/>
          <w:szCs w:val="22"/>
          <w:lang w:val="sr-Latn-RS"/>
        </w:rPr>
        <w:t xml:space="preserve">e studije. </w:t>
      </w:r>
      <w:r w:rsidRPr="00E87295">
        <w:rPr>
          <w:sz w:val="22"/>
          <w:szCs w:val="22"/>
          <w:lang w:val="sr-Latn-RS"/>
        </w:rPr>
        <w:t>24. ned</w:t>
      </w:r>
      <w:r w:rsidR="00343954" w:rsidRPr="00E87295">
        <w:rPr>
          <w:sz w:val="22"/>
          <w:szCs w:val="22"/>
          <w:lang w:val="sr-Latn-RS"/>
        </w:rPr>
        <w:t>j</w:t>
      </w:r>
      <w:r w:rsidRPr="00E87295">
        <w:rPr>
          <w:sz w:val="22"/>
          <w:szCs w:val="22"/>
          <w:lang w:val="sr-Latn-RS"/>
        </w:rPr>
        <w:t xml:space="preserve">elje u studiji DISCOVER 2 </w:t>
      </w:r>
      <w:r w:rsidRPr="00E87295">
        <w:rPr>
          <w:bCs/>
          <w:iCs/>
          <w:sz w:val="22"/>
          <w:szCs w:val="22"/>
          <w:lang w:val="sr-Latn-RS"/>
        </w:rPr>
        <w:t>zab</w:t>
      </w:r>
      <w:r w:rsidR="00343954" w:rsidRPr="00E87295">
        <w:rPr>
          <w:bCs/>
          <w:iCs/>
          <w:sz w:val="22"/>
          <w:szCs w:val="22"/>
          <w:lang w:val="sr-Latn-RS"/>
        </w:rPr>
        <w:t>i</w:t>
      </w:r>
      <w:r w:rsidRPr="00E87295">
        <w:rPr>
          <w:bCs/>
          <w:iCs/>
          <w:sz w:val="22"/>
          <w:szCs w:val="22"/>
          <w:lang w:val="sr-Latn-RS"/>
        </w:rPr>
        <w:t>l</w:t>
      </w:r>
      <w:r w:rsidR="00343954" w:rsidRPr="00E87295">
        <w:rPr>
          <w:bCs/>
          <w:iCs/>
          <w:sz w:val="22"/>
          <w:szCs w:val="22"/>
          <w:lang w:val="sr-Latn-RS"/>
        </w:rPr>
        <w:t>j</w:t>
      </w:r>
      <w:r w:rsidRPr="00E87295">
        <w:rPr>
          <w:bCs/>
          <w:iCs/>
          <w:sz w:val="22"/>
          <w:szCs w:val="22"/>
          <w:lang w:val="sr-Latn-RS"/>
        </w:rPr>
        <w:t>eženo je veće poboljšanje u kvalitetu života povezanim sa zdravljem m</w:t>
      </w:r>
      <w:r w:rsidR="00343954" w:rsidRPr="00E87295">
        <w:rPr>
          <w:bCs/>
          <w:iCs/>
          <w:sz w:val="22"/>
          <w:szCs w:val="22"/>
          <w:lang w:val="sr-Latn-RS"/>
        </w:rPr>
        <w:t>j</w:t>
      </w:r>
      <w:r w:rsidRPr="00E87295">
        <w:rPr>
          <w:bCs/>
          <w:iCs/>
          <w:sz w:val="22"/>
          <w:szCs w:val="22"/>
          <w:lang w:val="sr-Latn-RS"/>
        </w:rPr>
        <w:t>ereno Dermatološkim indeksom kvaliteta života</w:t>
      </w:r>
      <w:r w:rsidRPr="00E87295">
        <w:rPr>
          <w:sz w:val="22"/>
          <w:szCs w:val="22"/>
          <w:lang w:val="sr-Latn-RS"/>
        </w:rPr>
        <w:t xml:space="preserve"> (DLQI) </w:t>
      </w:r>
      <w:r w:rsidRPr="00E87295">
        <w:rPr>
          <w:bCs/>
          <w:iCs/>
          <w:sz w:val="22"/>
          <w:szCs w:val="22"/>
          <w:lang w:val="sr-Latn-RS"/>
        </w:rPr>
        <w:t>kod pacijenata koji su primali guselkumab u odnosu na placebo</w:t>
      </w:r>
      <w:r w:rsidRPr="00E87295">
        <w:rPr>
          <w:sz w:val="22"/>
          <w:szCs w:val="22"/>
          <w:lang w:val="sr-Latn-RS"/>
        </w:rPr>
        <w:t>.</w:t>
      </w:r>
      <w:r w:rsidR="007671AA" w:rsidRPr="00E87295">
        <w:rPr>
          <w:sz w:val="22"/>
          <w:szCs w:val="22"/>
          <w:lang w:val="sr-Latn-RS"/>
        </w:rPr>
        <w:t xml:space="preserve"> Poboljšanja SF 36 PCS, FACIT F i DLQI rezultata održala su se od 24. do 52. ned</w:t>
      </w:r>
      <w:r w:rsidR="00B94F3E" w:rsidRPr="00E87295">
        <w:rPr>
          <w:sz w:val="22"/>
          <w:szCs w:val="22"/>
          <w:lang w:val="sr-Latn-RS"/>
        </w:rPr>
        <w:t>j</w:t>
      </w:r>
      <w:r w:rsidR="007671AA" w:rsidRPr="00E87295">
        <w:rPr>
          <w:sz w:val="22"/>
          <w:szCs w:val="22"/>
          <w:lang w:val="sr-Latn-RS"/>
        </w:rPr>
        <w:t>elje</w:t>
      </w:r>
      <w:r w:rsidR="00FB3DEB" w:rsidRPr="00E87295">
        <w:rPr>
          <w:sz w:val="22"/>
          <w:szCs w:val="22"/>
          <w:lang w:val="sr-Latn-RS"/>
        </w:rPr>
        <w:t xml:space="preserve"> u ispitivanju DISCOVER 1 i do 100. ned</w:t>
      </w:r>
      <w:r w:rsidR="00E02144" w:rsidRPr="00E87295">
        <w:rPr>
          <w:sz w:val="22"/>
          <w:szCs w:val="22"/>
          <w:lang w:val="sr-Latn-RS"/>
        </w:rPr>
        <w:t>j</w:t>
      </w:r>
      <w:r w:rsidR="00FB3DEB" w:rsidRPr="00E87295">
        <w:rPr>
          <w:sz w:val="22"/>
          <w:szCs w:val="22"/>
          <w:lang w:val="sr-Latn-RS"/>
        </w:rPr>
        <w:t>elje u ispitivanju DISCOVER 2.</w:t>
      </w:r>
      <w:r w:rsidR="007671AA" w:rsidRPr="00E87295">
        <w:rPr>
          <w:sz w:val="22"/>
          <w:szCs w:val="22"/>
          <w:lang w:val="sr-Latn-RS"/>
        </w:rPr>
        <w:t>.</w:t>
      </w:r>
    </w:p>
    <w:p w14:paraId="2B17443A" w14:textId="77777777" w:rsidR="0006393B" w:rsidRPr="00E87295" w:rsidRDefault="0006393B">
      <w:pPr>
        <w:ind w:left="20"/>
        <w:jc w:val="both"/>
        <w:rPr>
          <w:rStyle w:val="BodyText7"/>
          <w:sz w:val="22"/>
          <w:szCs w:val="22"/>
        </w:rPr>
      </w:pPr>
    </w:p>
    <w:p w14:paraId="36A129C8" w14:textId="77777777" w:rsidR="007677A5" w:rsidRPr="00E87295" w:rsidRDefault="007677A5">
      <w:pPr>
        <w:ind w:left="20"/>
        <w:jc w:val="both"/>
        <w:rPr>
          <w:sz w:val="22"/>
          <w:szCs w:val="22"/>
        </w:rPr>
      </w:pPr>
      <w:r w:rsidRPr="00E87295">
        <w:rPr>
          <w:rStyle w:val="BodyText7"/>
          <w:sz w:val="22"/>
          <w:szCs w:val="22"/>
          <w:lang w:val="sr-Latn-RS"/>
        </w:rPr>
        <w:t>Pedijatrijska populacija</w:t>
      </w:r>
    </w:p>
    <w:p w14:paraId="5FCCA6C9" w14:textId="45E56809" w:rsidR="007677A5" w:rsidRPr="00E87295" w:rsidRDefault="007677A5">
      <w:pPr>
        <w:pStyle w:val="Header"/>
        <w:tabs>
          <w:tab w:val="left" w:pos="284"/>
        </w:tabs>
        <w:jc w:val="both"/>
        <w:rPr>
          <w:sz w:val="22"/>
          <w:szCs w:val="22"/>
          <w:lang w:val="sr-Latn-RS"/>
        </w:rPr>
      </w:pPr>
      <w:r w:rsidRPr="00E87295">
        <w:rPr>
          <w:sz w:val="22"/>
          <w:szCs w:val="22"/>
          <w:lang w:val="sr-Latn-RS"/>
        </w:rPr>
        <w:t xml:space="preserve">Evropska agencija za ljekove </w:t>
      </w:r>
      <w:r w:rsidR="002E7A2B" w:rsidRPr="00E87295">
        <w:rPr>
          <w:sz w:val="22"/>
          <w:szCs w:val="22"/>
          <w:lang w:val="sr-Latn-RS"/>
        </w:rPr>
        <w:t>odložila</w:t>
      </w:r>
      <w:r w:rsidRPr="00E87295">
        <w:rPr>
          <w:sz w:val="22"/>
          <w:szCs w:val="22"/>
          <w:lang w:val="sr-Latn-RS"/>
        </w:rPr>
        <w:t xml:space="preserve"> je obavezu podnošenja rezultata ispitivanja </w:t>
      </w:r>
      <w:r w:rsidR="00345CFA" w:rsidRPr="00E87295">
        <w:rPr>
          <w:sz w:val="22"/>
          <w:szCs w:val="22"/>
          <w:lang w:val="sr-Latn-RS"/>
        </w:rPr>
        <w:t>guselkumaba</w:t>
      </w:r>
      <w:r w:rsidRPr="00E87295">
        <w:rPr>
          <w:sz w:val="22"/>
          <w:szCs w:val="22"/>
          <w:lang w:val="sr-Latn-RS"/>
        </w:rPr>
        <w:t xml:space="preserve"> u jednoj ili više podgrupa pedijatrijske populacije za terapiju </w:t>
      </w:r>
      <w:r w:rsidR="000102B6" w:rsidRPr="00E87295">
        <w:rPr>
          <w:sz w:val="22"/>
          <w:szCs w:val="22"/>
          <w:lang w:val="sr-Latn-RS"/>
        </w:rPr>
        <w:t xml:space="preserve">plak </w:t>
      </w:r>
      <w:r w:rsidRPr="00E87295">
        <w:rPr>
          <w:sz w:val="22"/>
          <w:szCs w:val="22"/>
          <w:lang w:val="sr-Latn-RS"/>
        </w:rPr>
        <w:t xml:space="preserve">psorijaze </w:t>
      </w:r>
      <w:r w:rsidR="001A5B54" w:rsidRPr="00E87295">
        <w:rPr>
          <w:sz w:val="22"/>
          <w:szCs w:val="22"/>
          <w:lang w:val="sr-Latn-RS"/>
        </w:rPr>
        <w:t xml:space="preserve">i psorijatičnog artritisa </w:t>
      </w:r>
      <w:r w:rsidRPr="00E87295">
        <w:rPr>
          <w:sz w:val="22"/>
          <w:szCs w:val="22"/>
          <w:lang w:val="sr-Latn-RS"/>
        </w:rPr>
        <w:t xml:space="preserve">(vidjeti </w:t>
      </w:r>
      <w:r w:rsidR="006846CF" w:rsidRPr="00E87295">
        <w:rPr>
          <w:sz w:val="22"/>
          <w:szCs w:val="22"/>
          <w:lang w:val="sr-Latn-RS"/>
        </w:rPr>
        <w:t>dio</w:t>
      </w:r>
      <w:r w:rsidRPr="00E87295">
        <w:rPr>
          <w:sz w:val="22"/>
          <w:szCs w:val="22"/>
          <w:lang w:val="sr-Latn-RS"/>
        </w:rPr>
        <w:t xml:space="preserve"> 4.2 za informacije o pedijatrijskoj primjeni).</w:t>
      </w:r>
    </w:p>
    <w:p w14:paraId="492751A6" w14:textId="77777777" w:rsidR="007677A5" w:rsidRPr="00E87295" w:rsidRDefault="007677A5">
      <w:pPr>
        <w:tabs>
          <w:tab w:val="left" w:pos="540"/>
          <w:tab w:val="left" w:pos="569"/>
        </w:tabs>
        <w:jc w:val="both"/>
        <w:rPr>
          <w:b/>
          <w:bCs/>
          <w:sz w:val="22"/>
          <w:szCs w:val="22"/>
        </w:rPr>
      </w:pPr>
    </w:p>
    <w:p w14:paraId="047424FA" w14:textId="77777777" w:rsidR="0072020E" w:rsidRPr="00E87295" w:rsidRDefault="0072020E">
      <w:pPr>
        <w:tabs>
          <w:tab w:val="left" w:pos="540"/>
          <w:tab w:val="left" w:pos="569"/>
        </w:tabs>
        <w:jc w:val="both"/>
        <w:rPr>
          <w:b/>
          <w:bCs/>
          <w:sz w:val="22"/>
          <w:szCs w:val="22"/>
        </w:rPr>
      </w:pPr>
      <w:r w:rsidRPr="00E87295">
        <w:rPr>
          <w:b/>
          <w:bCs/>
          <w:sz w:val="22"/>
          <w:szCs w:val="22"/>
        </w:rPr>
        <w:t xml:space="preserve">5.2. </w:t>
      </w:r>
      <w:r w:rsidR="00480FB1" w:rsidRPr="00E87295">
        <w:rPr>
          <w:b/>
          <w:bCs/>
          <w:sz w:val="22"/>
          <w:szCs w:val="22"/>
        </w:rPr>
        <w:tab/>
      </w:r>
      <w:proofErr w:type="spellStart"/>
      <w:r w:rsidRPr="00E87295">
        <w:rPr>
          <w:b/>
          <w:bCs/>
          <w:sz w:val="22"/>
          <w:szCs w:val="22"/>
        </w:rPr>
        <w:t>Farmakokinetički</w:t>
      </w:r>
      <w:proofErr w:type="spellEnd"/>
      <w:r w:rsidRPr="00E87295">
        <w:rPr>
          <w:b/>
          <w:bCs/>
          <w:sz w:val="22"/>
          <w:szCs w:val="22"/>
        </w:rPr>
        <w:t xml:space="preserve"> </w:t>
      </w:r>
      <w:proofErr w:type="spellStart"/>
      <w:r w:rsidRPr="00E87295">
        <w:rPr>
          <w:b/>
          <w:bCs/>
          <w:sz w:val="22"/>
          <w:szCs w:val="22"/>
        </w:rPr>
        <w:t>podaci</w:t>
      </w:r>
      <w:proofErr w:type="spellEnd"/>
      <w:r w:rsidR="003A7059" w:rsidRPr="00E87295">
        <w:rPr>
          <w:b/>
          <w:bCs/>
          <w:sz w:val="22"/>
          <w:szCs w:val="22"/>
        </w:rPr>
        <w:t xml:space="preserve"> </w:t>
      </w:r>
    </w:p>
    <w:p w14:paraId="76BB2BDC" w14:textId="77777777" w:rsidR="007677A5" w:rsidRPr="00E87295" w:rsidRDefault="007677A5">
      <w:pPr>
        <w:ind w:left="20"/>
        <w:jc w:val="both"/>
        <w:rPr>
          <w:rStyle w:val="BodyText7"/>
          <w:sz w:val="22"/>
          <w:szCs w:val="22"/>
          <w:lang w:val="sr-Latn-RS"/>
        </w:rPr>
      </w:pPr>
    </w:p>
    <w:p w14:paraId="058E9B19" w14:textId="77777777" w:rsidR="007677A5" w:rsidRPr="00E87295" w:rsidRDefault="007677A5">
      <w:pPr>
        <w:ind w:left="20"/>
        <w:jc w:val="both"/>
        <w:rPr>
          <w:rStyle w:val="BodyText7"/>
          <w:sz w:val="22"/>
          <w:szCs w:val="22"/>
          <w:lang w:val="sr-Latn-RS"/>
        </w:rPr>
      </w:pPr>
      <w:r w:rsidRPr="00E87295">
        <w:rPr>
          <w:rStyle w:val="BodyText7"/>
          <w:sz w:val="22"/>
          <w:szCs w:val="22"/>
          <w:lang w:val="sr-Latn-RS"/>
        </w:rPr>
        <w:t>Resorpcija</w:t>
      </w:r>
    </w:p>
    <w:p w14:paraId="4AE0D171" w14:textId="77777777" w:rsidR="00760B54" w:rsidRPr="00E87295" w:rsidRDefault="00760B54">
      <w:pPr>
        <w:ind w:left="20"/>
        <w:jc w:val="both"/>
        <w:rPr>
          <w:sz w:val="22"/>
          <w:szCs w:val="22"/>
          <w:lang w:val="sr-Latn-RS"/>
        </w:rPr>
      </w:pPr>
    </w:p>
    <w:p w14:paraId="2DCFC135" w14:textId="77777777" w:rsidR="007677A5" w:rsidRPr="00E87295" w:rsidRDefault="007677A5">
      <w:pPr>
        <w:spacing w:after="180"/>
        <w:ind w:left="20"/>
        <w:jc w:val="both"/>
        <w:rPr>
          <w:sz w:val="22"/>
          <w:szCs w:val="22"/>
          <w:lang w:val="sr-Latn-RS"/>
        </w:rPr>
      </w:pPr>
      <w:r w:rsidRPr="00E87295">
        <w:rPr>
          <w:sz w:val="22"/>
          <w:szCs w:val="22"/>
          <w:lang w:val="sr-Latn-RS"/>
        </w:rPr>
        <w:t xml:space="preserve">Poslije </w:t>
      </w:r>
      <w:r w:rsidR="000102B6" w:rsidRPr="00E87295">
        <w:rPr>
          <w:sz w:val="22"/>
          <w:szCs w:val="22"/>
          <w:lang w:val="sr-Latn-RS"/>
        </w:rPr>
        <w:t xml:space="preserve">pojedinačne </w:t>
      </w:r>
      <w:r w:rsidRPr="00E87295">
        <w:rPr>
          <w:sz w:val="22"/>
          <w:szCs w:val="22"/>
          <w:lang w:val="sr-Latn-RS"/>
        </w:rPr>
        <w:t>su</w:t>
      </w:r>
      <w:r w:rsidR="000102B6" w:rsidRPr="00E87295">
        <w:rPr>
          <w:sz w:val="22"/>
          <w:szCs w:val="22"/>
          <w:lang w:val="sr-Latn-RS"/>
        </w:rPr>
        <w:t>b</w:t>
      </w:r>
      <w:r w:rsidRPr="00E87295">
        <w:rPr>
          <w:sz w:val="22"/>
          <w:szCs w:val="22"/>
          <w:lang w:val="sr-Latn-RS"/>
        </w:rPr>
        <w:t>kutane injekcije guselkumaba od 100 mg kod zdravih ispitanika, srednja vrijednost (±SD) maksimalnih koncentracija u serumu (C</w:t>
      </w:r>
      <w:r w:rsidRPr="00E87295">
        <w:rPr>
          <w:rStyle w:val="Bodytext5pt"/>
          <w:sz w:val="22"/>
          <w:szCs w:val="22"/>
          <w:vertAlign w:val="subscript"/>
          <w:lang w:val="sr-Latn-RS"/>
        </w:rPr>
        <w:t>max</w:t>
      </w:r>
      <w:r w:rsidRPr="00E87295">
        <w:rPr>
          <w:rStyle w:val="Bodytext5pt"/>
          <w:sz w:val="22"/>
          <w:szCs w:val="22"/>
          <w:lang w:val="sr-Latn-RS"/>
        </w:rPr>
        <w:t>)</w:t>
      </w:r>
      <w:r w:rsidRPr="00E87295">
        <w:rPr>
          <w:sz w:val="22"/>
          <w:szCs w:val="22"/>
          <w:lang w:val="sr-Latn-RS"/>
        </w:rPr>
        <w:t xml:space="preserve"> guselkumaba od 8,09 ± 3,68 mikrograma/ml postignuta je približno 5,5 dana </w:t>
      </w:r>
      <w:r w:rsidR="000102B6" w:rsidRPr="00E87295">
        <w:rPr>
          <w:sz w:val="22"/>
          <w:szCs w:val="22"/>
          <w:lang w:val="sr-Latn-RS"/>
        </w:rPr>
        <w:t xml:space="preserve">nakon </w:t>
      </w:r>
      <w:r w:rsidRPr="00E87295">
        <w:rPr>
          <w:sz w:val="22"/>
          <w:szCs w:val="22"/>
          <w:lang w:val="sr-Latn-RS"/>
        </w:rPr>
        <w:t>primjene doze.</w:t>
      </w:r>
    </w:p>
    <w:p w14:paraId="1633C9FA" w14:textId="38F32A10" w:rsidR="007677A5" w:rsidRPr="00E87295" w:rsidRDefault="000102B6">
      <w:pPr>
        <w:spacing w:after="180"/>
        <w:ind w:left="20"/>
        <w:jc w:val="both"/>
        <w:rPr>
          <w:sz w:val="22"/>
          <w:szCs w:val="22"/>
          <w:lang w:val="sr-Latn-RS"/>
        </w:rPr>
      </w:pPr>
      <w:r w:rsidRPr="00E87295">
        <w:rPr>
          <w:sz w:val="22"/>
          <w:szCs w:val="22"/>
          <w:lang w:val="sr-Latn-RS"/>
        </w:rPr>
        <w:t xml:space="preserve">Nakon </w:t>
      </w:r>
      <w:r w:rsidR="007677A5" w:rsidRPr="00E87295">
        <w:rPr>
          <w:sz w:val="22"/>
          <w:szCs w:val="22"/>
          <w:lang w:val="sr-Latn-RS"/>
        </w:rPr>
        <w:t>su</w:t>
      </w:r>
      <w:r w:rsidRPr="00E87295">
        <w:rPr>
          <w:sz w:val="22"/>
          <w:szCs w:val="22"/>
          <w:lang w:val="sr-Latn-RS"/>
        </w:rPr>
        <w:t>b</w:t>
      </w:r>
      <w:r w:rsidR="007677A5" w:rsidRPr="00E87295">
        <w:rPr>
          <w:sz w:val="22"/>
          <w:szCs w:val="22"/>
          <w:lang w:val="sr-Latn-RS"/>
        </w:rPr>
        <w:t>kutane primjene 100 mg guselkumaba u 0. i 4. ned</w:t>
      </w:r>
      <w:r w:rsidRPr="00E87295">
        <w:rPr>
          <w:sz w:val="22"/>
          <w:szCs w:val="22"/>
          <w:lang w:val="sr-Latn-RS"/>
        </w:rPr>
        <w:t>j</w:t>
      </w:r>
      <w:r w:rsidR="007677A5" w:rsidRPr="00E87295">
        <w:rPr>
          <w:sz w:val="22"/>
          <w:szCs w:val="22"/>
          <w:lang w:val="sr-Latn-RS"/>
        </w:rPr>
        <w:t>elji pa zatim na svakih 8 ned</w:t>
      </w:r>
      <w:r w:rsidRPr="00E87295">
        <w:rPr>
          <w:sz w:val="22"/>
          <w:szCs w:val="22"/>
          <w:lang w:val="sr-Latn-RS"/>
        </w:rPr>
        <w:t>j</w:t>
      </w:r>
      <w:r w:rsidR="007677A5" w:rsidRPr="00E87295">
        <w:rPr>
          <w:sz w:val="22"/>
          <w:szCs w:val="22"/>
          <w:lang w:val="sr-Latn-RS"/>
        </w:rPr>
        <w:t>elja, serumske koncentracije guselkumaba u stanju dinamičke ravnoteže postignute su do 20. ned</w:t>
      </w:r>
      <w:r w:rsidR="004E2EF4" w:rsidRPr="00E87295">
        <w:rPr>
          <w:sz w:val="22"/>
          <w:szCs w:val="22"/>
          <w:lang w:val="sr-Latn-RS"/>
        </w:rPr>
        <w:t>j</w:t>
      </w:r>
      <w:r w:rsidR="007677A5" w:rsidRPr="00E87295">
        <w:rPr>
          <w:sz w:val="22"/>
          <w:szCs w:val="22"/>
          <w:lang w:val="sr-Latn-RS"/>
        </w:rPr>
        <w:t>elje. Srednja vrijednost (± SD) najnižih serumskih koncentracija guselkumaba u stanju dinamičke ravnoteže u dva klinička ispitivanja faze III</w:t>
      </w:r>
      <w:r w:rsidR="001A5B54" w:rsidRPr="00E87295">
        <w:rPr>
          <w:sz w:val="22"/>
          <w:szCs w:val="22"/>
          <w:lang w:val="sr-Latn-RS"/>
        </w:rPr>
        <w:t xml:space="preserve"> kod pacijenata sa psorijazom tipa plaka</w:t>
      </w:r>
      <w:r w:rsidR="007677A5" w:rsidRPr="00E87295">
        <w:rPr>
          <w:sz w:val="22"/>
          <w:szCs w:val="22"/>
          <w:lang w:val="sr-Latn-RS"/>
        </w:rPr>
        <w:t xml:space="preserve"> iznosila je 1,15 ± 0,73 mikrograma/ml odnosno 1,23 ± 0,84 mikrograma/ml.</w:t>
      </w:r>
    </w:p>
    <w:p w14:paraId="447C4669" w14:textId="223A176B" w:rsidR="001A5B54" w:rsidRPr="00E87295" w:rsidRDefault="001A5B54" w:rsidP="00E87295">
      <w:pPr>
        <w:autoSpaceDE w:val="0"/>
        <w:autoSpaceDN w:val="0"/>
        <w:adjustRightInd w:val="0"/>
        <w:jc w:val="both"/>
        <w:rPr>
          <w:sz w:val="22"/>
          <w:szCs w:val="22"/>
          <w:lang w:val="sr-Latn-RS"/>
        </w:rPr>
      </w:pPr>
      <w:r w:rsidRPr="00E87295">
        <w:rPr>
          <w:sz w:val="22"/>
          <w:szCs w:val="22"/>
          <w:lang w:val="sr-Latn-RS"/>
        </w:rPr>
        <w:lastRenderedPageBreak/>
        <w:t>Farmakokinetika guselkumaba kod ispitanika sa psorijatičnim artritisom bila je slična kao kod ispitanika sa psorijazom.  Po supkutanoj prim</w:t>
      </w:r>
      <w:r w:rsidR="00343954" w:rsidRPr="00E87295">
        <w:rPr>
          <w:sz w:val="22"/>
          <w:szCs w:val="22"/>
          <w:lang w:val="sr-Latn-RS"/>
        </w:rPr>
        <w:t>j</w:t>
      </w:r>
      <w:r w:rsidRPr="00E87295">
        <w:rPr>
          <w:sz w:val="22"/>
          <w:szCs w:val="22"/>
          <w:lang w:val="sr-Latn-RS"/>
        </w:rPr>
        <w:t xml:space="preserve">eni 100 mg </w:t>
      </w:r>
      <w:r w:rsidR="00345CFA" w:rsidRPr="00E87295">
        <w:rPr>
          <w:sz w:val="22"/>
          <w:szCs w:val="22"/>
          <w:lang w:val="sr-Latn-RS"/>
        </w:rPr>
        <w:t>guselkumaba</w:t>
      </w:r>
      <w:r w:rsidRPr="00E87295">
        <w:rPr>
          <w:sz w:val="22"/>
          <w:szCs w:val="22"/>
          <w:lang w:val="sr-Latn-RS"/>
        </w:rPr>
        <w:t xml:space="preserve"> nulte (0.), 4. i na svakih 8.  ned</w:t>
      </w:r>
      <w:r w:rsidR="00343954" w:rsidRPr="00E87295">
        <w:rPr>
          <w:sz w:val="22"/>
          <w:szCs w:val="22"/>
          <w:lang w:val="sr-Latn-RS"/>
        </w:rPr>
        <w:t>j</w:t>
      </w:r>
      <w:r w:rsidRPr="00E87295">
        <w:rPr>
          <w:sz w:val="22"/>
          <w:szCs w:val="22"/>
          <w:lang w:val="sr-Latn-RS"/>
        </w:rPr>
        <w:t>elja posl</w:t>
      </w:r>
      <w:r w:rsidR="007B4078" w:rsidRPr="00E87295">
        <w:rPr>
          <w:sz w:val="22"/>
          <w:szCs w:val="22"/>
          <w:lang w:val="sr-Latn-RS"/>
        </w:rPr>
        <w:t>ij</w:t>
      </w:r>
      <w:r w:rsidRPr="00E87295">
        <w:rPr>
          <w:sz w:val="22"/>
          <w:szCs w:val="22"/>
          <w:lang w:val="sr-Latn-RS"/>
        </w:rPr>
        <w:t xml:space="preserve">e toga, u stanju ravnoteže srednja minimalna (pred narednu dozu) </w:t>
      </w:r>
      <w:r w:rsidR="00E07B37" w:rsidRPr="00E87295">
        <w:rPr>
          <w:sz w:val="22"/>
          <w:szCs w:val="22"/>
          <w:lang w:val="sr-Latn-RS"/>
        </w:rPr>
        <w:t xml:space="preserve"> </w:t>
      </w:r>
      <w:r w:rsidRPr="00E87295">
        <w:rPr>
          <w:sz w:val="22"/>
          <w:szCs w:val="22"/>
          <w:lang w:val="sr-Latn-RS"/>
        </w:rPr>
        <w:t>koncentracija guselkumaba bila je takođe približno 1,2 mikrograma/m</w:t>
      </w:r>
      <w:r w:rsidR="007B4078" w:rsidRPr="00E87295">
        <w:rPr>
          <w:sz w:val="22"/>
          <w:szCs w:val="22"/>
          <w:lang w:val="sr-Latn-RS"/>
        </w:rPr>
        <w:t>l</w:t>
      </w:r>
      <w:r w:rsidRPr="00E87295">
        <w:rPr>
          <w:sz w:val="22"/>
          <w:szCs w:val="22"/>
          <w:lang w:val="sr-Latn-RS"/>
        </w:rPr>
        <w:t>. Po supkutanoj prim</w:t>
      </w:r>
      <w:r w:rsidR="00205093" w:rsidRPr="00E87295">
        <w:rPr>
          <w:sz w:val="22"/>
          <w:szCs w:val="22"/>
          <w:lang w:val="sr-Latn-RS"/>
        </w:rPr>
        <w:t>j</w:t>
      </w:r>
      <w:r w:rsidRPr="00E87295">
        <w:rPr>
          <w:sz w:val="22"/>
          <w:szCs w:val="22"/>
          <w:lang w:val="sr-Latn-RS"/>
        </w:rPr>
        <w:t xml:space="preserve">eni 100 mg </w:t>
      </w:r>
      <w:r w:rsidR="00345CFA" w:rsidRPr="00E87295">
        <w:rPr>
          <w:sz w:val="22"/>
          <w:szCs w:val="22"/>
          <w:lang w:val="sr-Latn-RS"/>
        </w:rPr>
        <w:t>guselkumaba</w:t>
      </w:r>
      <w:r w:rsidRPr="00E87295">
        <w:rPr>
          <w:sz w:val="22"/>
          <w:szCs w:val="22"/>
          <w:lang w:val="sr-Latn-RS"/>
        </w:rPr>
        <w:t xml:space="preserve"> na svake 4 ned</w:t>
      </w:r>
      <w:r w:rsidR="00205093" w:rsidRPr="00E87295">
        <w:rPr>
          <w:sz w:val="22"/>
          <w:szCs w:val="22"/>
          <w:lang w:val="sr-Latn-RS"/>
        </w:rPr>
        <w:t>j</w:t>
      </w:r>
      <w:r w:rsidRPr="00E87295">
        <w:rPr>
          <w:sz w:val="22"/>
          <w:szCs w:val="22"/>
          <w:lang w:val="sr-Latn-RS"/>
        </w:rPr>
        <w:t xml:space="preserve">elje u stanju ravnoteže srednja minimalna (pred narednu dozu) koncentracija guselkumaba </w:t>
      </w:r>
      <w:r w:rsidR="007B4078" w:rsidRPr="00E87295">
        <w:rPr>
          <w:sz w:val="22"/>
          <w:szCs w:val="22"/>
          <w:lang w:val="sr-Latn-RS"/>
        </w:rPr>
        <w:t xml:space="preserve">u serumu </w:t>
      </w:r>
      <w:r w:rsidRPr="00E87295">
        <w:rPr>
          <w:sz w:val="22"/>
          <w:szCs w:val="22"/>
          <w:lang w:val="sr-Latn-RS"/>
        </w:rPr>
        <w:t>bila je približno 3,8 mikrograma/m</w:t>
      </w:r>
      <w:r w:rsidR="007B4078" w:rsidRPr="00E87295">
        <w:rPr>
          <w:sz w:val="22"/>
          <w:szCs w:val="22"/>
          <w:lang w:val="sr-Latn-RS"/>
        </w:rPr>
        <w:t>l</w:t>
      </w:r>
      <w:r w:rsidRPr="00E87295">
        <w:rPr>
          <w:sz w:val="22"/>
          <w:szCs w:val="22"/>
          <w:lang w:val="sr-Latn-RS"/>
        </w:rPr>
        <w:t>.</w:t>
      </w:r>
    </w:p>
    <w:p w14:paraId="60BB43BE" w14:textId="77777777" w:rsidR="007B4078" w:rsidRPr="00E87295" w:rsidRDefault="007B4078" w:rsidP="00E87295">
      <w:pPr>
        <w:autoSpaceDE w:val="0"/>
        <w:autoSpaceDN w:val="0"/>
        <w:adjustRightInd w:val="0"/>
        <w:jc w:val="both"/>
        <w:rPr>
          <w:sz w:val="22"/>
          <w:szCs w:val="22"/>
          <w:lang w:val="sr-Latn-RS"/>
        </w:rPr>
      </w:pPr>
    </w:p>
    <w:p w14:paraId="5BD82661" w14:textId="29A12A01" w:rsidR="007677A5" w:rsidRPr="00E87295" w:rsidRDefault="007677A5">
      <w:pPr>
        <w:spacing w:after="180"/>
        <w:ind w:left="20"/>
        <w:jc w:val="both"/>
        <w:rPr>
          <w:sz w:val="22"/>
          <w:szCs w:val="22"/>
          <w:lang w:val="sr-Latn-RS"/>
        </w:rPr>
      </w:pPr>
      <w:r w:rsidRPr="00E87295">
        <w:rPr>
          <w:sz w:val="22"/>
          <w:szCs w:val="22"/>
          <w:lang w:val="sr-Latn-RS"/>
        </w:rPr>
        <w:t>Proc</w:t>
      </w:r>
      <w:r w:rsidR="004E2EF4" w:rsidRPr="00E87295">
        <w:rPr>
          <w:sz w:val="22"/>
          <w:szCs w:val="22"/>
          <w:lang w:val="sr-Latn-RS"/>
        </w:rPr>
        <w:t>i</w:t>
      </w:r>
      <w:r w:rsidRPr="00E87295">
        <w:rPr>
          <w:sz w:val="22"/>
          <w:szCs w:val="22"/>
          <w:lang w:val="sr-Latn-RS"/>
        </w:rPr>
        <w:t xml:space="preserve">jenjena apsolutna biološka raspoloživost guselkumaba </w:t>
      </w:r>
      <w:r w:rsidR="004E2EF4" w:rsidRPr="00E87295">
        <w:rPr>
          <w:sz w:val="22"/>
          <w:szCs w:val="22"/>
          <w:lang w:val="sr-Latn-RS"/>
        </w:rPr>
        <w:t>nakon pojedinačne</w:t>
      </w:r>
      <w:r w:rsidRPr="00E87295">
        <w:rPr>
          <w:sz w:val="22"/>
          <w:szCs w:val="22"/>
          <w:lang w:val="sr-Latn-RS"/>
        </w:rPr>
        <w:t xml:space="preserve"> su</w:t>
      </w:r>
      <w:r w:rsidR="007B4078" w:rsidRPr="00E87295">
        <w:rPr>
          <w:sz w:val="22"/>
          <w:szCs w:val="22"/>
          <w:lang w:val="sr-Latn-RS"/>
        </w:rPr>
        <w:t>p</w:t>
      </w:r>
      <w:r w:rsidRPr="00E87295">
        <w:rPr>
          <w:sz w:val="22"/>
          <w:szCs w:val="22"/>
          <w:lang w:val="sr-Latn-RS"/>
        </w:rPr>
        <w:t>kutane injekcije od 100 mg kod zdravih ispitanika iznosila je približno 49%.</w:t>
      </w:r>
    </w:p>
    <w:p w14:paraId="0E4537AD" w14:textId="77777777" w:rsidR="007677A5" w:rsidRPr="00E87295" w:rsidRDefault="007677A5">
      <w:pPr>
        <w:ind w:left="20"/>
        <w:jc w:val="both"/>
        <w:rPr>
          <w:rStyle w:val="BodyText7"/>
          <w:sz w:val="22"/>
          <w:szCs w:val="22"/>
          <w:lang w:val="sr-Latn-RS"/>
        </w:rPr>
      </w:pPr>
      <w:r w:rsidRPr="00E87295">
        <w:rPr>
          <w:rStyle w:val="BodyText7"/>
          <w:sz w:val="22"/>
          <w:szCs w:val="22"/>
          <w:lang w:val="sr-Latn-RS"/>
        </w:rPr>
        <w:t>Distribucija</w:t>
      </w:r>
    </w:p>
    <w:p w14:paraId="1075928F" w14:textId="77777777" w:rsidR="00760B54" w:rsidRPr="00E87295" w:rsidRDefault="00760B54">
      <w:pPr>
        <w:ind w:left="20"/>
        <w:jc w:val="both"/>
        <w:rPr>
          <w:sz w:val="22"/>
          <w:szCs w:val="22"/>
          <w:lang w:val="sr-Latn-RS"/>
        </w:rPr>
      </w:pPr>
    </w:p>
    <w:p w14:paraId="09843FF5" w14:textId="77777777" w:rsidR="007677A5" w:rsidRPr="00E87295" w:rsidRDefault="007677A5">
      <w:pPr>
        <w:ind w:left="20"/>
        <w:jc w:val="both"/>
        <w:rPr>
          <w:sz w:val="22"/>
          <w:szCs w:val="22"/>
          <w:lang w:val="sr-Latn-RS"/>
        </w:rPr>
      </w:pPr>
      <w:r w:rsidRPr="00E87295">
        <w:rPr>
          <w:sz w:val="22"/>
          <w:szCs w:val="22"/>
          <w:lang w:val="sr-Latn-RS"/>
        </w:rPr>
        <w:t>Srednja vrijednost volumena distribucije tokom terminalne faze (V</w:t>
      </w:r>
      <w:r w:rsidRPr="00E87295">
        <w:rPr>
          <w:rStyle w:val="Bodytext5pt"/>
          <w:sz w:val="22"/>
          <w:szCs w:val="22"/>
          <w:vertAlign w:val="subscript"/>
          <w:lang w:val="sr-Latn-RS"/>
        </w:rPr>
        <w:t>z</w:t>
      </w:r>
      <w:r w:rsidRPr="00E87295">
        <w:rPr>
          <w:rStyle w:val="Bodytext5pt"/>
          <w:sz w:val="22"/>
          <w:szCs w:val="22"/>
          <w:lang w:val="sr-Latn-RS"/>
        </w:rPr>
        <w:t>)</w:t>
      </w:r>
      <w:r w:rsidRPr="00E87295">
        <w:rPr>
          <w:sz w:val="22"/>
          <w:szCs w:val="22"/>
          <w:lang w:val="sr-Latn-RS"/>
        </w:rPr>
        <w:t xml:space="preserve"> </w:t>
      </w:r>
      <w:r w:rsidR="004E2EF4" w:rsidRPr="00E87295">
        <w:rPr>
          <w:sz w:val="22"/>
          <w:szCs w:val="22"/>
          <w:lang w:val="sr-Latn-RS"/>
        </w:rPr>
        <w:t>nakon pojedinačne</w:t>
      </w:r>
      <w:r w:rsidRPr="00E87295">
        <w:rPr>
          <w:sz w:val="22"/>
          <w:szCs w:val="22"/>
          <w:lang w:val="sr-Latn-RS"/>
        </w:rPr>
        <w:t xml:space="preserve"> intravenske primjene kod zdravih ispitanika kretala se u rasponu od približno 7 do 10 litara u svim ispitivanjima.</w:t>
      </w:r>
    </w:p>
    <w:p w14:paraId="715A747F" w14:textId="77777777" w:rsidR="004E2EF4" w:rsidRPr="00E87295" w:rsidRDefault="004E2EF4">
      <w:pPr>
        <w:ind w:left="20"/>
        <w:jc w:val="both"/>
        <w:rPr>
          <w:rStyle w:val="BodyText7"/>
          <w:sz w:val="22"/>
          <w:szCs w:val="22"/>
          <w:lang w:val="sr-Latn-RS"/>
        </w:rPr>
      </w:pPr>
    </w:p>
    <w:p w14:paraId="3634144A" w14:textId="77777777" w:rsidR="007677A5" w:rsidRPr="00E87295" w:rsidRDefault="007677A5">
      <w:pPr>
        <w:ind w:left="20"/>
        <w:jc w:val="both"/>
        <w:rPr>
          <w:rStyle w:val="BodyText7"/>
          <w:sz w:val="22"/>
          <w:szCs w:val="22"/>
          <w:lang w:val="sr-Latn-RS"/>
        </w:rPr>
      </w:pPr>
      <w:r w:rsidRPr="00E87295">
        <w:rPr>
          <w:rStyle w:val="BodyText7"/>
          <w:sz w:val="22"/>
          <w:szCs w:val="22"/>
          <w:lang w:val="sr-Latn-RS"/>
        </w:rPr>
        <w:t>Biotransformacija</w:t>
      </w:r>
    </w:p>
    <w:p w14:paraId="06FB20F2" w14:textId="77777777" w:rsidR="00760B54" w:rsidRPr="00E87295" w:rsidRDefault="00760B54">
      <w:pPr>
        <w:ind w:left="20"/>
        <w:jc w:val="both"/>
        <w:rPr>
          <w:sz w:val="22"/>
          <w:szCs w:val="22"/>
          <w:lang w:val="sr-Latn-RS"/>
        </w:rPr>
      </w:pPr>
    </w:p>
    <w:p w14:paraId="6B2B9105" w14:textId="77777777" w:rsidR="007677A5" w:rsidRPr="00E87295" w:rsidRDefault="007677A5">
      <w:pPr>
        <w:tabs>
          <w:tab w:val="left" w:pos="1134"/>
          <w:tab w:val="left" w:pos="1701"/>
        </w:tabs>
        <w:spacing w:afterLines="80" w:after="192"/>
        <w:jc w:val="both"/>
        <w:rPr>
          <w:sz w:val="22"/>
          <w:szCs w:val="22"/>
          <w:lang w:val="sr-Latn-RS"/>
        </w:rPr>
      </w:pPr>
      <w:r w:rsidRPr="00E87295">
        <w:rPr>
          <w:sz w:val="22"/>
          <w:szCs w:val="22"/>
          <w:lang w:val="sr-Latn-RS"/>
        </w:rPr>
        <w:t>Tačan put kojim se guselkumab metaboliše nije utvrđen. Budući da je guselkumab humano IgG monoklonsko antitijelo, očekuje se da će se kataboličkim putevima razgraditi na male peptide i aminokiseline na isti način kao i endogeni IgG.</w:t>
      </w:r>
    </w:p>
    <w:p w14:paraId="016753FF" w14:textId="77777777" w:rsidR="007677A5" w:rsidRPr="00E87295" w:rsidRDefault="007677A5">
      <w:pPr>
        <w:ind w:left="20"/>
        <w:jc w:val="both"/>
        <w:rPr>
          <w:rStyle w:val="BodyText8"/>
          <w:sz w:val="22"/>
          <w:szCs w:val="22"/>
          <w:lang w:val="sr-Latn-RS"/>
        </w:rPr>
      </w:pPr>
      <w:r w:rsidRPr="00E87295">
        <w:rPr>
          <w:rStyle w:val="BodyText8"/>
          <w:sz w:val="22"/>
          <w:szCs w:val="22"/>
          <w:lang w:val="sr-Latn-RS"/>
        </w:rPr>
        <w:t>Eliminacija</w:t>
      </w:r>
    </w:p>
    <w:p w14:paraId="740E15C1" w14:textId="77777777" w:rsidR="00760B54" w:rsidRPr="00E87295" w:rsidRDefault="00760B54">
      <w:pPr>
        <w:ind w:left="20"/>
        <w:jc w:val="both"/>
        <w:rPr>
          <w:sz w:val="22"/>
          <w:szCs w:val="22"/>
          <w:lang w:val="sr-Latn-RS"/>
        </w:rPr>
      </w:pPr>
    </w:p>
    <w:p w14:paraId="5B658F30" w14:textId="26D542CE" w:rsidR="007677A5" w:rsidRPr="00E87295" w:rsidRDefault="007677A5">
      <w:pPr>
        <w:spacing w:after="180"/>
        <w:ind w:left="20"/>
        <w:jc w:val="both"/>
        <w:rPr>
          <w:sz w:val="22"/>
          <w:szCs w:val="22"/>
          <w:lang w:val="sr-Latn-RS"/>
        </w:rPr>
      </w:pPr>
      <w:r w:rsidRPr="00E87295">
        <w:rPr>
          <w:sz w:val="22"/>
          <w:szCs w:val="22"/>
          <w:lang w:val="sr-Latn-RS"/>
        </w:rPr>
        <w:t xml:space="preserve">Srednja vrijednost sistemskog klirensa (CL) </w:t>
      </w:r>
      <w:r w:rsidR="004E2EF4" w:rsidRPr="00E87295">
        <w:rPr>
          <w:sz w:val="22"/>
          <w:szCs w:val="22"/>
          <w:lang w:val="sr-Latn-RS"/>
        </w:rPr>
        <w:t>nakon pojedinačn</w:t>
      </w:r>
      <w:r w:rsidR="00DB0099" w:rsidRPr="00E87295">
        <w:rPr>
          <w:sz w:val="22"/>
          <w:szCs w:val="22"/>
          <w:lang w:val="sr-Latn-RS"/>
        </w:rPr>
        <w:t>e</w:t>
      </w:r>
      <w:r w:rsidRPr="00E87295">
        <w:rPr>
          <w:sz w:val="22"/>
          <w:szCs w:val="22"/>
          <w:lang w:val="sr-Latn-RS"/>
        </w:rPr>
        <w:t xml:space="preserve"> intravenske primjene zdravim ispitanicima kretala se u rasponu od 0,288 do 0,479 </w:t>
      </w:r>
      <w:r w:rsidR="004E2EF4" w:rsidRPr="00E87295">
        <w:rPr>
          <w:sz w:val="22"/>
          <w:szCs w:val="22"/>
          <w:lang w:val="sr-Latn-RS"/>
        </w:rPr>
        <w:t>l</w:t>
      </w:r>
      <w:r w:rsidRPr="00E87295">
        <w:rPr>
          <w:sz w:val="22"/>
          <w:szCs w:val="22"/>
          <w:lang w:val="sr-Latn-RS"/>
        </w:rPr>
        <w:t>/dan u svim ispitivanjima. Srednja vrijednost poluvremena eliminacije (T</w:t>
      </w:r>
      <w:r w:rsidRPr="00E87295">
        <w:rPr>
          <w:rStyle w:val="Bodytext5pt"/>
          <w:sz w:val="22"/>
          <w:szCs w:val="22"/>
          <w:vertAlign w:val="subscript"/>
          <w:lang w:val="sr-Latn-RS"/>
        </w:rPr>
        <w:t>1/2</w:t>
      </w:r>
      <w:r w:rsidRPr="00E87295">
        <w:rPr>
          <w:rStyle w:val="Bodytext5pt"/>
          <w:sz w:val="22"/>
          <w:szCs w:val="22"/>
          <w:lang w:val="sr-Latn-RS"/>
        </w:rPr>
        <w:t xml:space="preserve">) </w:t>
      </w:r>
      <w:r w:rsidRPr="00E87295">
        <w:rPr>
          <w:sz w:val="22"/>
          <w:szCs w:val="22"/>
          <w:lang w:val="sr-Latn-RS"/>
        </w:rPr>
        <w:t xml:space="preserve">guselkumaba u svim ispitivanjima iznosila je približno 17 dana kod zdravih ispitanika, a približno 15 do 18 dana kod pacijenata sa </w:t>
      </w:r>
      <w:r w:rsidR="004E2EF4" w:rsidRPr="00E87295">
        <w:rPr>
          <w:sz w:val="22"/>
          <w:szCs w:val="22"/>
          <w:lang w:val="sr-Latn-RS"/>
        </w:rPr>
        <w:t xml:space="preserve">plak </w:t>
      </w:r>
      <w:r w:rsidRPr="00E87295">
        <w:rPr>
          <w:sz w:val="22"/>
          <w:szCs w:val="22"/>
          <w:lang w:val="sr-Latn-RS"/>
        </w:rPr>
        <w:t>psorijazom.</w:t>
      </w:r>
    </w:p>
    <w:p w14:paraId="678BF1B9" w14:textId="65C89C2B" w:rsidR="001A5B54" w:rsidRPr="00E87295" w:rsidRDefault="001A5B54" w:rsidP="00E87295">
      <w:pPr>
        <w:jc w:val="both"/>
        <w:rPr>
          <w:rStyle w:val="BodyText8"/>
          <w:sz w:val="22"/>
          <w:szCs w:val="22"/>
          <w:lang w:val="sr-Latn-RS"/>
        </w:rPr>
      </w:pPr>
      <w:r w:rsidRPr="00E87295">
        <w:rPr>
          <w:rStyle w:val="BodyText8"/>
          <w:sz w:val="22"/>
          <w:szCs w:val="22"/>
          <w:lang w:val="sr-Latn-RS"/>
        </w:rPr>
        <w:t>Analize populacione farmakokinetke ukazale su na to da istovremena prim</w:t>
      </w:r>
      <w:r w:rsidR="00205093" w:rsidRPr="00E87295">
        <w:rPr>
          <w:rStyle w:val="BodyText8"/>
          <w:sz w:val="22"/>
          <w:szCs w:val="22"/>
          <w:lang w:val="sr-Latn-RS"/>
        </w:rPr>
        <w:t>j</w:t>
      </w:r>
      <w:r w:rsidRPr="00E87295">
        <w:rPr>
          <w:rStyle w:val="BodyText8"/>
          <w:sz w:val="22"/>
          <w:szCs w:val="22"/>
          <w:lang w:val="sr-Latn-RS"/>
        </w:rPr>
        <w:t xml:space="preserve">ena NSAIL, oralnih kortikosteroida i csDMARD kao što je metotreksat ne utiče na klirens guselkumaba. </w:t>
      </w:r>
    </w:p>
    <w:p w14:paraId="6A3D3EA4" w14:textId="77777777" w:rsidR="00DB0099" w:rsidRPr="00E87295" w:rsidRDefault="00DB0099">
      <w:pPr>
        <w:spacing w:after="180"/>
        <w:jc w:val="both"/>
        <w:rPr>
          <w:sz w:val="22"/>
          <w:szCs w:val="22"/>
          <w:lang w:val="sr-Latn-RS"/>
        </w:rPr>
      </w:pPr>
    </w:p>
    <w:p w14:paraId="62331667" w14:textId="77777777" w:rsidR="007677A5" w:rsidRPr="00E87295" w:rsidRDefault="007677A5" w:rsidP="00E87295">
      <w:pPr>
        <w:jc w:val="both"/>
        <w:rPr>
          <w:rStyle w:val="BodyText8"/>
          <w:sz w:val="22"/>
          <w:szCs w:val="22"/>
          <w:lang w:val="sr-Latn-RS"/>
        </w:rPr>
      </w:pPr>
      <w:r w:rsidRPr="00E87295">
        <w:rPr>
          <w:rStyle w:val="BodyText8"/>
          <w:sz w:val="22"/>
          <w:szCs w:val="22"/>
          <w:lang w:val="sr-Latn-RS"/>
        </w:rPr>
        <w:t>Linearnost/nelinearnost</w:t>
      </w:r>
    </w:p>
    <w:p w14:paraId="5CEF51D2" w14:textId="77777777" w:rsidR="00760B54" w:rsidRPr="00E87295" w:rsidRDefault="00760B54">
      <w:pPr>
        <w:ind w:left="20"/>
        <w:jc w:val="both"/>
        <w:rPr>
          <w:sz w:val="22"/>
          <w:szCs w:val="22"/>
          <w:lang w:val="sr-Latn-RS"/>
        </w:rPr>
      </w:pPr>
    </w:p>
    <w:p w14:paraId="6422CE69" w14:textId="5E709587" w:rsidR="007677A5" w:rsidRPr="00E87295" w:rsidRDefault="007677A5">
      <w:pPr>
        <w:spacing w:after="180"/>
        <w:ind w:left="20"/>
        <w:jc w:val="both"/>
        <w:rPr>
          <w:sz w:val="22"/>
          <w:szCs w:val="22"/>
          <w:lang w:val="sr-Latn-RS"/>
        </w:rPr>
      </w:pPr>
      <w:r w:rsidRPr="00E87295">
        <w:rPr>
          <w:sz w:val="22"/>
          <w:szCs w:val="22"/>
          <w:lang w:val="sr-Latn-RS"/>
        </w:rPr>
        <w:t>Sistemska izloženost guselkumabu (C</w:t>
      </w:r>
      <w:r w:rsidRPr="00E87295">
        <w:rPr>
          <w:rStyle w:val="Bodytext5pt"/>
          <w:sz w:val="22"/>
          <w:szCs w:val="22"/>
          <w:vertAlign w:val="subscript"/>
          <w:lang w:val="sr-Latn-RS"/>
        </w:rPr>
        <w:t>max</w:t>
      </w:r>
      <w:r w:rsidRPr="00E87295">
        <w:rPr>
          <w:sz w:val="22"/>
          <w:szCs w:val="22"/>
          <w:lang w:val="sr-Latn-RS"/>
        </w:rPr>
        <w:t xml:space="preserve"> i PIK) </w:t>
      </w:r>
      <w:r w:rsidR="004E2EF4" w:rsidRPr="00E87295">
        <w:rPr>
          <w:sz w:val="22"/>
          <w:szCs w:val="22"/>
          <w:lang w:val="sr-Latn-RS"/>
        </w:rPr>
        <w:t>nakon pojedinačne</w:t>
      </w:r>
      <w:r w:rsidRPr="00E87295">
        <w:rPr>
          <w:sz w:val="22"/>
          <w:szCs w:val="22"/>
          <w:lang w:val="sr-Latn-RS"/>
        </w:rPr>
        <w:t xml:space="preserve"> su</w:t>
      </w:r>
      <w:r w:rsidR="00DB0099" w:rsidRPr="00E87295">
        <w:rPr>
          <w:sz w:val="22"/>
          <w:szCs w:val="22"/>
          <w:lang w:val="sr-Latn-RS"/>
        </w:rPr>
        <w:t>p</w:t>
      </w:r>
      <w:r w:rsidRPr="00E87295">
        <w:rPr>
          <w:sz w:val="22"/>
          <w:szCs w:val="22"/>
          <w:lang w:val="sr-Latn-RS"/>
        </w:rPr>
        <w:t xml:space="preserve">kutane injekcije doza u rasponu od 10 mg do 300 mg kod zdravih ispitanika ili pacijenata sa </w:t>
      </w:r>
      <w:r w:rsidR="004E2EF4" w:rsidRPr="00E87295">
        <w:rPr>
          <w:sz w:val="22"/>
          <w:szCs w:val="22"/>
          <w:lang w:val="sr-Latn-RS"/>
        </w:rPr>
        <w:t xml:space="preserve">plak </w:t>
      </w:r>
      <w:r w:rsidRPr="00E87295">
        <w:rPr>
          <w:sz w:val="22"/>
          <w:szCs w:val="22"/>
          <w:lang w:val="sr-Latn-RS"/>
        </w:rPr>
        <w:t>psorijazom povećavala se približno proporcionalno dozi.</w:t>
      </w:r>
    </w:p>
    <w:p w14:paraId="26558C48" w14:textId="77777777" w:rsidR="007677A5" w:rsidRPr="00E87295" w:rsidRDefault="007677A5">
      <w:pPr>
        <w:ind w:left="20"/>
        <w:jc w:val="both"/>
        <w:rPr>
          <w:rStyle w:val="BodyText8"/>
          <w:sz w:val="22"/>
          <w:szCs w:val="22"/>
          <w:lang w:val="sr-Latn-RS"/>
        </w:rPr>
      </w:pPr>
      <w:r w:rsidRPr="00E87295">
        <w:rPr>
          <w:rStyle w:val="BodyText8"/>
          <w:sz w:val="22"/>
          <w:szCs w:val="22"/>
          <w:lang w:val="sr-Latn-RS"/>
        </w:rPr>
        <w:t>Stariji pacijenti</w:t>
      </w:r>
    </w:p>
    <w:p w14:paraId="3AF35C7B" w14:textId="77777777" w:rsidR="00760B54" w:rsidRPr="00E87295" w:rsidRDefault="00760B54">
      <w:pPr>
        <w:ind w:left="20"/>
        <w:jc w:val="both"/>
        <w:rPr>
          <w:sz w:val="22"/>
          <w:szCs w:val="22"/>
          <w:lang w:val="sr-Latn-RS"/>
        </w:rPr>
      </w:pPr>
    </w:p>
    <w:p w14:paraId="5284FDFB" w14:textId="00062EA2" w:rsidR="001A5B54" w:rsidRPr="00E87295" w:rsidRDefault="007677A5">
      <w:pPr>
        <w:spacing w:after="180"/>
        <w:ind w:left="20"/>
        <w:jc w:val="both"/>
        <w:rPr>
          <w:sz w:val="22"/>
          <w:szCs w:val="22"/>
          <w:lang w:val="sr-Latn-RS"/>
        </w:rPr>
      </w:pPr>
      <w:r w:rsidRPr="00E87295">
        <w:rPr>
          <w:sz w:val="22"/>
          <w:szCs w:val="22"/>
          <w:lang w:val="sr-Latn-RS"/>
        </w:rPr>
        <w:t>Ni</w:t>
      </w:r>
      <w:r w:rsidR="004E2EF4" w:rsidRPr="00E87295">
        <w:rPr>
          <w:sz w:val="22"/>
          <w:szCs w:val="22"/>
          <w:lang w:val="sr-Latn-RS"/>
        </w:rPr>
        <w:t>je</w:t>
      </w:r>
      <w:r w:rsidRPr="00E87295">
        <w:rPr>
          <w:sz w:val="22"/>
          <w:szCs w:val="22"/>
          <w:lang w:val="sr-Latn-RS"/>
        </w:rPr>
        <w:t xml:space="preserve">su sprovedena specifična klinička ispitivanja kod starijih pacijenata. Od 1384 pacijenata sa </w:t>
      </w:r>
      <w:r w:rsidR="004E2EF4" w:rsidRPr="00E87295">
        <w:rPr>
          <w:sz w:val="22"/>
          <w:szCs w:val="22"/>
          <w:lang w:val="sr-Latn-RS"/>
        </w:rPr>
        <w:t xml:space="preserve">plak </w:t>
      </w:r>
      <w:r w:rsidRPr="00E87295">
        <w:rPr>
          <w:sz w:val="22"/>
          <w:szCs w:val="22"/>
          <w:lang w:val="sr-Latn-RS"/>
        </w:rPr>
        <w:t xml:space="preserve">psorijazom koji su bili izloženi guselkumabu </w:t>
      </w:r>
      <w:r w:rsidR="001A5B54" w:rsidRPr="00E87295">
        <w:rPr>
          <w:sz w:val="22"/>
          <w:szCs w:val="22"/>
          <w:lang w:val="sr-Latn-RS"/>
        </w:rPr>
        <w:t xml:space="preserve">u kliničkim studijama III faze </w:t>
      </w:r>
      <w:r w:rsidRPr="00E87295">
        <w:rPr>
          <w:sz w:val="22"/>
          <w:szCs w:val="22"/>
          <w:lang w:val="sr-Latn-RS"/>
        </w:rPr>
        <w:t xml:space="preserve">i uključeni u populacionu farmakokinetičku analizu, 70 pacijenata imalo je 65 ili više godina, uključujući 4 pacijenta starosti od 75 ili više godina. </w:t>
      </w:r>
      <w:r w:rsidR="001A5B54" w:rsidRPr="00E87295">
        <w:rPr>
          <w:bCs/>
          <w:sz w:val="22"/>
          <w:szCs w:val="22"/>
          <w:lang w:val="sr-Latn-RS"/>
        </w:rPr>
        <w:t xml:space="preserve">Od 746 pacijenata sa psorijatičnim artritisom izloženim </w:t>
      </w:r>
      <w:r w:rsidR="001A5B54" w:rsidRPr="00E87295">
        <w:rPr>
          <w:sz w:val="22"/>
          <w:szCs w:val="22"/>
          <w:lang w:val="sr-Latn-RS"/>
        </w:rPr>
        <w:t xml:space="preserve">guselkumabu u kliničkim studijama III faze </w:t>
      </w:r>
      <w:r w:rsidR="001A5B54" w:rsidRPr="00E87295">
        <w:rPr>
          <w:bCs/>
          <w:sz w:val="22"/>
          <w:szCs w:val="22"/>
          <w:lang w:val="sr-Latn-RS"/>
        </w:rPr>
        <w:t>ukupno 38 pacijenata su imali 65 i više godina, ali nijedan nije bio stariji od 75 godina.</w:t>
      </w:r>
    </w:p>
    <w:p w14:paraId="252FA89C" w14:textId="28A368C4" w:rsidR="007677A5" w:rsidRPr="00E87295" w:rsidRDefault="007677A5">
      <w:pPr>
        <w:spacing w:after="180"/>
        <w:ind w:left="20"/>
        <w:jc w:val="both"/>
        <w:rPr>
          <w:sz w:val="22"/>
          <w:szCs w:val="22"/>
          <w:lang w:val="sr-Latn-RS"/>
        </w:rPr>
      </w:pPr>
      <w:r w:rsidRPr="00E87295">
        <w:rPr>
          <w:sz w:val="22"/>
          <w:szCs w:val="22"/>
          <w:lang w:val="sr-Latn-RS"/>
        </w:rPr>
        <w:t xml:space="preserve">Populacione farmakokinetičke analize </w:t>
      </w:r>
      <w:r w:rsidR="001A5B54" w:rsidRPr="00E87295">
        <w:rPr>
          <w:sz w:val="22"/>
          <w:szCs w:val="22"/>
          <w:lang w:val="sr-Latn-RS"/>
        </w:rPr>
        <w:t>kod pacijenata sa psorijazom tipa plaka i psorijatičnim artritisom ni</w:t>
      </w:r>
      <w:r w:rsidR="00DB0099" w:rsidRPr="00E87295">
        <w:rPr>
          <w:sz w:val="22"/>
          <w:szCs w:val="22"/>
          <w:lang w:val="sr-Latn-RS"/>
        </w:rPr>
        <w:t>je</w:t>
      </w:r>
      <w:r w:rsidR="001A5B54" w:rsidRPr="00E87295">
        <w:rPr>
          <w:sz w:val="22"/>
          <w:szCs w:val="22"/>
          <w:lang w:val="sr-Latn-RS"/>
        </w:rPr>
        <w:t>su ukazale na uočljive prom</w:t>
      </w:r>
      <w:r w:rsidR="00205093" w:rsidRPr="00E87295">
        <w:rPr>
          <w:sz w:val="22"/>
          <w:szCs w:val="22"/>
          <w:lang w:val="sr-Latn-RS"/>
        </w:rPr>
        <w:t>j</w:t>
      </w:r>
      <w:r w:rsidR="001A5B54" w:rsidRPr="00E87295">
        <w:rPr>
          <w:sz w:val="22"/>
          <w:szCs w:val="22"/>
          <w:lang w:val="sr-Latn-RS"/>
        </w:rPr>
        <w:t>ene</w:t>
      </w:r>
      <w:r w:rsidR="001A5B54" w:rsidRPr="00E87295" w:rsidDel="001A5B54">
        <w:rPr>
          <w:sz w:val="22"/>
          <w:szCs w:val="22"/>
          <w:lang w:val="sr-Latn-RS"/>
        </w:rPr>
        <w:t xml:space="preserve"> </w:t>
      </w:r>
      <w:r w:rsidRPr="00E87295">
        <w:rPr>
          <w:sz w:val="22"/>
          <w:szCs w:val="22"/>
          <w:lang w:val="sr-Latn-RS"/>
        </w:rPr>
        <w:t>proc</w:t>
      </w:r>
      <w:r w:rsidR="004E2EF4" w:rsidRPr="00E87295">
        <w:rPr>
          <w:sz w:val="22"/>
          <w:szCs w:val="22"/>
          <w:lang w:val="sr-Latn-RS"/>
        </w:rPr>
        <w:t>ij</w:t>
      </w:r>
      <w:r w:rsidRPr="00E87295">
        <w:rPr>
          <w:sz w:val="22"/>
          <w:szCs w:val="22"/>
          <w:lang w:val="sr-Latn-RS"/>
        </w:rPr>
        <w:t>enjene vr</w:t>
      </w:r>
      <w:r w:rsidR="004E2EF4" w:rsidRPr="00E87295">
        <w:rPr>
          <w:sz w:val="22"/>
          <w:szCs w:val="22"/>
          <w:lang w:val="sr-Latn-RS"/>
        </w:rPr>
        <w:t>ij</w:t>
      </w:r>
      <w:r w:rsidRPr="00E87295">
        <w:rPr>
          <w:sz w:val="22"/>
          <w:szCs w:val="22"/>
          <w:lang w:val="sr-Latn-RS"/>
        </w:rPr>
        <w:t>ednosti CL/F kod pacijenata starosti ≥ 65 godina u odnosu na one mlađe od 65 godina, što ukazuje na to da nije potrebno prilagođavati dozu kod starijih pacijenata.</w:t>
      </w:r>
    </w:p>
    <w:p w14:paraId="30643EEA" w14:textId="77777777" w:rsidR="007677A5" w:rsidRPr="00E87295" w:rsidRDefault="007677A5">
      <w:pPr>
        <w:ind w:left="20"/>
        <w:jc w:val="both"/>
        <w:rPr>
          <w:rStyle w:val="BodyText8"/>
          <w:sz w:val="22"/>
          <w:szCs w:val="22"/>
          <w:lang w:val="sr-Latn-RS"/>
        </w:rPr>
      </w:pPr>
      <w:r w:rsidRPr="00E87295">
        <w:rPr>
          <w:rStyle w:val="BodyText8"/>
          <w:sz w:val="22"/>
          <w:szCs w:val="22"/>
          <w:lang w:val="sr-Latn-RS"/>
        </w:rPr>
        <w:t>Oštećenje funkcije bubrega ili jetre</w:t>
      </w:r>
    </w:p>
    <w:p w14:paraId="10CE7379" w14:textId="77777777" w:rsidR="00760B54" w:rsidRPr="00E87295" w:rsidRDefault="00760B54">
      <w:pPr>
        <w:ind w:left="20"/>
        <w:jc w:val="both"/>
        <w:rPr>
          <w:sz w:val="22"/>
          <w:szCs w:val="22"/>
          <w:lang w:val="sr-Latn-RS"/>
        </w:rPr>
      </w:pPr>
    </w:p>
    <w:p w14:paraId="73C2D66C" w14:textId="4F4EA83D" w:rsidR="0072020E" w:rsidRPr="00E87295" w:rsidRDefault="007677A5" w:rsidP="00E87295">
      <w:pPr>
        <w:spacing w:after="208"/>
        <w:ind w:left="20"/>
        <w:jc w:val="both"/>
        <w:rPr>
          <w:bCs/>
          <w:sz w:val="22"/>
          <w:szCs w:val="22"/>
        </w:rPr>
      </w:pPr>
      <w:r w:rsidRPr="00E87295">
        <w:rPr>
          <w:sz w:val="22"/>
          <w:szCs w:val="22"/>
          <w:lang w:val="sr-Latn-RS"/>
        </w:rPr>
        <w:t>Nije sprovedeno specifično kliničko ispitivanje kojim bi se ocijeni</w:t>
      </w:r>
      <w:r w:rsidR="00DB0099" w:rsidRPr="00E87295">
        <w:rPr>
          <w:sz w:val="22"/>
          <w:szCs w:val="22"/>
          <w:lang w:val="sr-Latn-RS"/>
        </w:rPr>
        <w:t>o efekat</w:t>
      </w:r>
      <w:r w:rsidRPr="00E87295">
        <w:rPr>
          <w:sz w:val="22"/>
          <w:szCs w:val="22"/>
          <w:lang w:val="sr-Latn-RS"/>
        </w:rPr>
        <w:t xml:space="preserve"> oštećenja funkcije bubrega ili jetre na farmakokinetiku guselkumaba. Očekuje se da će eliminacija neprom</w:t>
      </w:r>
      <w:r w:rsidR="004E2EF4" w:rsidRPr="00E87295">
        <w:rPr>
          <w:sz w:val="22"/>
          <w:szCs w:val="22"/>
          <w:lang w:val="sr-Latn-RS"/>
        </w:rPr>
        <w:t>i</w:t>
      </w:r>
      <w:r w:rsidRPr="00E87295">
        <w:rPr>
          <w:sz w:val="22"/>
          <w:szCs w:val="22"/>
          <w:lang w:val="sr-Latn-RS"/>
        </w:rPr>
        <w:t>jenjenog guselkumaba, koji je IgG monoklonsko antitijelo, preko bubrega biti niska i od neznatne važnosti. Slično tome, IgG monoklonska antit</w:t>
      </w:r>
      <w:r w:rsidR="00DB0099" w:rsidRPr="00E87295">
        <w:rPr>
          <w:sz w:val="22"/>
          <w:szCs w:val="22"/>
          <w:lang w:val="sr-Latn-RS"/>
        </w:rPr>
        <w:t>ij</w:t>
      </w:r>
      <w:r w:rsidRPr="00E87295">
        <w:rPr>
          <w:sz w:val="22"/>
          <w:szCs w:val="22"/>
          <w:lang w:val="sr-Latn-RS"/>
        </w:rPr>
        <w:t>ela uglavnom se eliminišu intraćelijskim katabolizmom, pa se ne očekuje da će oštećenje funkcije jetre da utiče na klirens guselkumaba.</w:t>
      </w:r>
    </w:p>
    <w:p w14:paraId="14A8EEF0" w14:textId="77777777" w:rsidR="0072020E" w:rsidRPr="00E87295" w:rsidRDefault="0072020E">
      <w:pPr>
        <w:tabs>
          <w:tab w:val="left" w:pos="540"/>
          <w:tab w:val="left" w:pos="569"/>
        </w:tabs>
        <w:jc w:val="both"/>
        <w:rPr>
          <w:b/>
          <w:bCs/>
          <w:sz w:val="22"/>
          <w:szCs w:val="22"/>
        </w:rPr>
      </w:pPr>
      <w:r w:rsidRPr="00E87295">
        <w:rPr>
          <w:b/>
          <w:bCs/>
          <w:sz w:val="22"/>
          <w:szCs w:val="22"/>
        </w:rPr>
        <w:lastRenderedPageBreak/>
        <w:t xml:space="preserve">5.3. </w:t>
      </w:r>
      <w:r w:rsidR="00480FB1" w:rsidRPr="00E87295">
        <w:rPr>
          <w:b/>
          <w:bCs/>
          <w:sz w:val="22"/>
          <w:szCs w:val="22"/>
        </w:rPr>
        <w:tab/>
      </w:r>
      <w:proofErr w:type="spellStart"/>
      <w:r w:rsidRPr="00E87295">
        <w:rPr>
          <w:b/>
          <w:bCs/>
          <w:sz w:val="22"/>
          <w:szCs w:val="22"/>
        </w:rPr>
        <w:t>Pretklinički</w:t>
      </w:r>
      <w:proofErr w:type="spellEnd"/>
      <w:r w:rsidRPr="00E87295">
        <w:rPr>
          <w:b/>
          <w:bCs/>
          <w:sz w:val="22"/>
          <w:szCs w:val="22"/>
        </w:rPr>
        <w:t xml:space="preserve"> </w:t>
      </w:r>
      <w:proofErr w:type="spellStart"/>
      <w:r w:rsidRPr="00E87295">
        <w:rPr>
          <w:b/>
          <w:bCs/>
          <w:sz w:val="22"/>
          <w:szCs w:val="22"/>
        </w:rPr>
        <w:t>podaci</w:t>
      </w:r>
      <w:proofErr w:type="spellEnd"/>
      <w:r w:rsidRPr="00E87295">
        <w:rPr>
          <w:b/>
          <w:bCs/>
          <w:sz w:val="22"/>
          <w:szCs w:val="22"/>
        </w:rPr>
        <w:t xml:space="preserve"> o </w:t>
      </w:r>
      <w:proofErr w:type="spellStart"/>
      <w:r w:rsidRPr="00E87295">
        <w:rPr>
          <w:b/>
          <w:bCs/>
          <w:sz w:val="22"/>
          <w:szCs w:val="22"/>
        </w:rPr>
        <w:t>bezbjednosti</w:t>
      </w:r>
      <w:proofErr w:type="spellEnd"/>
      <w:r w:rsidRPr="00E87295">
        <w:rPr>
          <w:b/>
          <w:bCs/>
          <w:sz w:val="22"/>
          <w:szCs w:val="22"/>
        </w:rPr>
        <w:t xml:space="preserve"> </w:t>
      </w:r>
    </w:p>
    <w:p w14:paraId="2FE330D9" w14:textId="77777777" w:rsidR="00836B35" w:rsidRPr="00E87295" w:rsidRDefault="00836B35">
      <w:pPr>
        <w:tabs>
          <w:tab w:val="left" w:pos="540"/>
          <w:tab w:val="left" w:pos="569"/>
        </w:tabs>
        <w:jc w:val="both"/>
        <w:rPr>
          <w:bCs/>
          <w:sz w:val="22"/>
          <w:szCs w:val="22"/>
        </w:rPr>
      </w:pPr>
    </w:p>
    <w:p w14:paraId="39D5CF7F" w14:textId="77777777" w:rsidR="007677A5" w:rsidRPr="00E87295" w:rsidRDefault="007677A5">
      <w:pPr>
        <w:pStyle w:val="Header"/>
        <w:tabs>
          <w:tab w:val="left" w:pos="284"/>
        </w:tabs>
        <w:spacing w:afterLines="80" w:after="192"/>
        <w:jc w:val="both"/>
        <w:rPr>
          <w:sz w:val="22"/>
          <w:szCs w:val="22"/>
          <w:lang w:val="sr-Latn-RS"/>
        </w:rPr>
      </w:pPr>
      <w:r w:rsidRPr="00E87295">
        <w:rPr>
          <w:sz w:val="22"/>
          <w:szCs w:val="22"/>
          <w:lang w:val="sr-Latn-RS"/>
        </w:rPr>
        <w:t xml:space="preserve">Pretklinički podaci dobijeni na osnovu konvencionalnih studija bezbjednosne farmakologije, toksičnosti ponovljenih doza, reproduktivne toksičnosti kao i prenatalnog i postnatalnog razvoja, ne ukazuju na posebne rizike </w:t>
      </w:r>
      <w:r w:rsidR="004E2EF4" w:rsidRPr="00E87295">
        <w:rPr>
          <w:sz w:val="22"/>
          <w:szCs w:val="22"/>
          <w:lang w:val="sr-Latn-RS"/>
        </w:rPr>
        <w:t>za</w:t>
      </w:r>
      <w:r w:rsidRPr="00E87295">
        <w:rPr>
          <w:sz w:val="22"/>
          <w:szCs w:val="22"/>
          <w:lang w:val="sr-Latn-RS"/>
        </w:rPr>
        <w:t xml:space="preserve"> ljud</w:t>
      </w:r>
      <w:r w:rsidR="004E2EF4" w:rsidRPr="00E87295">
        <w:rPr>
          <w:sz w:val="22"/>
          <w:szCs w:val="22"/>
          <w:lang w:val="sr-Latn-RS"/>
        </w:rPr>
        <w:t>e</w:t>
      </w:r>
      <w:r w:rsidRPr="00E87295">
        <w:rPr>
          <w:sz w:val="22"/>
          <w:szCs w:val="22"/>
          <w:lang w:val="sr-Latn-RS"/>
        </w:rPr>
        <w:t xml:space="preserve">. </w:t>
      </w:r>
    </w:p>
    <w:p w14:paraId="5A860CBB" w14:textId="1799021B" w:rsidR="007677A5" w:rsidRPr="00E87295" w:rsidRDefault="007677A5">
      <w:pPr>
        <w:spacing w:after="180"/>
        <w:ind w:left="20"/>
        <w:jc w:val="both"/>
        <w:rPr>
          <w:sz w:val="22"/>
          <w:szCs w:val="22"/>
          <w:lang w:val="sr-Latn-RS"/>
        </w:rPr>
      </w:pPr>
      <w:r w:rsidRPr="00E87295">
        <w:rPr>
          <w:sz w:val="22"/>
          <w:szCs w:val="22"/>
          <w:lang w:val="sr-Latn-RS"/>
        </w:rPr>
        <w:t xml:space="preserve">U ispitivanjima toksičnosti ponovljenih doza na </w:t>
      </w:r>
      <w:r w:rsidR="004E2EF4" w:rsidRPr="00E87295">
        <w:rPr>
          <w:sz w:val="22"/>
          <w:szCs w:val="22"/>
          <w:lang w:val="sr-Latn-RS"/>
        </w:rPr>
        <w:t xml:space="preserve">makaki </w:t>
      </w:r>
      <w:r w:rsidRPr="00E87295">
        <w:rPr>
          <w:sz w:val="22"/>
          <w:szCs w:val="22"/>
          <w:lang w:val="sr-Latn-RS"/>
        </w:rPr>
        <w:t xml:space="preserve">majmunima guselkumab se dobro podnosio i </w:t>
      </w:r>
      <w:r w:rsidR="004E2EF4" w:rsidRPr="00E87295">
        <w:rPr>
          <w:sz w:val="22"/>
          <w:szCs w:val="22"/>
          <w:lang w:val="sr-Latn-RS"/>
        </w:rPr>
        <w:t xml:space="preserve">nakon </w:t>
      </w:r>
      <w:r w:rsidRPr="00E87295">
        <w:rPr>
          <w:sz w:val="22"/>
          <w:szCs w:val="22"/>
          <w:lang w:val="sr-Latn-RS"/>
        </w:rPr>
        <w:t xml:space="preserve">intravenske i </w:t>
      </w:r>
      <w:r w:rsidR="004E2EF4" w:rsidRPr="00E87295">
        <w:rPr>
          <w:sz w:val="22"/>
          <w:szCs w:val="22"/>
          <w:lang w:val="sr-Latn-RS"/>
        </w:rPr>
        <w:t xml:space="preserve">nakon </w:t>
      </w:r>
      <w:r w:rsidRPr="00E87295">
        <w:rPr>
          <w:sz w:val="22"/>
          <w:szCs w:val="22"/>
          <w:lang w:val="sr-Latn-RS"/>
        </w:rPr>
        <w:t>su</w:t>
      </w:r>
      <w:r w:rsidR="004E2EF4" w:rsidRPr="00E87295">
        <w:rPr>
          <w:sz w:val="22"/>
          <w:szCs w:val="22"/>
          <w:lang w:val="sr-Latn-RS"/>
        </w:rPr>
        <w:t>b</w:t>
      </w:r>
      <w:r w:rsidRPr="00E87295">
        <w:rPr>
          <w:sz w:val="22"/>
          <w:szCs w:val="22"/>
          <w:lang w:val="sr-Latn-RS"/>
        </w:rPr>
        <w:t>kutane primjene.</w:t>
      </w:r>
      <w:r w:rsidR="004E2EF4" w:rsidRPr="00E87295">
        <w:rPr>
          <w:sz w:val="22"/>
          <w:szCs w:val="22"/>
          <w:lang w:val="sr-Latn-RS"/>
        </w:rPr>
        <w:t xml:space="preserve"> </w:t>
      </w:r>
      <w:r w:rsidRPr="00E87295">
        <w:rPr>
          <w:sz w:val="22"/>
          <w:szCs w:val="22"/>
          <w:lang w:val="sr-Latn-RS"/>
        </w:rPr>
        <w:t>Ned</w:t>
      </w:r>
      <w:r w:rsidR="004E2EF4" w:rsidRPr="00E87295">
        <w:rPr>
          <w:sz w:val="22"/>
          <w:szCs w:val="22"/>
          <w:lang w:val="sr-Latn-RS"/>
        </w:rPr>
        <w:t>j</w:t>
      </w:r>
      <w:r w:rsidRPr="00E87295">
        <w:rPr>
          <w:sz w:val="22"/>
          <w:szCs w:val="22"/>
          <w:lang w:val="sr-Latn-RS"/>
        </w:rPr>
        <w:t>eljna su</w:t>
      </w:r>
      <w:r w:rsidR="004E2EF4" w:rsidRPr="00E87295">
        <w:rPr>
          <w:sz w:val="22"/>
          <w:szCs w:val="22"/>
          <w:lang w:val="sr-Latn-RS"/>
        </w:rPr>
        <w:t>b</w:t>
      </w:r>
      <w:r w:rsidRPr="00E87295">
        <w:rPr>
          <w:sz w:val="22"/>
          <w:szCs w:val="22"/>
          <w:lang w:val="sr-Latn-RS"/>
        </w:rPr>
        <w:t xml:space="preserve">kutana primjena doze od 50 mg/kg </w:t>
      </w:r>
      <w:r w:rsidR="00DB0099" w:rsidRPr="00E87295">
        <w:rPr>
          <w:sz w:val="22"/>
          <w:szCs w:val="22"/>
          <w:lang w:val="sr-Latn-RS"/>
        </w:rPr>
        <w:t xml:space="preserve">kod </w:t>
      </w:r>
      <w:r w:rsidRPr="00E87295">
        <w:rPr>
          <w:sz w:val="22"/>
          <w:szCs w:val="22"/>
          <w:lang w:val="sr-Latn-RS"/>
        </w:rPr>
        <w:t>majmun</w:t>
      </w:r>
      <w:r w:rsidR="00DB0099" w:rsidRPr="00E87295">
        <w:rPr>
          <w:sz w:val="22"/>
          <w:szCs w:val="22"/>
          <w:lang w:val="sr-Latn-RS"/>
        </w:rPr>
        <w:t>a</w:t>
      </w:r>
      <w:r w:rsidRPr="00E87295">
        <w:rPr>
          <w:sz w:val="22"/>
          <w:szCs w:val="22"/>
          <w:lang w:val="sr-Latn-RS"/>
        </w:rPr>
        <w:t xml:space="preserve"> dovela je do izloženosti (PIK) i vrijednosti C</w:t>
      </w:r>
      <w:r w:rsidRPr="00E87295">
        <w:rPr>
          <w:rStyle w:val="Bodytext5pt"/>
          <w:sz w:val="22"/>
          <w:szCs w:val="22"/>
          <w:vertAlign w:val="subscript"/>
          <w:lang w:val="sr-Latn-RS"/>
        </w:rPr>
        <w:t>max</w:t>
      </w:r>
      <w:r w:rsidRPr="00E87295">
        <w:rPr>
          <w:sz w:val="22"/>
          <w:szCs w:val="22"/>
          <w:lang w:val="sr-Latn-RS"/>
        </w:rPr>
        <w:t xml:space="preserve"> koje su bile najmanje 49 puta odnosno &gt; 200 puta veće od onih zabilježenih u farmakokinetičkom ispitivanju sprovedenom kod ljudi. Osim toga, tokom ispitivanja toksičnosti ponovljenih doza ili ciljanog farmakološkog ispitivanja bezbjednosti za kardiovaskularni sistem sprovedenog na </w:t>
      </w:r>
      <w:r w:rsidR="004E2EF4" w:rsidRPr="00E87295">
        <w:rPr>
          <w:sz w:val="22"/>
          <w:szCs w:val="22"/>
          <w:lang w:val="sr-Latn-RS"/>
        </w:rPr>
        <w:t xml:space="preserve">makaki </w:t>
      </w:r>
      <w:r w:rsidRPr="00E87295">
        <w:rPr>
          <w:sz w:val="22"/>
          <w:szCs w:val="22"/>
          <w:lang w:val="sr-Latn-RS"/>
        </w:rPr>
        <w:t>majmunima ni</w:t>
      </w:r>
      <w:r w:rsidR="004E2EF4" w:rsidRPr="00E87295">
        <w:rPr>
          <w:sz w:val="22"/>
          <w:szCs w:val="22"/>
          <w:lang w:val="sr-Latn-RS"/>
        </w:rPr>
        <w:t>je</w:t>
      </w:r>
      <w:r w:rsidRPr="00E87295">
        <w:rPr>
          <w:sz w:val="22"/>
          <w:szCs w:val="22"/>
          <w:lang w:val="sr-Latn-RS"/>
        </w:rPr>
        <w:t>su prim</w:t>
      </w:r>
      <w:r w:rsidR="004E2EF4" w:rsidRPr="00E87295">
        <w:rPr>
          <w:sz w:val="22"/>
          <w:szCs w:val="22"/>
          <w:lang w:val="sr-Latn-RS"/>
        </w:rPr>
        <w:t>i</w:t>
      </w:r>
      <w:r w:rsidRPr="00E87295">
        <w:rPr>
          <w:sz w:val="22"/>
          <w:szCs w:val="22"/>
          <w:lang w:val="sr-Latn-RS"/>
        </w:rPr>
        <w:t>jećen</w:t>
      </w:r>
      <w:r w:rsidR="004E2EF4" w:rsidRPr="00E87295">
        <w:rPr>
          <w:sz w:val="22"/>
          <w:szCs w:val="22"/>
          <w:lang w:val="sr-Latn-RS"/>
        </w:rPr>
        <w:t>i</w:t>
      </w:r>
      <w:r w:rsidRPr="00E87295">
        <w:rPr>
          <w:sz w:val="22"/>
          <w:szCs w:val="22"/>
          <w:lang w:val="sr-Latn-RS"/>
        </w:rPr>
        <w:t xml:space="preserve"> štetn</w:t>
      </w:r>
      <w:r w:rsidR="00760B54" w:rsidRPr="00E87295">
        <w:rPr>
          <w:sz w:val="22"/>
          <w:szCs w:val="22"/>
          <w:lang w:val="sr-Latn-RS"/>
        </w:rPr>
        <w:t>i</w:t>
      </w:r>
      <w:r w:rsidRPr="00E87295">
        <w:rPr>
          <w:sz w:val="22"/>
          <w:szCs w:val="22"/>
          <w:lang w:val="sr-Latn-RS"/>
        </w:rPr>
        <w:t xml:space="preserve"> imunotoksičn</w:t>
      </w:r>
      <w:r w:rsidR="004E2EF4" w:rsidRPr="00E87295">
        <w:rPr>
          <w:sz w:val="22"/>
          <w:szCs w:val="22"/>
          <w:lang w:val="sr-Latn-RS"/>
        </w:rPr>
        <w:t>i</w:t>
      </w:r>
      <w:r w:rsidRPr="00E87295">
        <w:rPr>
          <w:sz w:val="22"/>
          <w:szCs w:val="22"/>
          <w:lang w:val="sr-Latn-RS"/>
        </w:rPr>
        <w:t xml:space="preserve"> ni kardiovaskularn</w:t>
      </w:r>
      <w:r w:rsidR="004E2EF4" w:rsidRPr="00E87295">
        <w:rPr>
          <w:sz w:val="22"/>
          <w:szCs w:val="22"/>
          <w:lang w:val="sr-Latn-RS"/>
        </w:rPr>
        <w:t>i</w:t>
      </w:r>
      <w:r w:rsidRPr="00E87295">
        <w:rPr>
          <w:sz w:val="22"/>
          <w:szCs w:val="22"/>
          <w:lang w:val="sr-Latn-RS"/>
        </w:rPr>
        <w:t xml:space="preserve"> </w:t>
      </w:r>
      <w:r w:rsidR="004E2EF4" w:rsidRPr="00E87295">
        <w:rPr>
          <w:sz w:val="22"/>
          <w:szCs w:val="22"/>
          <w:lang w:val="sr-Latn-RS"/>
        </w:rPr>
        <w:t>efekti</w:t>
      </w:r>
      <w:r w:rsidRPr="00E87295">
        <w:rPr>
          <w:sz w:val="22"/>
          <w:szCs w:val="22"/>
          <w:lang w:val="sr-Latn-RS"/>
        </w:rPr>
        <w:t>.</w:t>
      </w:r>
    </w:p>
    <w:p w14:paraId="63A35AB7" w14:textId="6937FEF9" w:rsidR="007677A5" w:rsidRPr="00E87295" w:rsidRDefault="007677A5">
      <w:pPr>
        <w:spacing w:after="208"/>
        <w:ind w:left="20"/>
        <w:jc w:val="both"/>
        <w:rPr>
          <w:sz w:val="22"/>
          <w:szCs w:val="22"/>
          <w:lang w:val="sr-Latn-RS"/>
        </w:rPr>
      </w:pPr>
      <w:r w:rsidRPr="00E87295">
        <w:rPr>
          <w:sz w:val="22"/>
          <w:szCs w:val="22"/>
          <w:lang w:val="sr-Latn-RS"/>
        </w:rPr>
        <w:t>Nijesu zabilježene predneoplastične promjene u histopatološkim ispitivanjima životinja liječenih do 24 ned</w:t>
      </w:r>
      <w:r w:rsidR="004E2EF4" w:rsidRPr="00E87295">
        <w:rPr>
          <w:sz w:val="22"/>
          <w:szCs w:val="22"/>
          <w:lang w:val="sr-Latn-RS"/>
        </w:rPr>
        <w:t>j</w:t>
      </w:r>
      <w:r w:rsidRPr="00E87295">
        <w:rPr>
          <w:sz w:val="22"/>
          <w:szCs w:val="22"/>
          <w:lang w:val="sr-Latn-RS"/>
        </w:rPr>
        <w:t>elje kao ni poslije 12-ned</w:t>
      </w:r>
      <w:r w:rsidR="004E2EF4" w:rsidRPr="00E87295">
        <w:rPr>
          <w:sz w:val="22"/>
          <w:szCs w:val="22"/>
          <w:lang w:val="sr-Latn-RS"/>
        </w:rPr>
        <w:t>j</w:t>
      </w:r>
      <w:r w:rsidRPr="00E87295">
        <w:rPr>
          <w:sz w:val="22"/>
          <w:szCs w:val="22"/>
          <w:lang w:val="sr-Latn-RS"/>
        </w:rPr>
        <w:t xml:space="preserve">eljnog perioda oporavka tokom koga su nivoi </w:t>
      </w:r>
      <w:r w:rsidR="00FA254B" w:rsidRPr="00E87295">
        <w:rPr>
          <w:sz w:val="22"/>
          <w:szCs w:val="22"/>
          <w:lang w:val="sr-Latn-RS"/>
        </w:rPr>
        <w:t>aktivne supstance</w:t>
      </w:r>
      <w:r w:rsidRPr="00E87295">
        <w:rPr>
          <w:sz w:val="22"/>
          <w:szCs w:val="22"/>
          <w:lang w:val="sr-Latn-RS"/>
        </w:rPr>
        <w:t xml:space="preserve"> </w:t>
      </w:r>
      <w:r w:rsidR="004E2EF4" w:rsidRPr="00E87295">
        <w:rPr>
          <w:sz w:val="22"/>
          <w:szCs w:val="22"/>
          <w:lang w:val="sr-Latn-RS"/>
        </w:rPr>
        <w:t xml:space="preserve">bili mjerljivi u serumu. </w:t>
      </w:r>
    </w:p>
    <w:p w14:paraId="0CDC1732" w14:textId="77777777" w:rsidR="007677A5" w:rsidRPr="00E87295" w:rsidRDefault="007677A5">
      <w:pPr>
        <w:spacing w:after="217"/>
        <w:ind w:left="20"/>
        <w:jc w:val="both"/>
        <w:rPr>
          <w:sz w:val="22"/>
          <w:szCs w:val="22"/>
          <w:lang w:val="sr-Latn-RS"/>
        </w:rPr>
      </w:pPr>
      <w:r w:rsidRPr="00E87295">
        <w:rPr>
          <w:sz w:val="22"/>
          <w:szCs w:val="22"/>
          <w:lang w:val="sr-Latn-RS"/>
        </w:rPr>
        <w:t>Ni</w:t>
      </w:r>
      <w:r w:rsidR="004E2EF4" w:rsidRPr="00E87295">
        <w:rPr>
          <w:sz w:val="22"/>
          <w:szCs w:val="22"/>
          <w:lang w:val="sr-Latn-RS"/>
        </w:rPr>
        <w:t>je</w:t>
      </w:r>
      <w:r w:rsidRPr="00E87295">
        <w:rPr>
          <w:sz w:val="22"/>
          <w:szCs w:val="22"/>
          <w:lang w:val="sr-Latn-RS"/>
        </w:rPr>
        <w:t>su sprovedena ispitivanja mutagenosti i kancerogenosti guselkumaba.</w:t>
      </w:r>
    </w:p>
    <w:p w14:paraId="72727E2D" w14:textId="77777777" w:rsidR="007677A5" w:rsidRPr="00E87295" w:rsidRDefault="007677A5">
      <w:pPr>
        <w:pStyle w:val="Header"/>
        <w:tabs>
          <w:tab w:val="left" w:pos="284"/>
        </w:tabs>
        <w:spacing w:afterLines="80" w:after="192"/>
        <w:jc w:val="both"/>
        <w:rPr>
          <w:sz w:val="22"/>
          <w:szCs w:val="22"/>
          <w:lang w:val="sr-Latn-RS"/>
        </w:rPr>
      </w:pPr>
      <w:r w:rsidRPr="00E87295">
        <w:rPr>
          <w:sz w:val="22"/>
          <w:szCs w:val="22"/>
          <w:lang w:val="sr-Latn-RS"/>
        </w:rPr>
        <w:t xml:space="preserve">Guselkumab nije pronađen u mlijeku ženki </w:t>
      </w:r>
      <w:r w:rsidR="004E2EF4" w:rsidRPr="00E87295">
        <w:rPr>
          <w:sz w:val="22"/>
          <w:szCs w:val="22"/>
          <w:lang w:val="sr-Latn-RS"/>
        </w:rPr>
        <w:t xml:space="preserve">makaki </w:t>
      </w:r>
      <w:r w:rsidRPr="00E87295">
        <w:rPr>
          <w:sz w:val="22"/>
          <w:szCs w:val="22"/>
          <w:lang w:val="sr-Latn-RS"/>
        </w:rPr>
        <w:t>majmuna pri mjerenju sprovedenom 28. dana postpartalno.</w:t>
      </w:r>
    </w:p>
    <w:p w14:paraId="2D5F7A36" w14:textId="77777777" w:rsidR="00396DFD" w:rsidRPr="00E87295" w:rsidRDefault="00396DFD">
      <w:pPr>
        <w:tabs>
          <w:tab w:val="left" w:pos="540"/>
          <w:tab w:val="left" w:pos="569"/>
        </w:tabs>
        <w:jc w:val="both"/>
        <w:rPr>
          <w:b/>
          <w:bCs/>
          <w:sz w:val="22"/>
          <w:szCs w:val="22"/>
        </w:rPr>
      </w:pPr>
    </w:p>
    <w:p w14:paraId="42E038D1" w14:textId="77777777" w:rsidR="0072020E" w:rsidRPr="00E87295" w:rsidRDefault="0072020E">
      <w:pPr>
        <w:tabs>
          <w:tab w:val="left" w:pos="540"/>
          <w:tab w:val="left" w:pos="569"/>
        </w:tabs>
        <w:jc w:val="both"/>
        <w:rPr>
          <w:b/>
          <w:bCs/>
          <w:sz w:val="22"/>
          <w:szCs w:val="22"/>
        </w:rPr>
      </w:pPr>
      <w:r w:rsidRPr="00E87295">
        <w:rPr>
          <w:b/>
          <w:bCs/>
          <w:sz w:val="22"/>
          <w:szCs w:val="22"/>
        </w:rPr>
        <w:t xml:space="preserve">6. </w:t>
      </w:r>
      <w:r w:rsidR="00480FB1" w:rsidRPr="00E87295">
        <w:rPr>
          <w:b/>
          <w:bCs/>
          <w:sz w:val="22"/>
          <w:szCs w:val="22"/>
        </w:rPr>
        <w:tab/>
      </w:r>
      <w:r w:rsidRPr="00E87295">
        <w:rPr>
          <w:b/>
          <w:bCs/>
          <w:sz w:val="22"/>
          <w:szCs w:val="22"/>
        </w:rPr>
        <w:t>FARMACEUTSKI PODACI</w:t>
      </w:r>
    </w:p>
    <w:p w14:paraId="2EF0838B" w14:textId="77777777" w:rsidR="00836B35" w:rsidRPr="00E87295" w:rsidRDefault="00836B35">
      <w:pPr>
        <w:tabs>
          <w:tab w:val="left" w:pos="540"/>
          <w:tab w:val="left" w:pos="569"/>
        </w:tabs>
        <w:jc w:val="both"/>
        <w:rPr>
          <w:bCs/>
          <w:sz w:val="22"/>
          <w:szCs w:val="22"/>
        </w:rPr>
      </w:pPr>
    </w:p>
    <w:p w14:paraId="5BF32843" w14:textId="77777777" w:rsidR="0072020E" w:rsidRPr="00E87295" w:rsidRDefault="0072020E">
      <w:pPr>
        <w:tabs>
          <w:tab w:val="left" w:pos="540"/>
          <w:tab w:val="left" w:pos="569"/>
        </w:tabs>
        <w:jc w:val="both"/>
        <w:rPr>
          <w:b/>
          <w:bCs/>
          <w:sz w:val="22"/>
          <w:szCs w:val="22"/>
        </w:rPr>
      </w:pPr>
      <w:r w:rsidRPr="00E87295">
        <w:rPr>
          <w:b/>
          <w:bCs/>
          <w:sz w:val="22"/>
          <w:szCs w:val="22"/>
        </w:rPr>
        <w:t xml:space="preserve">6.1. </w:t>
      </w:r>
      <w:r w:rsidR="00480FB1" w:rsidRPr="00E87295">
        <w:rPr>
          <w:b/>
          <w:bCs/>
          <w:sz w:val="22"/>
          <w:szCs w:val="22"/>
        </w:rPr>
        <w:tab/>
      </w:r>
      <w:proofErr w:type="spellStart"/>
      <w:r w:rsidRPr="00E87295">
        <w:rPr>
          <w:b/>
          <w:bCs/>
          <w:sz w:val="22"/>
          <w:szCs w:val="22"/>
        </w:rPr>
        <w:t>Lista</w:t>
      </w:r>
      <w:proofErr w:type="spellEnd"/>
      <w:r w:rsidRPr="00E87295">
        <w:rPr>
          <w:b/>
          <w:bCs/>
          <w:sz w:val="22"/>
          <w:szCs w:val="22"/>
        </w:rPr>
        <w:t xml:space="preserve"> </w:t>
      </w:r>
      <w:proofErr w:type="spellStart"/>
      <w:r w:rsidRPr="00E87295">
        <w:rPr>
          <w:b/>
          <w:bCs/>
          <w:sz w:val="22"/>
          <w:szCs w:val="22"/>
        </w:rPr>
        <w:t>pomoćnih</w:t>
      </w:r>
      <w:proofErr w:type="spellEnd"/>
      <w:r w:rsidRPr="00E87295">
        <w:rPr>
          <w:b/>
          <w:bCs/>
          <w:sz w:val="22"/>
          <w:szCs w:val="22"/>
        </w:rPr>
        <w:t xml:space="preserve"> </w:t>
      </w:r>
      <w:proofErr w:type="spellStart"/>
      <w:r w:rsidRPr="00E87295">
        <w:rPr>
          <w:b/>
          <w:bCs/>
          <w:sz w:val="22"/>
          <w:szCs w:val="22"/>
        </w:rPr>
        <w:t>supstanci</w:t>
      </w:r>
      <w:proofErr w:type="spellEnd"/>
      <w:r w:rsidR="002E0135" w:rsidRPr="00E87295">
        <w:rPr>
          <w:b/>
          <w:bCs/>
          <w:sz w:val="22"/>
          <w:szCs w:val="22"/>
        </w:rPr>
        <w:t xml:space="preserve"> (</w:t>
      </w:r>
      <w:proofErr w:type="spellStart"/>
      <w:r w:rsidR="002E0135" w:rsidRPr="00E87295">
        <w:rPr>
          <w:b/>
          <w:bCs/>
          <w:sz w:val="22"/>
          <w:szCs w:val="22"/>
        </w:rPr>
        <w:t>ekscipijenasa</w:t>
      </w:r>
      <w:proofErr w:type="spellEnd"/>
      <w:r w:rsidR="002E0135" w:rsidRPr="00E87295">
        <w:rPr>
          <w:b/>
          <w:bCs/>
          <w:sz w:val="22"/>
          <w:szCs w:val="22"/>
        </w:rPr>
        <w:t>)</w:t>
      </w:r>
    </w:p>
    <w:p w14:paraId="1A5C7818" w14:textId="77777777" w:rsidR="0072020E" w:rsidRPr="00E87295" w:rsidRDefault="0072020E">
      <w:pPr>
        <w:tabs>
          <w:tab w:val="left" w:pos="540"/>
          <w:tab w:val="left" w:pos="569"/>
        </w:tabs>
        <w:jc w:val="both"/>
        <w:rPr>
          <w:bCs/>
          <w:sz w:val="22"/>
          <w:szCs w:val="22"/>
        </w:rPr>
      </w:pPr>
    </w:p>
    <w:p w14:paraId="6877FDD1" w14:textId="77777777" w:rsidR="007677A5" w:rsidRPr="00E87295" w:rsidRDefault="007677A5">
      <w:pPr>
        <w:ind w:left="20"/>
        <w:jc w:val="both"/>
        <w:rPr>
          <w:sz w:val="22"/>
          <w:szCs w:val="22"/>
          <w:lang w:val="sr-Latn-RS"/>
        </w:rPr>
      </w:pPr>
      <w:r w:rsidRPr="00E87295">
        <w:rPr>
          <w:sz w:val="22"/>
          <w:szCs w:val="22"/>
          <w:lang w:val="sr-Latn-RS"/>
        </w:rPr>
        <w:t>histidin</w:t>
      </w:r>
    </w:p>
    <w:p w14:paraId="5E51379B" w14:textId="77777777" w:rsidR="007677A5" w:rsidRPr="00E87295" w:rsidRDefault="007677A5">
      <w:pPr>
        <w:ind w:left="20"/>
        <w:jc w:val="both"/>
        <w:rPr>
          <w:sz w:val="22"/>
          <w:szCs w:val="22"/>
          <w:lang w:val="sr-Latn-RS"/>
        </w:rPr>
      </w:pPr>
      <w:r w:rsidRPr="00E87295">
        <w:rPr>
          <w:sz w:val="22"/>
          <w:szCs w:val="22"/>
          <w:lang w:val="sr-Latn-RS"/>
        </w:rPr>
        <w:t>histidin</w:t>
      </w:r>
      <w:r w:rsidR="00E83E4D" w:rsidRPr="00E87295">
        <w:rPr>
          <w:sz w:val="22"/>
          <w:szCs w:val="22"/>
          <w:lang w:val="sr-Latn-RS"/>
        </w:rPr>
        <w:t xml:space="preserve"> </w:t>
      </w:r>
      <w:r w:rsidRPr="00E87295">
        <w:rPr>
          <w:sz w:val="22"/>
          <w:szCs w:val="22"/>
          <w:lang w:val="sr-Latn-RS"/>
        </w:rPr>
        <w:t xml:space="preserve">monohidrohlorid monohidrat </w:t>
      </w:r>
    </w:p>
    <w:p w14:paraId="6CCF18BC" w14:textId="77777777" w:rsidR="007677A5" w:rsidRPr="00E87295" w:rsidRDefault="007677A5">
      <w:pPr>
        <w:ind w:left="20"/>
        <w:jc w:val="both"/>
        <w:rPr>
          <w:sz w:val="22"/>
          <w:szCs w:val="22"/>
          <w:lang w:val="sr-Latn-RS"/>
        </w:rPr>
      </w:pPr>
      <w:r w:rsidRPr="00E87295">
        <w:rPr>
          <w:sz w:val="22"/>
          <w:szCs w:val="22"/>
          <w:lang w:val="sr-Latn-RS"/>
        </w:rPr>
        <w:t xml:space="preserve">polisorbat 80 </w:t>
      </w:r>
    </w:p>
    <w:p w14:paraId="5FF4E5EC" w14:textId="77777777" w:rsidR="007677A5" w:rsidRPr="00E87295" w:rsidRDefault="007677A5">
      <w:pPr>
        <w:ind w:left="20"/>
        <w:jc w:val="both"/>
        <w:rPr>
          <w:sz w:val="22"/>
          <w:szCs w:val="22"/>
          <w:lang w:val="sr-Latn-RS"/>
        </w:rPr>
      </w:pPr>
      <w:r w:rsidRPr="00E87295">
        <w:rPr>
          <w:sz w:val="22"/>
          <w:szCs w:val="22"/>
          <w:lang w:val="sr-Latn-RS"/>
        </w:rPr>
        <w:t xml:space="preserve">saharoza </w:t>
      </w:r>
    </w:p>
    <w:p w14:paraId="512571DD" w14:textId="77777777" w:rsidR="007677A5" w:rsidRPr="00E87295" w:rsidRDefault="007677A5">
      <w:pPr>
        <w:ind w:left="20"/>
        <w:jc w:val="both"/>
        <w:rPr>
          <w:sz w:val="22"/>
          <w:szCs w:val="22"/>
          <w:lang w:val="sr-Latn-RS"/>
        </w:rPr>
      </w:pPr>
      <w:r w:rsidRPr="00E87295">
        <w:rPr>
          <w:sz w:val="22"/>
          <w:szCs w:val="22"/>
          <w:lang w:val="sr-Latn-RS"/>
        </w:rPr>
        <w:t>voda za injekcije</w:t>
      </w:r>
    </w:p>
    <w:p w14:paraId="248E110A" w14:textId="77777777" w:rsidR="007677A5" w:rsidRPr="00E87295" w:rsidRDefault="007677A5">
      <w:pPr>
        <w:tabs>
          <w:tab w:val="left" w:pos="540"/>
          <w:tab w:val="left" w:pos="569"/>
        </w:tabs>
        <w:jc w:val="both"/>
        <w:rPr>
          <w:bCs/>
          <w:sz w:val="22"/>
          <w:szCs w:val="22"/>
        </w:rPr>
      </w:pPr>
    </w:p>
    <w:p w14:paraId="793079BB" w14:textId="77777777" w:rsidR="0072020E" w:rsidRPr="00E87295" w:rsidRDefault="0072020E">
      <w:pPr>
        <w:tabs>
          <w:tab w:val="left" w:pos="540"/>
          <w:tab w:val="left" w:pos="569"/>
        </w:tabs>
        <w:jc w:val="both"/>
        <w:rPr>
          <w:b/>
          <w:bCs/>
          <w:sz w:val="22"/>
          <w:szCs w:val="22"/>
        </w:rPr>
      </w:pPr>
      <w:r w:rsidRPr="00E87295">
        <w:rPr>
          <w:b/>
          <w:bCs/>
          <w:sz w:val="22"/>
          <w:szCs w:val="22"/>
        </w:rPr>
        <w:t xml:space="preserve">6.2. </w:t>
      </w:r>
      <w:r w:rsidR="00480FB1" w:rsidRPr="00E87295">
        <w:rPr>
          <w:b/>
          <w:bCs/>
          <w:sz w:val="22"/>
          <w:szCs w:val="22"/>
        </w:rPr>
        <w:tab/>
      </w:r>
      <w:proofErr w:type="spellStart"/>
      <w:r w:rsidRPr="00E87295">
        <w:rPr>
          <w:b/>
          <w:bCs/>
          <w:sz w:val="22"/>
          <w:szCs w:val="22"/>
        </w:rPr>
        <w:t>Inkompatibilnost</w:t>
      </w:r>
      <w:r w:rsidR="002846DB" w:rsidRPr="00E87295">
        <w:rPr>
          <w:b/>
          <w:bCs/>
          <w:sz w:val="22"/>
          <w:szCs w:val="22"/>
        </w:rPr>
        <w:t>i</w:t>
      </w:r>
      <w:proofErr w:type="spellEnd"/>
    </w:p>
    <w:p w14:paraId="53BAF79D" w14:textId="77777777" w:rsidR="0072020E" w:rsidRPr="00E87295" w:rsidRDefault="0072020E">
      <w:pPr>
        <w:tabs>
          <w:tab w:val="left" w:pos="540"/>
          <w:tab w:val="left" w:pos="569"/>
        </w:tabs>
        <w:jc w:val="both"/>
        <w:rPr>
          <w:bCs/>
          <w:sz w:val="22"/>
          <w:szCs w:val="22"/>
        </w:rPr>
      </w:pPr>
    </w:p>
    <w:p w14:paraId="46BA2577" w14:textId="77777777" w:rsidR="007677A5" w:rsidRPr="00E87295" w:rsidRDefault="007677A5">
      <w:pPr>
        <w:ind w:left="20"/>
        <w:jc w:val="both"/>
        <w:rPr>
          <w:sz w:val="22"/>
          <w:szCs w:val="22"/>
          <w:lang w:val="sr-Latn-RS"/>
        </w:rPr>
      </w:pPr>
      <w:r w:rsidRPr="00E87295">
        <w:rPr>
          <w:sz w:val="22"/>
          <w:szCs w:val="22"/>
          <w:lang w:val="sr-Latn-RS"/>
        </w:rPr>
        <w:t>U odsustvu ispitivanja kompatibilnosti, ovaj lijek se ne smije m</w:t>
      </w:r>
      <w:r w:rsidR="00F46C8C" w:rsidRPr="00E87295">
        <w:rPr>
          <w:sz w:val="22"/>
          <w:szCs w:val="22"/>
          <w:lang w:val="sr-Latn-RS"/>
        </w:rPr>
        <w:t>i</w:t>
      </w:r>
      <w:r w:rsidRPr="00E87295">
        <w:rPr>
          <w:sz w:val="22"/>
          <w:szCs w:val="22"/>
          <w:lang w:val="sr-Latn-RS"/>
        </w:rPr>
        <w:t>ješati s</w:t>
      </w:r>
      <w:r w:rsidR="00F46C8C" w:rsidRPr="00E87295">
        <w:rPr>
          <w:sz w:val="22"/>
          <w:szCs w:val="22"/>
          <w:lang w:val="sr-Latn-RS"/>
        </w:rPr>
        <w:t>a</w:t>
      </w:r>
      <w:r w:rsidRPr="00E87295">
        <w:rPr>
          <w:sz w:val="22"/>
          <w:szCs w:val="22"/>
          <w:lang w:val="sr-Latn-RS"/>
        </w:rPr>
        <w:t xml:space="preserve"> drugim ljekovima.</w:t>
      </w:r>
    </w:p>
    <w:p w14:paraId="6E3C217E" w14:textId="77777777" w:rsidR="007677A5" w:rsidRPr="00E87295" w:rsidRDefault="007677A5">
      <w:pPr>
        <w:tabs>
          <w:tab w:val="left" w:pos="540"/>
          <w:tab w:val="left" w:pos="569"/>
        </w:tabs>
        <w:jc w:val="both"/>
        <w:rPr>
          <w:bCs/>
          <w:sz w:val="22"/>
          <w:szCs w:val="22"/>
        </w:rPr>
      </w:pPr>
    </w:p>
    <w:p w14:paraId="13DDC1C2" w14:textId="77777777" w:rsidR="0072020E" w:rsidRPr="00E87295" w:rsidRDefault="0072020E">
      <w:pPr>
        <w:tabs>
          <w:tab w:val="left" w:pos="540"/>
          <w:tab w:val="left" w:pos="569"/>
        </w:tabs>
        <w:jc w:val="both"/>
        <w:rPr>
          <w:b/>
          <w:bCs/>
          <w:sz w:val="22"/>
          <w:szCs w:val="22"/>
        </w:rPr>
      </w:pPr>
      <w:r w:rsidRPr="00E87295">
        <w:rPr>
          <w:b/>
          <w:bCs/>
          <w:sz w:val="22"/>
          <w:szCs w:val="22"/>
        </w:rPr>
        <w:t>6.3.</w:t>
      </w:r>
      <w:r w:rsidR="00C05DF8" w:rsidRPr="00E87295">
        <w:rPr>
          <w:b/>
          <w:bCs/>
          <w:sz w:val="22"/>
          <w:szCs w:val="22"/>
        </w:rPr>
        <w:t xml:space="preserve"> </w:t>
      </w:r>
      <w:r w:rsidR="00480FB1" w:rsidRPr="00E87295">
        <w:rPr>
          <w:b/>
          <w:bCs/>
          <w:sz w:val="22"/>
          <w:szCs w:val="22"/>
        </w:rPr>
        <w:tab/>
      </w:r>
      <w:proofErr w:type="spellStart"/>
      <w:r w:rsidRPr="00E87295">
        <w:rPr>
          <w:b/>
          <w:bCs/>
          <w:sz w:val="22"/>
          <w:szCs w:val="22"/>
        </w:rPr>
        <w:t>Rok</w:t>
      </w:r>
      <w:proofErr w:type="spellEnd"/>
      <w:r w:rsidRPr="00E87295">
        <w:rPr>
          <w:b/>
          <w:bCs/>
          <w:sz w:val="22"/>
          <w:szCs w:val="22"/>
        </w:rPr>
        <w:t xml:space="preserve"> </w:t>
      </w:r>
      <w:proofErr w:type="spellStart"/>
      <w:r w:rsidRPr="00E87295">
        <w:rPr>
          <w:b/>
          <w:bCs/>
          <w:sz w:val="22"/>
          <w:szCs w:val="22"/>
        </w:rPr>
        <w:t>upotrebe</w:t>
      </w:r>
      <w:proofErr w:type="spellEnd"/>
    </w:p>
    <w:p w14:paraId="3D5EE101" w14:textId="77777777" w:rsidR="0072020E" w:rsidRPr="00E87295" w:rsidRDefault="0072020E">
      <w:pPr>
        <w:tabs>
          <w:tab w:val="left" w:pos="540"/>
          <w:tab w:val="left" w:pos="569"/>
        </w:tabs>
        <w:jc w:val="both"/>
        <w:rPr>
          <w:bCs/>
          <w:sz w:val="22"/>
          <w:szCs w:val="22"/>
        </w:rPr>
      </w:pPr>
    </w:p>
    <w:p w14:paraId="7BEABFAC" w14:textId="77777777" w:rsidR="007677A5" w:rsidRPr="00E87295" w:rsidRDefault="007677A5">
      <w:pPr>
        <w:pStyle w:val="Header"/>
        <w:tabs>
          <w:tab w:val="left" w:pos="284"/>
        </w:tabs>
        <w:spacing w:afterLines="80" w:after="192"/>
        <w:jc w:val="both"/>
        <w:rPr>
          <w:sz w:val="22"/>
          <w:szCs w:val="22"/>
          <w:lang w:val="sr-Latn-RS"/>
        </w:rPr>
      </w:pPr>
      <w:r w:rsidRPr="00E87295">
        <w:rPr>
          <w:sz w:val="22"/>
          <w:szCs w:val="22"/>
          <w:lang w:val="sr-Latn-RS"/>
        </w:rPr>
        <w:t>2 godine</w:t>
      </w:r>
    </w:p>
    <w:p w14:paraId="77C8214B" w14:textId="77777777" w:rsidR="007677A5" w:rsidRPr="00E87295" w:rsidRDefault="007677A5">
      <w:pPr>
        <w:tabs>
          <w:tab w:val="left" w:pos="540"/>
          <w:tab w:val="left" w:pos="569"/>
        </w:tabs>
        <w:jc w:val="both"/>
        <w:rPr>
          <w:bCs/>
          <w:sz w:val="22"/>
          <w:szCs w:val="22"/>
        </w:rPr>
      </w:pPr>
    </w:p>
    <w:p w14:paraId="53B2252B" w14:textId="77777777" w:rsidR="0072020E" w:rsidRPr="00E87295" w:rsidRDefault="0072020E">
      <w:pPr>
        <w:tabs>
          <w:tab w:val="left" w:pos="540"/>
          <w:tab w:val="left" w:pos="569"/>
        </w:tabs>
        <w:jc w:val="both"/>
        <w:rPr>
          <w:b/>
          <w:bCs/>
          <w:sz w:val="22"/>
          <w:szCs w:val="22"/>
        </w:rPr>
      </w:pPr>
      <w:r w:rsidRPr="00E87295">
        <w:rPr>
          <w:b/>
          <w:bCs/>
          <w:sz w:val="22"/>
          <w:szCs w:val="22"/>
        </w:rPr>
        <w:t xml:space="preserve">6.4. </w:t>
      </w:r>
      <w:r w:rsidR="00480FB1" w:rsidRPr="00E87295">
        <w:rPr>
          <w:b/>
          <w:bCs/>
          <w:sz w:val="22"/>
          <w:szCs w:val="22"/>
        </w:rPr>
        <w:tab/>
      </w:r>
      <w:proofErr w:type="spellStart"/>
      <w:r w:rsidRPr="00E87295">
        <w:rPr>
          <w:b/>
          <w:bCs/>
          <w:sz w:val="22"/>
          <w:szCs w:val="22"/>
        </w:rPr>
        <w:t>Posebne</w:t>
      </w:r>
      <w:proofErr w:type="spellEnd"/>
      <w:r w:rsidRPr="00E87295">
        <w:rPr>
          <w:b/>
          <w:bCs/>
          <w:sz w:val="22"/>
          <w:szCs w:val="22"/>
        </w:rPr>
        <w:t xml:space="preserve"> </w:t>
      </w:r>
      <w:proofErr w:type="spellStart"/>
      <w:r w:rsidRPr="00E87295">
        <w:rPr>
          <w:b/>
          <w:bCs/>
          <w:sz w:val="22"/>
          <w:szCs w:val="22"/>
        </w:rPr>
        <w:t>mjere</w:t>
      </w:r>
      <w:proofErr w:type="spellEnd"/>
      <w:r w:rsidRPr="00E87295">
        <w:rPr>
          <w:b/>
          <w:bCs/>
          <w:sz w:val="22"/>
          <w:szCs w:val="22"/>
        </w:rPr>
        <w:t xml:space="preserve"> </w:t>
      </w:r>
      <w:proofErr w:type="spellStart"/>
      <w:r w:rsidRPr="00E87295">
        <w:rPr>
          <w:b/>
          <w:bCs/>
          <w:sz w:val="22"/>
          <w:szCs w:val="22"/>
        </w:rPr>
        <w:t>upozorenja</w:t>
      </w:r>
      <w:proofErr w:type="spellEnd"/>
      <w:r w:rsidRPr="00E87295">
        <w:rPr>
          <w:b/>
          <w:bCs/>
          <w:sz w:val="22"/>
          <w:szCs w:val="22"/>
        </w:rPr>
        <w:t xml:space="preserve"> </w:t>
      </w:r>
      <w:proofErr w:type="spellStart"/>
      <w:r w:rsidRPr="00E87295">
        <w:rPr>
          <w:b/>
          <w:bCs/>
          <w:sz w:val="22"/>
          <w:szCs w:val="22"/>
        </w:rPr>
        <w:t>pri</w:t>
      </w:r>
      <w:proofErr w:type="spellEnd"/>
      <w:r w:rsidRPr="00E87295">
        <w:rPr>
          <w:b/>
          <w:bCs/>
          <w:sz w:val="22"/>
          <w:szCs w:val="22"/>
        </w:rPr>
        <w:t xml:space="preserve"> </w:t>
      </w:r>
      <w:proofErr w:type="spellStart"/>
      <w:r w:rsidRPr="00E87295">
        <w:rPr>
          <w:b/>
          <w:bCs/>
          <w:sz w:val="22"/>
          <w:szCs w:val="22"/>
        </w:rPr>
        <w:t>čuvanju</w:t>
      </w:r>
      <w:proofErr w:type="spellEnd"/>
      <w:r w:rsidR="00F8570A" w:rsidRPr="00E87295">
        <w:rPr>
          <w:b/>
          <w:bCs/>
          <w:sz w:val="22"/>
          <w:szCs w:val="22"/>
        </w:rPr>
        <w:t xml:space="preserve"> </w:t>
      </w:r>
      <w:proofErr w:type="spellStart"/>
      <w:r w:rsidR="00F8570A" w:rsidRPr="00E87295">
        <w:rPr>
          <w:b/>
          <w:bCs/>
          <w:sz w:val="22"/>
          <w:szCs w:val="22"/>
        </w:rPr>
        <w:t>lijeka</w:t>
      </w:r>
      <w:proofErr w:type="spellEnd"/>
    </w:p>
    <w:p w14:paraId="7448C440" w14:textId="77777777" w:rsidR="00EC2532" w:rsidRPr="00E87295" w:rsidRDefault="00EC2532">
      <w:pPr>
        <w:tabs>
          <w:tab w:val="left" w:pos="540"/>
          <w:tab w:val="left" w:pos="569"/>
        </w:tabs>
        <w:jc w:val="both"/>
        <w:rPr>
          <w:bCs/>
          <w:sz w:val="22"/>
          <w:szCs w:val="22"/>
        </w:rPr>
      </w:pPr>
    </w:p>
    <w:p w14:paraId="269DBF17" w14:textId="77777777" w:rsidR="007677A5" w:rsidRPr="00E87295" w:rsidRDefault="007677A5">
      <w:pPr>
        <w:ind w:left="20"/>
        <w:jc w:val="both"/>
        <w:rPr>
          <w:sz w:val="22"/>
          <w:szCs w:val="22"/>
          <w:lang w:val="sr-Latn-RS"/>
        </w:rPr>
      </w:pPr>
      <w:r w:rsidRPr="00E87295">
        <w:rPr>
          <w:sz w:val="22"/>
          <w:szCs w:val="22"/>
          <w:lang w:val="sr-Latn-RS"/>
        </w:rPr>
        <w:t>Čuvati u frižideru (na temperaturi od 2°C do 8°C). Ne zamrzavati.</w:t>
      </w:r>
    </w:p>
    <w:p w14:paraId="0CB8A84E" w14:textId="77777777" w:rsidR="007677A5" w:rsidRPr="00E87295" w:rsidRDefault="007677A5">
      <w:pPr>
        <w:pStyle w:val="Header"/>
        <w:tabs>
          <w:tab w:val="left" w:pos="284"/>
        </w:tabs>
        <w:spacing w:afterLines="80" w:after="192"/>
        <w:jc w:val="both"/>
        <w:rPr>
          <w:sz w:val="22"/>
          <w:szCs w:val="22"/>
          <w:lang w:val="sr-Latn-RS"/>
        </w:rPr>
      </w:pPr>
      <w:r w:rsidRPr="00E87295">
        <w:rPr>
          <w:sz w:val="22"/>
          <w:szCs w:val="22"/>
          <w:lang w:val="sr-Latn-RS"/>
        </w:rPr>
        <w:t>Napunjeni injekcioni špric čuvati u originalnom pakovanju, radi zaštite od svjetlosti.</w:t>
      </w:r>
    </w:p>
    <w:p w14:paraId="231D6EBC" w14:textId="77777777" w:rsidR="007677A5" w:rsidRPr="00E87295" w:rsidRDefault="007677A5">
      <w:pPr>
        <w:tabs>
          <w:tab w:val="left" w:pos="540"/>
          <w:tab w:val="left" w:pos="569"/>
        </w:tabs>
        <w:jc w:val="both"/>
        <w:rPr>
          <w:bCs/>
          <w:sz w:val="22"/>
          <w:szCs w:val="22"/>
        </w:rPr>
      </w:pPr>
    </w:p>
    <w:p w14:paraId="3B2DF731" w14:textId="77777777" w:rsidR="0072020E" w:rsidRPr="00E87295" w:rsidRDefault="0072020E">
      <w:pPr>
        <w:tabs>
          <w:tab w:val="left" w:pos="540"/>
          <w:tab w:val="left" w:pos="569"/>
        </w:tabs>
        <w:jc w:val="both"/>
        <w:rPr>
          <w:b/>
          <w:bCs/>
          <w:sz w:val="22"/>
          <w:szCs w:val="22"/>
        </w:rPr>
      </w:pPr>
      <w:r w:rsidRPr="00E87295">
        <w:rPr>
          <w:b/>
          <w:bCs/>
          <w:sz w:val="22"/>
          <w:szCs w:val="22"/>
        </w:rPr>
        <w:t xml:space="preserve">6.5. </w:t>
      </w:r>
      <w:r w:rsidR="00480FB1" w:rsidRPr="00E87295">
        <w:rPr>
          <w:b/>
          <w:bCs/>
          <w:sz w:val="22"/>
          <w:szCs w:val="22"/>
        </w:rPr>
        <w:tab/>
      </w:r>
      <w:proofErr w:type="spellStart"/>
      <w:r w:rsidR="002846DB" w:rsidRPr="00E87295">
        <w:rPr>
          <w:b/>
          <w:bCs/>
          <w:sz w:val="22"/>
          <w:szCs w:val="22"/>
        </w:rPr>
        <w:t>Vrsta</w:t>
      </w:r>
      <w:proofErr w:type="spellEnd"/>
      <w:r w:rsidR="002846DB" w:rsidRPr="00E87295">
        <w:rPr>
          <w:b/>
          <w:bCs/>
          <w:sz w:val="22"/>
          <w:szCs w:val="22"/>
        </w:rPr>
        <w:t xml:space="preserve"> </w:t>
      </w:r>
      <w:proofErr w:type="spellStart"/>
      <w:r w:rsidR="002846DB" w:rsidRPr="00E87295">
        <w:rPr>
          <w:b/>
          <w:bCs/>
          <w:sz w:val="22"/>
          <w:szCs w:val="22"/>
        </w:rPr>
        <w:t>i</w:t>
      </w:r>
      <w:proofErr w:type="spellEnd"/>
      <w:r w:rsidR="002846DB" w:rsidRPr="00E87295">
        <w:rPr>
          <w:b/>
          <w:bCs/>
          <w:sz w:val="22"/>
          <w:szCs w:val="22"/>
        </w:rPr>
        <w:t xml:space="preserve"> </w:t>
      </w:r>
      <w:proofErr w:type="spellStart"/>
      <w:r w:rsidR="002846DB" w:rsidRPr="00E87295">
        <w:rPr>
          <w:b/>
          <w:bCs/>
          <w:sz w:val="22"/>
          <w:szCs w:val="22"/>
        </w:rPr>
        <w:t>sadržaj</w:t>
      </w:r>
      <w:proofErr w:type="spellEnd"/>
      <w:r w:rsidR="002846DB" w:rsidRPr="00E87295">
        <w:rPr>
          <w:b/>
          <w:bCs/>
          <w:sz w:val="22"/>
          <w:szCs w:val="22"/>
        </w:rPr>
        <w:t xml:space="preserve"> </w:t>
      </w:r>
      <w:proofErr w:type="spellStart"/>
      <w:r w:rsidR="00F8570A" w:rsidRPr="00E87295">
        <w:rPr>
          <w:b/>
          <w:bCs/>
          <w:sz w:val="22"/>
          <w:szCs w:val="22"/>
        </w:rPr>
        <w:t>pakovanja</w:t>
      </w:r>
      <w:proofErr w:type="spellEnd"/>
      <w:r w:rsidR="00C06864" w:rsidRPr="00E87295">
        <w:rPr>
          <w:b/>
          <w:bCs/>
          <w:sz w:val="22"/>
          <w:szCs w:val="22"/>
        </w:rPr>
        <w:t xml:space="preserve"> </w:t>
      </w:r>
    </w:p>
    <w:p w14:paraId="6D70E4EB" w14:textId="77777777" w:rsidR="007677A5" w:rsidRPr="00E87295" w:rsidRDefault="007677A5">
      <w:pPr>
        <w:tabs>
          <w:tab w:val="left" w:pos="540"/>
          <w:tab w:val="left" w:pos="569"/>
        </w:tabs>
        <w:jc w:val="both"/>
        <w:rPr>
          <w:bCs/>
          <w:sz w:val="22"/>
          <w:szCs w:val="22"/>
        </w:rPr>
      </w:pPr>
    </w:p>
    <w:p w14:paraId="1F0B0E93" w14:textId="77777777" w:rsidR="007677A5" w:rsidRPr="00E87295" w:rsidRDefault="007677A5">
      <w:pPr>
        <w:ind w:left="20"/>
        <w:jc w:val="both"/>
        <w:rPr>
          <w:sz w:val="22"/>
          <w:szCs w:val="22"/>
          <w:lang w:val="sr-Latn-RS"/>
        </w:rPr>
      </w:pPr>
      <w:r w:rsidRPr="00E87295">
        <w:rPr>
          <w:sz w:val="22"/>
          <w:szCs w:val="22"/>
          <w:lang w:val="sr-Latn-RS"/>
        </w:rPr>
        <w:t xml:space="preserve">1 ml rastvora u </w:t>
      </w:r>
      <w:r w:rsidR="00F46C8C" w:rsidRPr="00E87295">
        <w:rPr>
          <w:sz w:val="22"/>
          <w:szCs w:val="22"/>
          <w:lang w:val="sr-Latn-RS"/>
        </w:rPr>
        <w:t xml:space="preserve">napunjenom </w:t>
      </w:r>
      <w:r w:rsidR="00E07FCB" w:rsidRPr="00E87295">
        <w:rPr>
          <w:sz w:val="22"/>
          <w:szCs w:val="22"/>
          <w:lang w:val="sr-Latn-RS"/>
        </w:rPr>
        <w:t xml:space="preserve">injekcionom </w:t>
      </w:r>
      <w:r w:rsidRPr="00E87295">
        <w:rPr>
          <w:sz w:val="22"/>
          <w:szCs w:val="22"/>
          <w:lang w:val="sr-Latn-RS"/>
        </w:rPr>
        <w:t>staklenom špricu sa pričvršćenom iglom i zaštitnikom za iglu u automatskom štitniku za iglu.</w:t>
      </w:r>
    </w:p>
    <w:p w14:paraId="063AD2FB" w14:textId="002BB4B7" w:rsidR="007677A5" w:rsidRPr="00E87295" w:rsidRDefault="007677A5">
      <w:pPr>
        <w:spacing w:after="208"/>
        <w:jc w:val="both"/>
        <w:rPr>
          <w:sz w:val="22"/>
          <w:szCs w:val="22"/>
          <w:lang w:val="sr-Latn-RS"/>
        </w:rPr>
      </w:pPr>
      <w:r w:rsidRPr="00E87295">
        <w:rPr>
          <w:sz w:val="22"/>
          <w:szCs w:val="22"/>
          <w:lang w:val="sr-Latn-RS"/>
        </w:rPr>
        <w:t>Lijek Tremfya je dostupan u pakovanju od jednog napunjenog injekcionog šprica.</w:t>
      </w:r>
    </w:p>
    <w:p w14:paraId="19BC95CB" w14:textId="77777777" w:rsidR="002846DB" w:rsidRPr="00E87295" w:rsidRDefault="0072020E">
      <w:pPr>
        <w:tabs>
          <w:tab w:val="left" w:pos="540"/>
          <w:tab w:val="left" w:pos="569"/>
        </w:tabs>
        <w:jc w:val="both"/>
        <w:rPr>
          <w:b/>
          <w:bCs/>
          <w:sz w:val="22"/>
          <w:szCs w:val="22"/>
        </w:rPr>
      </w:pPr>
      <w:r w:rsidRPr="00E87295">
        <w:rPr>
          <w:b/>
          <w:bCs/>
          <w:sz w:val="22"/>
          <w:szCs w:val="22"/>
        </w:rPr>
        <w:t xml:space="preserve">6.6. </w:t>
      </w:r>
      <w:r w:rsidR="00480FB1" w:rsidRPr="00E87295">
        <w:rPr>
          <w:b/>
          <w:bCs/>
          <w:sz w:val="22"/>
          <w:szCs w:val="22"/>
        </w:rPr>
        <w:tab/>
      </w:r>
      <w:proofErr w:type="spellStart"/>
      <w:r w:rsidRPr="00E87295">
        <w:rPr>
          <w:b/>
          <w:bCs/>
          <w:color w:val="000000"/>
          <w:sz w:val="22"/>
          <w:szCs w:val="22"/>
        </w:rPr>
        <w:t>Posebne</w:t>
      </w:r>
      <w:proofErr w:type="spellEnd"/>
      <w:r w:rsidRPr="00E87295">
        <w:rPr>
          <w:b/>
          <w:bCs/>
          <w:color w:val="000000"/>
          <w:sz w:val="22"/>
          <w:szCs w:val="22"/>
        </w:rPr>
        <w:t xml:space="preserve"> </w:t>
      </w:r>
      <w:proofErr w:type="spellStart"/>
      <w:r w:rsidRPr="00E87295">
        <w:rPr>
          <w:b/>
          <w:bCs/>
          <w:color w:val="000000"/>
          <w:sz w:val="22"/>
          <w:szCs w:val="22"/>
        </w:rPr>
        <w:t>mjere</w:t>
      </w:r>
      <w:proofErr w:type="spellEnd"/>
      <w:r w:rsidRPr="00E87295">
        <w:rPr>
          <w:b/>
          <w:bCs/>
          <w:color w:val="000000"/>
          <w:sz w:val="22"/>
          <w:szCs w:val="22"/>
        </w:rPr>
        <w:t xml:space="preserve"> </w:t>
      </w:r>
      <w:proofErr w:type="spellStart"/>
      <w:r w:rsidRPr="00E87295">
        <w:rPr>
          <w:b/>
          <w:bCs/>
          <w:color w:val="000000"/>
          <w:sz w:val="22"/>
          <w:szCs w:val="22"/>
        </w:rPr>
        <w:t>opreza</w:t>
      </w:r>
      <w:proofErr w:type="spellEnd"/>
      <w:r w:rsidRPr="00E87295">
        <w:rPr>
          <w:b/>
          <w:bCs/>
          <w:color w:val="000000"/>
          <w:sz w:val="22"/>
          <w:szCs w:val="22"/>
        </w:rPr>
        <w:t xml:space="preserve"> </w:t>
      </w:r>
      <w:proofErr w:type="spellStart"/>
      <w:r w:rsidRPr="00E87295">
        <w:rPr>
          <w:b/>
          <w:bCs/>
          <w:color w:val="000000"/>
          <w:sz w:val="22"/>
          <w:szCs w:val="22"/>
        </w:rPr>
        <w:t>pri</w:t>
      </w:r>
      <w:proofErr w:type="spellEnd"/>
      <w:r w:rsidRPr="00E87295">
        <w:rPr>
          <w:b/>
          <w:bCs/>
          <w:color w:val="000000"/>
          <w:sz w:val="22"/>
          <w:szCs w:val="22"/>
        </w:rPr>
        <w:t xml:space="preserve"> </w:t>
      </w:r>
      <w:proofErr w:type="spellStart"/>
      <w:r w:rsidRPr="00E87295">
        <w:rPr>
          <w:b/>
          <w:bCs/>
          <w:color w:val="000000"/>
          <w:sz w:val="22"/>
          <w:szCs w:val="22"/>
        </w:rPr>
        <w:t>odlaganju</w:t>
      </w:r>
      <w:proofErr w:type="spellEnd"/>
      <w:r w:rsidRPr="00E87295">
        <w:rPr>
          <w:b/>
          <w:bCs/>
          <w:color w:val="000000"/>
          <w:sz w:val="22"/>
          <w:szCs w:val="22"/>
        </w:rPr>
        <w:t xml:space="preserve"> </w:t>
      </w:r>
      <w:proofErr w:type="spellStart"/>
      <w:r w:rsidRPr="00E87295">
        <w:rPr>
          <w:b/>
          <w:bCs/>
          <w:color w:val="000000"/>
          <w:sz w:val="22"/>
          <w:szCs w:val="22"/>
        </w:rPr>
        <w:t>materijala</w:t>
      </w:r>
      <w:proofErr w:type="spellEnd"/>
      <w:r w:rsidRPr="00E87295">
        <w:rPr>
          <w:b/>
          <w:bCs/>
          <w:color w:val="000000"/>
          <w:sz w:val="22"/>
          <w:szCs w:val="22"/>
        </w:rPr>
        <w:t xml:space="preserve"> </w:t>
      </w:r>
      <w:proofErr w:type="spellStart"/>
      <w:r w:rsidRPr="00E87295">
        <w:rPr>
          <w:b/>
          <w:bCs/>
          <w:color w:val="000000"/>
          <w:sz w:val="22"/>
          <w:szCs w:val="22"/>
        </w:rPr>
        <w:t>koji</w:t>
      </w:r>
      <w:proofErr w:type="spellEnd"/>
      <w:r w:rsidRPr="00E87295">
        <w:rPr>
          <w:b/>
          <w:bCs/>
          <w:color w:val="000000"/>
          <w:sz w:val="22"/>
          <w:szCs w:val="22"/>
        </w:rPr>
        <w:t xml:space="preserve"> </w:t>
      </w:r>
      <w:proofErr w:type="spellStart"/>
      <w:r w:rsidRPr="00E87295">
        <w:rPr>
          <w:b/>
          <w:bCs/>
          <w:color w:val="000000"/>
          <w:sz w:val="22"/>
          <w:szCs w:val="22"/>
        </w:rPr>
        <w:t>treba</w:t>
      </w:r>
      <w:proofErr w:type="spellEnd"/>
      <w:r w:rsidRPr="00E87295">
        <w:rPr>
          <w:b/>
          <w:bCs/>
          <w:color w:val="000000"/>
          <w:sz w:val="22"/>
          <w:szCs w:val="22"/>
        </w:rPr>
        <w:t xml:space="preserve"> </w:t>
      </w:r>
      <w:proofErr w:type="spellStart"/>
      <w:r w:rsidRPr="00E87295">
        <w:rPr>
          <w:b/>
          <w:bCs/>
          <w:color w:val="000000"/>
          <w:sz w:val="22"/>
          <w:szCs w:val="22"/>
        </w:rPr>
        <w:t>odbaciti</w:t>
      </w:r>
      <w:proofErr w:type="spellEnd"/>
      <w:r w:rsidRPr="00E87295">
        <w:rPr>
          <w:b/>
          <w:bCs/>
          <w:color w:val="000000"/>
          <w:sz w:val="22"/>
          <w:szCs w:val="22"/>
        </w:rPr>
        <w:t xml:space="preserve"> </w:t>
      </w:r>
      <w:proofErr w:type="spellStart"/>
      <w:r w:rsidRPr="00E87295">
        <w:rPr>
          <w:b/>
          <w:bCs/>
          <w:color w:val="000000"/>
          <w:sz w:val="22"/>
          <w:szCs w:val="22"/>
        </w:rPr>
        <w:t>nakon</w:t>
      </w:r>
      <w:proofErr w:type="spellEnd"/>
      <w:r w:rsidRPr="00E87295">
        <w:rPr>
          <w:b/>
          <w:bCs/>
          <w:color w:val="000000"/>
          <w:sz w:val="22"/>
          <w:szCs w:val="22"/>
        </w:rPr>
        <w:t xml:space="preserve"> </w:t>
      </w:r>
      <w:proofErr w:type="spellStart"/>
      <w:r w:rsidRPr="00E87295">
        <w:rPr>
          <w:b/>
          <w:bCs/>
          <w:color w:val="000000"/>
          <w:sz w:val="22"/>
          <w:szCs w:val="22"/>
        </w:rPr>
        <w:t>primjene</w:t>
      </w:r>
      <w:proofErr w:type="spellEnd"/>
      <w:r w:rsidRPr="00E87295">
        <w:rPr>
          <w:b/>
          <w:bCs/>
          <w:color w:val="000000"/>
          <w:sz w:val="22"/>
          <w:szCs w:val="22"/>
        </w:rPr>
        <w:t xml:space="preserve"> </w:t>
      </w:r>
      <w:proofErr w:type="spellStart"/>
      <w:r w:rsidRPr="00E87295">
        <w:rPr>
          <w:b/>
          <w:bCs/>
          <w:color w:val="000000"/>
          <w:sz w:val="22"/>
          <w:szCs w:val="22"/>
        </w:rPr>
        <w:t>lijeka</w:t>
      </w:r>
      <w:proofErr w:type="spellEnd"/>
      <w:r w:rsidRPr="00E87295">
        <w:rPr>
          <w:b/>
          <w:bCs/>
          <w:sz w:val="22"/>
          <w:szCs w:val="22"/>
        </w:rPr>
        <w:t xml:space="preserve"> </w:t>
      </w:r>
      <w:r w:rsidR="00310F03" w:rsidRPr="00E87295">
        <w:rPr>
          <w:b/>
          <w:bCs/>
          <w:sz w:val="22"/>
          <w:szCs w:val="22"/>
        </w:rPr>
        <w:t>(</w:t>
      </w:r>
      <w:proofErr w:type="spellStart"/>
      <w:r w:rsidR="00310F03" w:rsidRPr="00E87295">
        <w:rPr>
          <w:b/>
          <w:bCs/>
          <w:sz w:val="22"/>
          <w:szCs w:val="22"/>
        </w:rPr>
        <w:t>i</w:t>
      </w:r>
      <w:proofErr w:type="spellEnd"/>
      <w:r w:rsidR="00310F03" w:rsidRPr="00E87295">
        <w:rPr>
          <w:b/>
          <w:bCs/>
          <w:sz w:val="22"/>
          <w:szCs w:val="22"/>
        </w:rPr>
        <w:t xml:space="preserve"> </w:t>
      </w:r>
      <w:proofErr w:type="spellStart"/>
      <w:r w:rsidR="00310F03" w:rsidRPr="00E87295">
        <w:rPr>
          <w:b/>
          <w:bCs/>
          <w:sz w:val="22"/>
          <w:szCs w:val="22"/>
        </w:rPr>
        <w:t>druga</w:t>
      </w:r>
      <w:proofErr w:type="spellEnd"/>
      <w:r w:rsidR="00310F03" w:rsidRPr="00E87295">
        <w:rPr>
          <w:b/>
          <w:bCs/>
          <w:sz w:val="22"/>
          <w:szCs w:val="22"/>
        </w:rPr>
        <w:t xml:space="preserve"> </w:t>
      </w:r>
      <w:proofErr w:type="spellStart"/>
      <w:r w:rsidR="00310F03" w:rsidRPr="00E87295">
        <w:rPr>
          <w:b/>
          <w:bCs/>
          <w:sz w:val="22"/>
          <w:szCs w:val="22"/>
        </w:rPr>
        <w:t>uputs</w:t>
      </w:r>
      <w:r w:rsidR="00D14E24" w:rsidRPr="00E87295">
        <w:rPr>
          <w:b/>
          <w:bCs/>
          <w:sz w:val="22"/>
          <w:szCs w:val="22"/>
        </w:rPr>
        <w:t>t</w:t>
      </w:r>
      <w:r w:rsidR="00310F03" w:rsidRPr="00E87295">
        <w:rPr>
          <w:b/>
          <w:bCs/>
          <w:sz w:val="22"/>
          <w:szCs w:val="22"/>
        </w:rPr>
        <w:t>va</w:t>
      </w:r>
      <w:proofErr w:type="spellEnd"/>
      <w:r w:rsidR="00310F03" w:rsidRPr="00E87295">
        <w:rPr>
          <w:b/>
          <w:bCs/>
          <w:sz w:val="22"/>
          <w:szCs w:val="22"/>
        </w:rPr>
        <w:t xml:space="preserve"> </w:t>
      </w:r>
      <w:proofErr w:type="spellStart"/>
      <w:r w:rsidR="00310F03" w:rsidRPr="00E87295">
        <w:rPr>
          <w:b/>
          <w:bCs/>
          <w:sz w:val="22"/>
          <w:szCs w:val="22"/>
        </w:rPr>
        <w:t>za</w:t>
      </w:r>
      <w:proofErr w:type="spellEnd"/>
      <w:r w:rsidR="00310F03" w:rsidRPr="00E87295">
        <w:rPr>
          <w:b/>
          <w:bCs/>
          <w:sz w:val="22"/>
          <w:szCs w:val="22"/>
        </w:rPr>
        <w:t xml:space="preserve"> </w:t>
      </w:r>
      <w:proofErr w:type="spellStart"/>
      <w:r w:rsidR="00310F03" w:rsidRPr="00E87295">
        <w:rPr>
          <w:b/>
          <w:bCs/>
          <w:sz w:val="22"/>
          <w:szCs w:val="22"/>
        </w:rPr>
        <w:t>rukovanje</w:t>
      </w:r>
      <w:proofErr w:type="spellEnd"/>
      <w:r w:rsidR="00310F03" w:rsidRPr="00E87295">
        <w:rPr>
          <w:b/>
          <w:bCs/>
          <w:sz w:val="22"/>
          <w:szCs w:val="22"/>
        </w:rPr>
        <w:t xml:space="preserve"> </w:t>
      </w:r>
      <w:proofErr w:type="spellStart"/>
      <w:r w:rsidR="00310F03" w:rsidRPr="00E87295">
        <w:rPr>
          <w:b/>
          <w:bCs/>
          <w:sz w:val="22"/>
          <w:szCs w:val="22"/>
        </w:rPr>
        <w:t>lijekom</w:t>
      </w:r>
      <w:proofErr w:type="spellEnd"/>
      <w:r w:rsidR="00310F03" w:rsidRPr="00E87295">
        <w:rPr>
          <w:b/>
          <w:bCs/>
          <w:sz w:val="22"/>
          <w:szCs w:val="22"/>
        </w:rPr>
        <w:t xml:space="preserve">) </w:t>
      </w:r>
    </w:p>
    <w:p w14:paraId="72CB3F78" w14:textId="77777777" w:rsidR="00B66A70" w:rsidRPr="00E87295" w:rsidRDefault="00B66A70">
      <w:pPr>
        <w:tabs>
          <w:tab w:val="left" w:pos="540"/>
          <w:tab w:val="left" w:pos="569"/>
        </w:tabs>
        <w:jc w:val="both"/>
        <w:rPr>
          <w:b/>
          <w:bCs/>
          <w:sz w:val="22"/>
          <w:szCs w:val="22"/>
        </w:rPr>
      </w:pPr>
    </w:p>
    <w:p w14:paraId="7A4EDDAB" w14:textId="1571C402" w:rsidR="007677A5" w:rsidRPr="00E87295" w:rsidRDefault="007677A5">
      <w:pPr>
        <w:spacing w:after="184"/>
        <w:ind w:left="20"/>
        <w:jc w:val="both"/>
        <w:rPr>
          <w:sz w:val="22"/>
          <w:szCs w:val="22"/>
          <w:lang w:val="sr-Latn-RS"/>
        </w:rPr>
      </w:pPr>
      <w:r w:rsidRPr="00E87295">
        <w:rPr>
          <w:sz w:val="22"/>
          <w:szCs w:val="22"/>
          <w:lang w:val="sr-Latn-RS"/>
        </w:rPr>
        <w:lastRenderedPageBreak/>
        <w:t xml:space="preserve">Poslije vađenja iz frižidera napunjeni </w:t>
      </w:r>
      <w:r w:rsidR="00E07FCB" w:rsidRPr="00E87295">
        <w:rPr>
          <w:sz w:val="22"/>
          <w:szCs w:val="22"/>
          <w:lang w:val="sr-Latn-RS"/>
        </w:rPr>
        <w:t xml:space="preserve">injekcioni </w:t>
      </w:r>
      <w:r w:rsidRPr="00E87295">
        <w:rPr>
          <w:sz w:val="22"/>
          <w:szCs w:val="22"/>
          <w:lang w:val="sr-Latn-RS"/>
        </w:rPr>
        <w:t xml:space="preserve">špric treba ostaviti u kutiji i pričekati 30 minuta da se ugrije do sobne temperature prije nego što se ubrizga lijek Tremfya. </w:t>
      </w:r>
      <w:r w:rsidR="00833259" w:rsidRPr="00E87295">
        <w:rPr>
          <w:sz w:val="22"/>
          <w:szCs w:val="22"/>
          <w:lang w:val="sr-Latn-RS"/>
        </w:rPr>
        <w:t>N</w:t>
      </w:r>
      <w:r w:rsidRPr="00E87295">
        <w:rPr>
          <w:sz w:val="22"/>
          <w:szCs w:val="22"/>
          <w:lang w:val="sr-Latn-RS"/>
        </w:rPr>
        <w:t>apunjen</w:t>
      </w:r>
      <w:r w:rsidR="00833259" w:rsidRPr="00E87295">
        <w:rPr>
          <w:sz w:val="22"/>
          <w:szCs w:val="22"/>
          <w:lang w:val="sr-Latn-RS"/>
        </w:rPr>
        <w:t>i</w:t>
      </w:r>
      <w:r w:rsidRPr="00E87295">
        <w:rPr>
          <w:sz w:val="22"/>
          <w:szCs w:val="22"/>
          <w:lang w:val="sr-Latn-RS"/>
        </w:rPr>
        <w:t xml:space="preserve"> injekcion</w:t>
      </w:r>
      <w:r w:rsidR="00833259" w:rsidRPr="00E87295">
        <w:rPr>
          <w:sz w:val="22"/>
          <w:szCs w:val="22"/>
          <w:lang w:val="sr-Latn-RS"/>
        </w:rPr>
        <w:t>i</w:t>
      </w:r>
      <w:r w:rsidRPr="00E87295">
        <w:rPr>
          <w:sz w:val="22"/>
          <w:szCs w:val="22"/>
          <w:lang w:val="sr-Latn-RS"/>
        </w:rPr>
        <w:t xml:space="preserve"> špric ne treba mućkati</w:t>
      </w:r>
      <w:r w:rsidR="00833259" w:rsidRPr="00E87295">
        <w:rPr>
          <w:sz w:val="22"/>
          <w:szCs w:val="22"/>
          <w:lang w:val="sr-Latn-RS"/>
        </w:rPr>
        <w:t>.</w:t>
      </w:r>
    </w:p>
    <w:p w14:paraId="3E9AEBB9" w14:textId="48793AB9" w:rsidR="007677A5" w:rsidRPr="00E87295" w:rsidRDefault="007677A5">
      <w:pPr>
        <w:spacing w:after="180"/>
        <w:ind w:left="20"/>
        <w:jc w:val="both"/>
        <w:rPr>
          <w:sz w:val="22"/>
          <w:szCs w:val="22"/>
          <w:lang w:val="sr-Latn-RS"/>
        </w:rPr>
      </w:pPr>
      <w:r w:rsidRPr="00E87295">
        <w:rPr>
          <w:sz w:val="22"/>
          <w:szCs w:val="22"/>
          <w:lang w:val="sr-Latn-RS"/>
        </w:rPr>
        <w:t xml:space="preserve">Preporučuje se da se napunjeni </w:t>
      </w:r>
      <w:r w:rsidR="00E07FCB" w:rsidRPr="00E87295">
        <w:rPr>
          <w:sz w:val="22"/>
          <w:szCs w:val="22"/>
          <w:lang w:val="sr-Latn-RS"/>
        </w:rPr>
        <w:t xml:space="preserve">injekcioni </w:t>
      </w:r>
      <w:r w:rsidRPr="00E87295">
        <w:rPr>
          <w:sz w:val="22"/>
          <w:szCs w:val="22"/>
          <w:lang w:val="sr-Latn-RS"/>
        </w:rPr>
        <w:t>špric pažljivo pregleda prije primjene. Rastvor treba da bude bistra i bezbojna do sv</w:t>
      </w:r>
      <w:r w:rsidR="00E95182" w:rsidRPr="00E87295">
        <w:rPr>
          <w:sz w:val="22"/>
          <w:szCs w:val="22"/>
          <w:lang w:val="sr-Latn-RS"/>
        </w:rPr>
        <w:t>ij</w:t>
      </w:r>
      <w:r w:rsidRPr="00E87295">
        <w:rPr>
          <w:sz w:val="22"/>
          <w:szCs w:val="22"/>
          <w:lang w:val="sr-Latn-RS"/>
        </w:rPr>
        <w:t>etložuta tečnost, a smije da sadrži i nekoliko malih bijelih ili prozirnih čestica. Lijek Tremfya se ne treba prim</w:t>
      </w:r>
      <w:r w:rsidR="00E95182" w:rsidRPr="00E87295">
        <w:rPr>
          <w:sz w:val="22"/>
          <w:szCs w:val="22"/>
          <w:lang w:val="sr-Latn-RS"/>
        </w:rPr>
        <w:t>i</w:t>
      </w:r>
      <w:r w:rsidRPr="00E87295">
        <w:rPr>
          <w:sz w:val="22"/>
          <w:szCs w:val="22"/>
          <w:lang w:val="sr-Latn-RS"/>
        </w:rPr>
        <w:t>jeniti ako je rastvor mutan, ako je prom</w:t>
      </w:r>
      <w:r w:rsidR="00E95182" w:rsidRPr="00E87295">
        <w:rPr>
          <w:sz w:val="22"/>
          <w:szCs w:val="22"/>
          <w:lang w:val="sr-Latn-RS"/>
        </w:rPr>
        <w:t>i</w:t>
      </w:r>
      <w:r w:rsidRPr="00E87295">
        <w:rPr>
          <w:sz w:val="22"/>
          <w:szCs w:val="22"/>
          <w:lang w:val="sr-Latn-RS"/>
        </w:rPr>
        <w:t>jenio boju ili ako sadrži velike čestice.</w:t>
      </w:r>
    </w:p>
    <w:p w14:paraId="5851E2C2" w14:textId="6DCE954F" w:rsidR="007677A5" w:rsidRPr="00E87295" w:rsidRDefault="007677A5">
      <w:pPr>
        <w:spacing w:after="208"/>
        <w:ind w:left="20"/>
        <w:jc w:val="both"/>
        <w:rPr>
          <w:sz w:val="22"/>
          <w:szCs w:val="22"/>
          <w:lang w:val="sr-Latn-RS"/>
        </w:rPr>
      </w:pPr>
      <w:r w:rsidRPr="00E87295">
        <w:rPr>
          <w:sz w:val="22"/>
          <w:szCs w:val="22"/>
          <w:lang w:val="sr-Latn-RS"/>
        </w:rPr>
        <w:t>U svakoj kutiji lijeka Tremfya nalaze se “Instrukcije za primjenu lijeka“, u kojima se detaljno opisuje postupak pripreme i primjene lijeka napunjenim injekcionim špricem.</w:t>
      </w:r>
    </w:p>
    <w:p w14:paraId="5875226A" w14:textId="77777777" w:rsidR="007677A5" w:rsidRPr="00E87295" w:rsidRDefault="007677A5">
      <w:pPr>
        <w:pStyle w:val="Header"/>
        <w:tabs>
          <w:tab w:val="left" w:pos="284"/>
        </w:tabs>
        <w:spacing w:afterLines="80" w:after="192"/>
        <w:jc w:val="both"/>
        <w:rPr>
          <w:sz w:val="22"/>
          <w:szCs w:val="22"/>
          <w:lang w:val="sr-Latn-RS"/>
        </w:rPr>
      </w:pPr>
      <w:r w:rsidRPr="00E87295">
        <w:rPr>
          <w:sz w:val="22"/>
          <w:szCs w:val="22"/>
          <w:lang w:val="sr-Latn-RS"/>
        </w:rPr>
        <w:t>Svu neiskorišćenu količinu lijeka ili otpadnog materijala nakon njegove upotrebe treba ukloniti u skladu sa važećim propisima.</w:t>
      </w:r>
    </w:p>
    <w:p w14:paraId="20B6129A" w14:textId="77777777" w:rsidR="0072020E" w:rsidRPr="00E87295" w:rsidRDefault="0072020E">
      <w:pPr>
        <w:tabs>
          <w:tab w:val="left" w:pos="540"/>
          <w:tab w:val="left" w:pos="569"/>
        </w:tabs>
        <w:jc w:val="both"/>
        <w:rPr>
          <w:bCs/>
          <w:sz w:val="22"/>
          <w:szCs w:val="22"/>
        </w:rPr>
      </w:pPr>
    </w:p>
    <w:p w14:paraId="03F46C79" w14:textId="77777777" w:rsidR="00F8570A" w:rsidRPr="00E87295" w:rsidRDefault="0072020E">
      <w:pPr>
        <w:tabs>
          <w:tab w:val="left" w:pos="540"/>
          <w:tab w:val="left" w:pos="569"/>
        </w:tabs>
        <w:jc w:val="both"/>
        <w:rPr>
          <w:b/>
          <w:bCs/>
          <w:sz w:val="22"/>
          <w:szCs w:val="22"/>
        </w:rPr>
      </w:pPr>
      <w:r w:rsidRPr="00E87295">
        <w:rPr>
          <w:b/>
          <w:bCs/>
          <w:sz w:val="22"/>
          <w:szCs w:val="22"/>
        </w:rPr>
        <w:t xml:space="preserve">7. </w:t>
      </w:r>
      <w:r w:rsidR="00480FB1" w:rsidRPr="00E87295">
        <w:rPr>
          <w:b/>
          <w:bCs/>
          <w:sz w:val="22"/>
          <w:szCs w:val="22"/>
        </w:rPr>
        <w:tab/>
      </w:r>
      <w:r w:rsidRPr="00E87295">
        <w:rPr>
          <w:b/>
          <w:bCs/>
          <w:sz w:val="22"/>
          <w:szCs w:val="22"/>
        </w:rPr>
        <w:t>NOSILAC DOZVOLE</w:t>
      </w:r>
      <w:r w:rsidR="00483928" w:rsidRPr="00E87295">
        <w:rPr>
          <w:b/>
          <w:bCs/>
          <w:sz w:val="22"/>
          <w:szCs w:val="22"/>
        </w:rPr>
        <w:t xml:space="preserve"> </w:t>
      </w:r>
    </w:p>
    <w:p w14:paraId="52F21F38" w14:textId="77777777" w:rsidR="00C61BE0" w:rsidRPr="00E87295" w:rsidRDefault="00C61BE0">
      <w:pPr>
        <w:tabs>
          <w:tab w:val="left" w:pos="540"/>
          <w:tab w:val="left" w:pos="569"/>
        </w:tabs>
        <w:jc w:val="both"/>
        <w:rPr>
          <w:bCs/>
          <w:sz w:val="22"/>
          <w:szCs w:val="22"/>
        </w:rPr>
      </w:pPr>
    </w:p>
    <w:p w14:paraId="257CEFDB" w14:textId="77777777" w:rsidR="006876BF" w:rsidRPr="00E87295" w:rsidRDefault="006876BF" w:rsidP="006876BF">
      <w:pPr>
        <w:tabs>
          <w:tab w:val="left" w:pos="540"/>
          <w:tab w:val="left" w:pos="569"/>
        </w:tabs>
        <w:rPr>
          <w:bCs/>
          <w:sz w:val="22"/>
          <w:szCs w:val="22"/>
          <w:lang w:val="de-DE"/>
        </w:rPr>
      </w:pPr>
      <w:r w:rsidRPr="00E87295">
        <w:rPr>
          <w:bCs/>
          <w:sz w:val="22"/>
          <w:szCs w:val="22"/>
          <w:lang w:val="de-DE"/>
        </w:rPr>
        <w:t xml:space="preserve">Glosarij d.o.o. </w:t>
      </w:r>
    </w:p>
    <w:p w14:paraId="450A67FE" w14:textId="77777777" w:rsidR="006876BF" w:rsidRPr="00E87295" w:rsidRDefault="006876BF" w:rsidP="006876BF">
      <w:pPr>
        <w:tabs>
          <w:tab w:val="left" w:pos="540"/>
          <w:tab w:val="left" w:pos="569"/>
        </w:tabs>
        <w:rPr>
          <w:bCs/>
          <w:sz w:val="22"/>
          <w:szCs w:val="22"/>
          <w:lang w:val="de-DE"/>
        </w:rPr>
      </w:pPr>
      <w:r w:rsidRPr="00E87295">
        <w:rPr>
          <w:bCs/>
          <w:sz w:val="22"/>
          <w:szCs w:val="22"/>
          <w:lang w:val="de-DE"/>
        </w:rPr>
        <w:t>Vojislavljevića 76, 81000 Podgorica, Crna Gora</w:t>
      </w:r>
    </w:p>
    <w:p w14:paraId="03DCF015" w14:textId="77777777" w:rsidR="00C37FD7" w:rsidRPr="00E87295" w:rsidRDefault="00C37FD7">
      <w:pPr>
        <w:tabs>
          <w:tab w:val="left" w:pos="540"/>
          <w:tab w:val="left" w:pos="569"/>
        </w:tabs>
        <w:jc w:val="both"/>
        <w:rPr>
          <w:bCs/>
          <w:sz w:val="22"/>
          <w:szCs w:val="22"/>
        </w:rPr>
      </w:pPr>
    </w:p>
    <w:p w14:paraId="4DF2FF37" w14:textId="77777777" w:rsidR="0072020E" w:rsidRPr="00E87295" w:rsidRDefault="0072020E">
      <w:pPr>
        <w:tabs>
          <w:tab w:val="left" w:pos="540"/>
          <w:tab w:val="left" w:pos="569"/>
        </w:tabs>
        <w:jc w:val="both"/>
        <w:rPr>
          <w:b/>
          <w:bCs/>
          <w:sz w:val="22"/>
          <w:szCs w:val="22"/>
        </w:rPr>
      </w:pPr>
      <w:r w:rsidRPr="00E87295">
        <w:rPr>
          <w:b/>
          <w:bCs/>
          <w:sz w:val="22"/>
          <w:szCs w:val="22"/>
        </w:rPr>
        <w:t xml:space="preserve">8. </w:t>
      </w:r>
      <w:r w:rsidR="00480FB1" w:rsidRPr="00E87295">
        <w:rPr>
          <w:b/>
          <w:bCs/>
          <w:sz w:val="22"/>
          <w:szCs w:val="22"/>
        </w:rPr>
        <w:tab/>
      </w:r>
      <w:r w:rsidRPr="00E87295">
        <w:rPr>
          <w:b/>
          <w:bCs/>
          <w:sz w:val="22"/>
          <w:szCs w:val="22"/>
        </w:rPr>
        <w:t>BROJ DOZVOLE</w:t>
      </w:r>
      <w:r w:rsidR="008A6D43" w:rsidRPr="00E87295">
        <w:rPr>
          <w:b/>
          <w:bCs/>
          <w:sz w:val="22"/>
          <w:szCs w:val="22"/>
        </w:rPr>
        <w:t xml:space="preserve"> ZA STAVLJANJE LIJEKA U PROMET</w:t>
      </w:r>
    </w:p>
    <w:p w14:paraId="7E35B38C" w14:textId="77777777" w:rsidR="0072020E" w:rsidRPr="00E87295" w:rsidRDefault="0072020E">
      <w:pPr>
        <w:tabs>
          <w:tab w:val="left" w:pos="540"/>
          <w:tab w:val="left" w:pos="569"/>
        </w:tabs>
        <w:jc w:val="both"/>
        <w:rPr>
          <w:bCs/>
          <w:sz w:val="22"/>
          <w:szCs w:val="22"/>
        </w:rPr>
      </w:pPr>
    </w:p>
    <w:p w14:paraId="6D360881" w14:textId="5D007582" w:rsidR="00F45F77" w:rsidRPr="00E87295" w:rsidRDefault="00D53FE0">
      <w:pPr>
        <w:tabs>
          <w:tab w:val="left" w:pos="540"/>
          <w:tab w:val="left" w:pos="569"/>
        </w:tabs>
        <w:jc w:val="both"/>
        <w:rPr>
          <w:sz w:val="22"/>
          <w:szCs w:val="22"/>
          <w:lang w:val="sr-Latn-RS"/>
        </w:rPr>
      </w:pPr>
      <w:r w:rsidRPr="00E87295">
        <w:rPr>
          <w:sz w:val="22"/>
          <w:szCs w:val="22"/>
          <w:lang w:val="sr-Latn-RS"/>
        </w:rPr>
        <w:t>Tremfya</w:t>
      </w:r>
      <w:r w:rsidR="0055393F" w:rsidRPr="00E87295">
        <w:rPr>
          <w:sz w:val="22"/>
          <w:szCs w:val="22"/>
          <w:lang w:val="sr-Latn-RS"/>
        </w:rPr>
        <w:t>, rastvor za injekciju u napunjenom injekcionom špricu, 100 mg/ml, napunjeni injekcioni špric, 1x1 ml:</w:t>
      </w:r>
      <w:r w:rsidR="00760B54" w:rsidRPr="00E87295">
        <w:rPr>
          <w:sz w:val="22"/>
          <w:szCs w:val="22"/>
          <w:lang w:val="sr-Latn-RS"/>
        </w:rPr>
        <w:t xml:space="preserve"> 2030/19/40 - 6718</w:t>
      </w:r>
    </w:p>
    <w:p w14:paraId="4CF12670" w14:textId="77777777" w:rsidR="0055393F" w:rsidRPr="00E87295" w:rsidRDefault="0055393F">
      <w:pPr>
        <w:tabs>
          <w:tab w:val="left" w:pos="540"/>
          <w:tab w:val="left" w:pos="569"/>
        </w:tabs>
        <w:jc w:val="both"/>
        <w:rPr>
          <w:bCs/>
          <w:sz w:val="22"/>
          <w:szCs w:val="22"/>
        </w:rPr>
      </w:pPr>
    </w:p>
    <w:p w14:paraId="5A5C6DFA" w14:textId="77777777" w:rsidR="0072020E" w:rsidRPr="00E87295" w:rsidRDefault="0072020E">
      <w:pPr>
        <w:tabs>
          <w:tab w:val="left" w:pos="540"/>
          <w:tab w:val="left" w:pos="569"/>
        </w:tabs>
        <w:jc w:val="both"/>
        <w:rPr>
          <w:b/>
          <w:bCs/>
          <w:sz w:val="22"/>
          <w:szCs w:val="22"/>
        </w:rPr>
      </w:pPr>
      <w:r w:rsidRPr="00E87295">
        <w:rPr>
          <w:b/>
          <w:bCs/>
          <w:sz w:val="22"/>
          <w:szCs w:val="22"/>
        </w:rPr>
        <w:t xml:space="preserve">9. </w:t>
      </w:r>
      <w:r w:rsidR="00480FB1" w:rsidRPr="00E87295">
        <w:rPr>
          <w:b/>
          <w:bCs/>
          <w:sz w:val="22"/>
          <w:szCs w:val="22"/>
        </w:rPr>
        <w:tab/>
      </w:r>
      <w:r w:rsidRPr="00E87295">
        <w:rPr>
          <w:b/>
          <w:bCs/>
          <w:sz w:val="22"/>
          <w:szCs w:val="22"/>
        </w:rPr>
        <w:t xml:space="preserve">DATUM </w:t>
      </w:r>
      <w:r w:rsidR="00C05DF8" w:rsidRPr="00E87295">
        <w:rPr>
          <w:b/>
          <w:bCs/>
          <w:sz w:val="22"/>
          <w:szCs w:val="22"/>
        </w:rPr>
        <w:t xml:space="preserve">PRVE </w:t>
      </w:r>
      <w:r w:rsidR="008A6D43" w:rsidRPr="00E87295">
        <w:rPr>
          <w:b/>
          <w:bCs/>
          <w:sz w:val="22"/>
          <w:szCs w:val="22"/>
        </w:rPr>
        <w:t>DOZVOLE</w:t>
      </w:r>
      <w:r w:rsidR="00C05DF8" w:rsidRPr="00E87295">
        <w:rPr>
          <w:b/>
          <w:bCs/>
          <w:sz w:val="22"/>
          <w:szCs w:val="22"/>
        </w:rPr>
        <w:t>/OBNOVE DOZVOLE</w:t>
      </w:r>
      <w:r w:rsidR="008A6D43" w:rsidRPr="00E87295">
        <w:rPr>
          <w:b/>
          <w:bCs/>
          <w:sz w:val="22"/>
          <w:szCs w:val="22"/>
        </w:rPr>
        <w:t xml:space="preserve"> ZA STAVLJANJE LIJEKA U PROMET</w:t>
      </w:r>
    </w:p>
    <w:p w14:paraId="26F4011D" w14:textId="77777777" w:rsidR="0072020E" w:rsidRPr="00E87295" w:rsidRDefault="0072020E">
      <w:pPr>
        <w:tabs>
          <w:tab w:val="left" w:pos="540"/>
          <w:tab w:val="left" w:pos="569"/>
        </w:tabs>
        <w:jc w:val="both"/>
        <w:rPr>
          <w:bCs/>
          <w:sz w:val="22"/>
          <w:szCs w:val="22"/>
        </w:rPr>
      </w:pPr>
    </w:p>
    <w:p w14:paraId="79DB8196" w14:textId="6C6D9636" w:rsidR="007F55F8" w:rsidRPr="00E87295" w:rsidRDefault="00D53FE0">
      <w:pPr>
        <w:tabs>
          <w:tab w:val="left" w:pos="540"/>
          <w:tab w:val="left" w:pos="569"/>
        </w:tabs>
        <w:jc w:val="both"/>
        <w:rPr>
          <w:sz w:val="22"/>
          <w:szCs w:val="22"/>
          <w:lang w:val="sr-Latn-RS"/>
        </w:rPr>
      </w:pPr>
      <w:r w:rsidRPr="00E87295">
        <w:rPr>
          <w:sz w:val="22"/>
          <w:szCs w:val="22"/>
          <w:lang w:val="sr-Latn-RS"/>
        </w:rPr>
        <w:t>Tremfya</w:t>
      </w:r>
      <w:r w:rsidR="007F55F8" w:rsidRPr="00E87295">
        <w:rPr>
          <w:sz w:val="22"/>
          <w:szCs w:val="22"/>
          <w:lang w:val="sr-Latn-RS"/>
        </w:rPr>
        <w:t>, rastvor za injekciju u napunjenom injekcionom špricu, 100 mg/ml, napunjeni injekcioni špric, 1x1 ml:</w:t>
      </w:r>
      <w:r w:rsidR="00760B54" w:rsidRPr="00E87295">
        <w:rPr>
          <w:sz w:val="22"/>
          <w:szCs w:val="22"/>
          <w:lang w:val="sr-Latn-RS"/>
        </w:rPr>
        <w:t xml:space="preserve"> 21.02.2019. godine</w:t>
      </w:r>
    </w:p>
    <w:p w14:paraId="75073F57" w14:textId="77777777" w:rsidR="00836B35" w:rsidRPr="00E87295" w:rsidRDefault="00836B35">
      <w:pPr>
        <w:tabs>
          <w:tab w:val="left" w:pos="540"/>
          <w:tab w:val="left" w:pos="569"/>
        </w:tabs>
        <w:jc w:val="both"/>
        <w:rPr>
          <w:bCs/>
          <w:sz w:val="22"/>
          <w:szCs w:val="22"/>
        </w:rPr>
      </w:pPr>
    </w:p>
    <w:p w14:paraId="3215E385" w14:textId="77777777" w:rsidR="003F1F50" w:rsidRPr="00E87295" w:rsidRDefault="0072020E">
      <w:pPr>
        <w:tabs>
          <w:tab w:val="left" w:pos="540"/>
          <w:tab w:val="left" w:pos="569"/>
        </w:tabs>
        <w:ind w:left="540" w:hanging="540"/>
        <w:jc w:val="both"/>
        <w:rPr>
          <w:b/>
          <w:bCs/>
          <w:sz w:val="22"/>
          <w:szCs w:val="22"/>
        </w:rPr>
      </w:pPr>
      <w:r w:rsidRPr="00E87295">
        <w:rPr>
          <w:b/>
          <w:bCs/>
          <w:sz w:val="22"/>
          <w:szCs w:val="22"/>
        </w:rPr>
        <w:t xml:space="preserve">10. </w:t>
      </w:r>
      <w:r w:rsidR="00480FB1" w:rsidRPr="00E87295">
        <w:rPr>
          <w:b/>
          <w:bCs/>
          <w:sz w:val="22"/>
          <w:szCs w:val="22"/>
        </w:rPr>
        <w:tab/>
      </w:r>
      <w:r w:rsidR="002846DB" w:rsidRPr="00E87295">
        <w:rPr>
          <w:b/>
          <w:bCs/>
          <w:sz w:val="22"/>
          <w:szCs w:val="22"/>
        </w:rPr>
        <w:t>D</w:t>
      </w:r>
      <w:r w:rsidR="00EC2532" w:rsidRPr="00E87295">
        <w:rPr>
          <w:b/>
          <w:bCs/>
          <w:sz w:val="22"/>
          <w:szCs w:val="22"/>
        </w:rPr>
        <w:t>ATUM REVIZIJE TEKSTA</w:t>
      </w:r>
    </w:p>
    <w:p w14:paraId="0CC622FC" w14:textId="77777777" w:rsidR="003F1F50" w:rsidRPr="00E87295" w:rsidRDefault="003F1F50">
      <w:pPr>
        <w:tabs>
          <w:tab w:val="left" w:pos="540"/>
          <w:tab w:val="left" w:pos="569"/>
        </w:tabs>
        <w:ind w:left="540" w:hanging="540"/>
        <w:jc w:val="both"/>
        <w:rPr>
          <w:b/>
          <w:bCs/>
          <w:sz w:val="22"/>
          <w:szCs w:val="22"/>
        </w:rPr>
      </w:pPr>
    </w:p>
    <w:p w14:paraId="29892464" w14:textId="3EE82519" w:rsidR="003F6A59" w:rsidRPr="006846CF" w:rsidRDefault="00C929E2">
      <w:pPr>
        <w:jc w:val="both"/>
        <w:rPr>
          <w:sz w:val="22"/>
          <w:szCs w:val="22"/>
          <w:lang w:val="pl-PL"/>
        </w:rPr>
      </w:pPr>
      <w:r>
        <w:rPr>
          <w:sz w:val="22"/>
          <w:szCs w:val="22"/>
          <w:lang w:val="pl-PL"/>
        </w:rPr>
        <w:t>Oktobar</w:t>
      </w:r>
      <w:bookmarkStart w:id="12" w:name="_GoBack"/>
      <w:bookmarkEnd w:id="12"/>
      <w:r w:rsidR="006876BF" w:rsidRPr="00E87295">
        <w:rPr>
          <w:sz w:val="22"/>
          <w:szCs w:val="22"/>
          <w:lang w:val="pl-PL"/>
        </w:rPr>
        <w:t>, 2023. godine</w:t>
      </w:r>
    </w:p>
    <w:sectPr w:rsidR="003F6A59" w:rsidRPr="006846CF" w:rsidSect="00EF3B86">
      <w:footerReference w:type="default" r:id="rId2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454A" w14:textId="77777777" w:rsidR="00BE7A76" w:rsidRDefault="00BE7A76">
      <w:r>
        <w:separator/>
      </w:r>
    </w:p>
  </w:endnote>
  <w:endnote w:type="continuationSeparator" w:id="0">
    <w:p w14:paraId="794C9B17" w14:textId="77777777" w:rsidR="00BE7A76" w:rsidRDefault="00BE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FB50" w14:textId="61CD8C6A" w:rsidR="000838FC" w:rsidRPr="00B23F69" w:rsidRDefault="000838FC"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C929E2">
      <w:rPr>
        <w:noProof/>
        <w:sz w:val="22"/>
        <w:szCs w:val="22"/>
      </w:rPr>
      <w:t>25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C929E2">
      <w:rPr>
        <w:noProof/>
        <w:sz w:val="22"/>
        <w:szCs w:val="22"/>
      </w:rPr>
      <w:t>25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07966" w14:textId="77777777" w:rsidR="00BE7A76" w:rsidRDefault="00BE7A76">
      <w:r>
        <w:separator/>
      </w:r>
    </w:p>
  </w:footnote>
  <w:footnote w:type="continuationSeparator" w:id="0">
    <w:p w14:paraId="7DB73765" w14:textId="77777777" w:rsidR="00BE7A76" w:rsidRDefault="00BE7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56432FC"/>
    <w:multiLevelType w:val="hybridMultilevel"/>
    <w:tmpl w:val="AFA018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09716D4"/>
    <w:multiLevelType w:val="multilevel"/>
    <w:tmpl w:val="D6169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B05CF4"/>
    <w:multiLevelType w:val="hybridMultilevel"/>
    <w:tmpl w:val="2BF24D58"/>
    <w:lvl w:ilvl="0" w:tplc="DF402E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10"/>
  </w:num>
  <w:num w:numId="8">
    <w:abstractNumId w:val="3"/>
  </w:num>
  <w:num w:numId="9">
    <w:abstractNumId w:val="7"/>
  </w:num>
  <w:num w:numId="10">
    <w:abstractNumId w:val="13"/>
  </w:num>
  <w:num w:numId="11">
    <w:abstractNumId w:val="6"/>
  </w:num>
  <w:num w:numId="12">
    <w:abstractNumId w:val="8"/>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02B6"/>
    <w:rsid w:val="000166BC"/>
    <w:rsid w:val="000176CA"/>
    <w:rsid w:val="000365BF"/>
    <w:rsid w:val="00036FA0"/>
    <w:rsid w:val="0003793F"/>
    <w:rsid w:val="00042424"/>
    <w:rsid w:val="000457E3"/>
    <w:rsid w:val="00057E35"/>
    <w:rsid w:val="00062654"/>
    <w:rsid w:val="0006393B"/>
    <w:rsid w:val="0006684F"/>
    <w:rsid w:val="00073BBD"/>
    <w:rsid w:val="00076726"/>
    <w:rsid w:val="00080303"/>
    <w:rsid w:val="000838FC"/>
    <w:rsid w:val="000A1D9C"/>
    <w:rsid w:val="000A3F58"/>
    <w:rsid w:val="000C72FD"/>
    <w:rsid w:val="000D2343"/>
    <w:rsid w:val="000D3449"/>
    <w:rsid w:val="000D425A"/>
    <w:rsid w:val="000D60CC"/>
    <w:rsid w:val="000D63C4"/>
    <w:rsid w:val="000E2084"/>
    <w:rsid w:val="000E6F55"/>
    <w:rsid w:val="000E73F1"/>
    <w:rsid w:val="000F77FA"/>
    <w:rsid w:val="00107BF7"/>
    <w:rsid w:val="00120644"/>
    <w:rsid w:val="00126F53"/>
    <w:rsid w:val="00145D83"/>
    <w:rsid w:val="0014708F"/>
    <w:rsid w:val="0014766D"/>
    <w:rsid w:val="001536CC"/>
    <w:rsid w:val="00166C7A"/>
    <w:rsid w:val="00170B80"/>
    <w:rsid w:val="001A3FBA"/>
    <w:rsid w:val="001A5518"/>
    <w:rsid w:val="001A5B54"/>
    <w:rsid w:val="001B1C6A"/>
    <w:rsid w:val="001C1263"/>
    <w:rsid w:val="001C1417"/>
    <w:rsid w:val="001E390B"/>
    <w:rsid w:val="001E3A42"/>
    <w:rsid w:val="001F42FB"/>
    <w:rsid w:val="001F719A"/>
    <w:rsid w:val="002031B3"/>
    <w:rsid w:val="00205093"/>
    <w:rsid w:val="00205A86"/>
    <w:rsid w:val="00215931"/>
    <w:rsid w:val="00217AAB"/>
    <w:rsid w:val="00220163"/>
    <w:rsid w:val="00227BDB"/>
    <w:rsid w:val="00234228"/>
    <w:rsid w:val="00234CB1"/>
    <w:rsid w:val="002352F8"/>
    <w:rsid w:val="002510A5"/>
    <w:rsid w:val="00254A0A"/>
    <w:rsid w:val="00266046"/>
    <w:rsid w:val="002846DB"/>
    <w:rsid w:val="00284CCD"/>
    <w:rsid w:val="002B1F55"/>
    <w:rsid w:val="002C6637"/>
    <w:rsid w:val="002E0135"/>
    <w:rsid w:val="002E37A5"/>
    <w:rsid w:val="002E487B"/>
    <w:rsid w:val="002E7A2B"/>
    <w:rsid w:val="00310F03"/>
    <w:rsid w:val="00317932"/>
    <w:rsid w:val="003247D2"/>
    <w:rsid w:val="00331DE3"/>
    <w:rsid w:val="00343954"/>
    <w:rsid w:val="003445C1"/>
    <w:rsid w:val="00345CFA"/>
    <w:rsid w:val="00355B61"/>
    <w:rsid w:val="00362686"/>
    <w:rsid w:val="00364608"/>
    <w:rsid w:val="00370111"/>
    <w:rsid w:val="00371510"/>
    <w:rsid w:val="00373F29"/>
    <w:rsid w:val="00396DFD"/>
    <w:rsid w:val="003A7059"/>
    <w:rsid w:val="003B7A36"/>
    <w:rsid w:val="003C17AB"/>
    <w:rsid w:val="003C7823"/>
    <w:rsid w:val="003D71F8"/>
    <w:rsid w:val="003E1DCC"/>
    <w:rsid w:val="003F0C9A"/>
    <w:rsid w:val="003F1F50"/>
    <w:rsid w:val="003F641E"/>
    <w:rsid w:val="003F6A59"/>
    <w:rsid w:val="004065C8"/>
    <w:rsid w:val="00411B4B"/>
    <w:rsid w:val="00415BEE"/>
    <w:rsid w:val="00426E76"/>
    <w:rsid w:val="00427F85"/>
    <w:rsid w:val="00436F42"/>
    <w:rsid w:val="004378B4"/>
    <w:rsid w:val="00441240"/>
    <w:rsid w:val="00451314"/>
    <w:rsid w:val="00452E9D"/>
    <w:rsid w:val="004534C7"/>
    <w:rsid w:val="004671AA"/>
    <w:rsid w:val="00472BF6"/>
    <w:rsid w:val="00480FB1"/>
    <w:rsid w:val="00483928"/>
    <w:rsid w:val="004B149E"/>
    <w:rsid w:val="004B532B"/>
    <w:rsid w:val="004B7170"/>
    <w:rsid w:val="004C0D7F"/>
    <w:rsid w:val="004C4050"/>
    <w:rsid w:val="004C56CA"/>
    <w:rsid w:val="004D6103"/>
    <w:rsid w:val="004E2EF4"/>
    <w:rsid w:val="004E3BCE"/>
    <w:rsid w:val="004F0E97"/>
    <w:rsid w:val="0050106E"/>
    <w:rsid w:val="00515C21"/>
    <w:rsid w:val="00515CB7"/>
    <w:rsid w:val="00530BD7"/>
    <w:rsid w:val="00545CD2"/>
    <w:rsid w:val="005476F3"/>
    <w:rsid w:val="0055393F"/>
    <w:rsid w:val="00556AE9"/>
    <w:rsid w:val="00566A94"/>
    <w:rsid w:val="00572527"/>
    <w:rsid w:val="00573E40"/>
    <w:rsid w:val="00574D3E"/>
    <w:rsid w:val="00576348"/>
    <w:rsid w:val="00583D4F"/>
    <w:rsid w:val="00586B13"/>
    <w:rsid w:val="005A0B2E"/>
    <w:rsid w:val="005A23D2"/>
    <w:rsid w:val="005A36CB"/>
    <w:rsid w:val="005B49B8"/>
    <w:rsid w:val="005C0741"/>
    <w:rsid w:val="005C5EF4"/>
    <w:rsid w:val="005D0368"/>
    <w:rsid w:val="005E2A62"/>
    <w:rsid w:val="005E2E0B"/>
    <w:rsid w:val="005E7A7D"/>
    <w:rsid w:val="00640533"/>
    <w:rsid w:val="006411D1"/>
    <w:rsid w:val="00646BD1"/>
    <w:rsid w:val="006561C2"/>
    <w:rsid w:val="006652E4"/>
    <w:rsid w:val="00671CB3"/>
    <w:rsid w:val="00674BAF"/>
    <w:rsid w:val="00677BB8"/>
    <w:rsid w:val="00681A8E"/>
    <w:rsid w:val="00682200"/>
    <w:rsid w:val="006846CF"/>
    <w:rsid w:val="006876BF"/>
    <w:rsid w:val="006A1497"/>
    <w:rsid w:val="006B0BD1"/>
    <w:rsid w:val="006B648D"/>
    <w:rsid w:val="006D20A5"/>
    <w:rsid w:val="006D37BF"/>
    <w:rsid w:val="006E31CC"/>
    <w:rsid w:val="006F4567"/>
    <w:rsid w:val="00702E22"/>
    <w:rsid w:val="00706EEF"/>
    <w:rsid w:val="0072020E"/>
    <w:rsid w:val="00734824"/>
    <w:rsid w:val="007467A0"/>
    <w:rsid w:val="00760B54"/>
    <w:rsid w:val="007671AA"/>
    <w:rsid w:val="007677A5"/>
    <w:rsid w:val="007714C2"/>
    <w:rsid w:val="00786071"/>
    <w:rsid w:val="007A2603"/>
    <w:rsid w:val="007A3B0E"/>
    <w:rsid w:val="007A3ECB"/>
    <w:rsid w:val="007B298A"/>
    <w:rsid w:val="007B4078"/>
    <w:rsid w:val="007E7309"/>
    <w:rsid w:val="007F55F8"/>
    <w:rsid w:val="008225EC"/>
    <w:rsid w:val="008227AD"/>
    <w:rsid w:val="00824AB9"/>
    <w:rsid w:val="0082786A"/>
    <w:rsid w:val="00833259"/>
    <w:rsid w:val="00836B35"/>
    <w:rsid w:val="00843BDE"/>
    <w:rsid w:val="00866B41"/>
    <w:rsid w:val="00867D21"/>
    <w:rsid w:val="00881411"/>
    <w:rsid w:val="0089705C"/>
    <w:rsid w:val="008A303B"/>
    <w:rsid w:val="008A6D43"/>
    <w:rsid w:val="008B491E"/>
    <w:rsid w:val="008B71AD"/>
    <w:rsid w:val="008C1A28"/>
    <w:rsid w:val="008C2E98"/>
    <w:rsid w:val="008E1D18"/>
    <w:rsid w:val="008E49BD"/>
    <w:rsid w:val="008E53E9"/>
    <w:rsid w:val="008E5771"/>
    <w:rsid w:val="00906909"/>
    <w:rsid w:val="009111DC"/>
    <w:rsid w:val="00933F88"/>
    <w:rsid w:val="00935501"/>
    <w:rsid w:val="00940B9B"/>
    <w:rsid w:val="0095676E"/>
    <w:rsid w:val="00956983"/>
    <w:rsid w:val="00963CF0"/>
    <w:rsid w:val="009645A5"/>
    <w:rsid w:val="00964BB1"/>
    <w:rsid w:val="0097212D"/>
    <w:rsid w:val="009775D9"/>
    <w:rsid w:val="00997175"/>
    <w:rsid w:val="009A1847"/>
    <w:rsid w:val="009B062A"/>
    <w:rsid w:val="009E7C6F"/>
    <w:rsid w:val="009F1793"/>
    <w:rsid w:val="009F2D23"/>
    <w:rsid w:val="009F5282"/>
    <w:rsid w:val="009F56C3"/>
    <w:rsid w:val="00A01D69"/>
    <w:rsid w:val="00A02335"/>
    <w:rsid w:val="00A055B0"/>
    <w:rsid w:val="00A11299"/>
    <w:rsid w:val="00A21431"/>
    <w:rsid w:val="00A445EA"/>
    <w:rsid w:val="00A46C9A"/>
    <w:rsid w:val="00A619F3"/>
    <w:rsid w:val="00A62A73"/>
    <w:rsid w:val="00A754C1"/>
    <w:rsid w:val="00A850B5"/>
    <w:rsid w:val="00A87FF6"/>
    <w:rsid w:val="00A91E1D"/>
    <w:rsid w:val="00AA0A3B"/>
    <w:rsid w:val="00AA1931"/>
    <w:rsid w:val="00AA428F"/>
    <w:rsid w:val="00AB50CA"/>
    <w:rsid w:val="00AC4096"/>
    <w:rsid w:val="00AC53CE"/>
    <w:rsid w:val="00AC7825"/>
    <w:rsid w:val="00AD2193"/>
    <w:rsid w:val="00AE3D65"/>
    <w:rsid w:val="00AF2AC7"/>
    <w:rsid w:val="00AF74CE"/>
    <w:rsid w:val="00B113B3"/>
    <w:rsid w:val="00B208DB"/>
    <w:rsid w:val="00B23F69"/>
    <w:rsid w:val="00B34802"/>
    <w:rsid w:val="00B50160"/>
    <w:rsid w:val="00B50EA3"/>
    <w:rsid w:val="00B60619"/>
    <w:rsid w:val="00B6416D"/>
    <w:rsid w:val="00B66A70"/>
    <w:rsid w:val="00B67366"/>
    <w:rsid w:val="00B7192C"/>
    <w:rsid w:val="00B80EE1"/>
    <w:rsid w:val="00B84135"/>
    <w:rsid w:val="00B94F3E"/>
    <w:rsid w:val="00B96121"/>
    <w:rsid w:val="00BB3AC1"/>
    <w:rsid w:val="00BE7A76"/>
    <w:rsid w:val="00C04D34"/>
    <w:rsid w:val="00C05DF8"/>
    <w:rsid w:val="00C06864"/>
    <w:rsid w:val="00C10F54"/>
    <w:rsid w:val="00C236F1"/>
    <w:rsid w:val="00C23D8D"/>
    <w:rsid w:val="00C32E11"/>
    <w:rsid w:val="00C34656"/>
    <w:rsid w:val="00C362D6"/>
    <w:rsid w:val="00C37AA3"/>
    <w:rsid w:val="00C37FD7"/>
    <w:rsid w:val="00C43419"/>
    <w:rsid w:val="00C44CF3"/>
    <w:rsid w:val="00C61BE0"/>
    <w:rsid w:val="00C70B0E"/>
    <w:rsid w:val="00C7727A"/>
    <w:rsid w:val="00C773CA"/>
    <w:rsid w:val="00C83785"/>
    <w:rsid w:val="00C929E2"/>
    <w:rsid w:val="00C94C0D"/>
    <w:rsid w:val="00CA1FEB"/>
    <w:rsid w:val="00CA570E"/>
    <w:rsid w:val="00CB4999"/>
    <w:rsid w:val="00CD4F85"/>
    <w:rsid w:val="00CD6F02"/>
    <w:rsid w:val="00CE246D"/>
    <w:rsid w:val="00CF07A0"/>
    <w:rsid w:val="00CF3E03"/>
    <w:rsid w:val="00CF51A4"/>
    <w:rsid w:val="00D0082A"/>
    <w:rsid w:val="00D0378A"/>
    <w:rsid w:val="00D136F8"/>
    <w:rsid w:val="00D14E24"/>
    <w:rsid w:val="00D21455"/>
    <w:rsid w:val="00D47634"/>
    <w:rsid w:val="00D53FE0"/>
    <w:rsid w:val="00D66D98"/>
    <w:rsid w:val="00D709B3"/>
    <w:rsid w:val="00D7614B"/>
    <w:rsid w:val="00D85683"/>
    <w:rsid w:val="00DA2ED6"/>
    <w:rsid w:val="00DA3743"/>
    <w:rsid w:val="00DB0099"/>
    <w:rsid w:val="00DB76B8"/>
    <w:rsid w:val="00DC2EA1"/>
    <w:rsid w:val="00DD6AAF"/>
    <w:rsid w:val="00DE3F5C"/>
    <w:rsid w:val="00DF1D20"/>
    <w:rsid w:val="00E02144"/>
    <w:rsid w:val="00E07B37"/>
    <w:rsid w:val="00E07FCB"/>
    <w:rsid w:val="00E174E3"/>
    <w:rsid w:val="00E21324"/>
    <w:rsid w:val="00E246B9"/>
    <w:rsid w:val="00E31FEA"/>
    <w:rsid w:val="00E45169"/>
    <w:rsid w:val="00E47787"/>
    <w:rsid w:val="00E51C30"/>
    <w:rsid w:val="00E61CD9"/>
    <w:rsid w:val="00E64180"/>
    <w:rsid w:val="00E74AEE"/>
    <w:rsid w:val="00E83E4D"/>
    <w:rsid w:val="00E8617D"/>
    <w:rsid w:val="00E868E5"/>
    <w:rsid w:val="00E87295"/>
    <w:rsid w:val="00E91FBD"/>
    <w:rsid w:val="00E9237A"/>
    <w:rsid w:val="00E939FA"/>
    <w:rsid w:val="00E95182"/>
    <w:rsid w:val="00EA5765"/>
    <w:rsid w:val="00EB373C"/>
    <w:rsid w:val="00EC2532"/>
    <w:rsid w:val="00EC6B7B"/>
    <w:rsid w:val="00ED6C72"/>
    <w:rsid w:val="00ED7812"/>
    <w:rsid w:val="00EE43E1"/>
    <w:rsid w:val="00EE6FFE"/>
    <w:rsid w:val="00EF2F11"/>
    <w:rsid w:val="00EF3B86"/>
    <w:rsid w:val="00F05AE7"/>
    <w:rsid w:val="00F2157B"/>
    <w:rsid w:val="00F3083C"/>
    <w:rsid w:val="00F317E9"/>
    <w:rsid w:val="00F34554"/>
    <w:rsid w:val="00F45F77"/>
    <w:rsid w:val="00F46C8C"/>
    <w:rsid w:val="00F5167F"/>
    <w:rsid w:val="00F52258"/>
    <w:rsid w:val="00F6495C"/>
    <w:rsid w:val="00F8570A"/>
    <w:rsid w:val="00F91C7B"/>
    <w:rsid w:val="00FA254B"/>
    <w:rsid w:val="00FB3DEB"/>
    <w:rsid w:val="00FC3F19"/>
    <w:rsid w:val="00FD18B2"/>
    <w:rsid w:val="00FD7763"/>
    <w:rsid w:val="00FE4979"/>
    <w:rsid w:val="00FF5F82"/>
  </w:rsids>
  <m:mathPr>
    <m:mathFont m:val="Cambria Math"/>
    <m:brkBin m:val="before"/>
    <m:brkBinSub m:val="--"/>
    <m:smallFrac m:val="0"/>
    <m:dispDef/>
    <m:lMargin m:val="0"/>
    <m:rMargin m:val="0"/>
    <m:defJc m:val="centerGroup"/>
    <m:wrapIndent m:val="1440"/>
    <m:intLim m:val="subSup"/>
    <m:naryLim m:val="undOvr"/>
  </m:mathPr>
  <w:themeFontLang w:val="sr-Latn-ME"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0330C"/>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A5B54"/>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1A5B54"/>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1A5B54"/>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Char Char Char Char Char,Char Char1 Char Char,Char Char Char,Header Char1 Char Char Char Char,Header Char Char Char Char Char Char,Header Char1"/>
    <w:basedOn w:val="Normal"/>
    <w:link w:val="HeaderChar"/>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Bodytext3">
    <w:name w:val="Body text (3)_"/>
    <w:link w:val="Bodytext30"/>
    <w:locked/>
    <w:rsid w:val="007677A5"/>
    <w:rPr>
      <w:sz w:val="21"/>
      <w:szCs w:val="21"/>
      <w:shd w:val="clear" w:color="auto" w:fill="FFFFFF"/>
    </w:rPr>
  </w:style>
  <w:style w:type="paragraph" w:customStyle="1" w:styleId="Bodytext30">
    <w:name w:val="Body text (3)"/>
    <w:basedOn w:val="Normal"/>
    <w:link w:val="Bodytext3"/>
    <w:rsid w:val="007677A5"/>
    <w:pPr>
      <w:shd w:val="clear" w:color="auto" w:fill="FFFFFF"/>
      <w:spacing w:before="240" w:line="254" w:lineRule="exact"/>
      <w:ind w:hanging="560"/>
    </w:pPr>
    <w:rPr>
      <w:sz w:val="21"/>
      <w:szCs w:val="21"/>
      <w:lang w:val="sr-Latn-ME" w:eastAsia="sr-Latn-ME"/>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locked/>
    <w:rsid w:val="007677A5"/>
    <w:rPr>
      <w:sz w:val="24"/>
      <w:szCs w:val="24"/>
      <w:lang w:val="en-US" w:eastAsia="en-US"/>
    </w:rPr>
  </w:style>
  <w:style w:type="character" w:customStyle="1" w:styleId="Heading5">
    <w:name w:val="Heading #5_"/>
    <w:link w:val="Heading50"/>
    <w:locked/>
    <w:rsid w:val="007677A5"/>
    <w:rPr>
      <w:sz w:val="21"/>
      <w:szCs w:val="21"/>
      <w:shd w:val="clear" w:color="auto" w:fill="FFFFFF"/>
    </w:rPr>
  </w:style>
  <w:style w:type="paragraph" w:customStyle="1" w:styleId="Heading50">
    <w:name w:val="Heading #5"/>
    <w:basedOn w:val="Normal"/>
    <w:link w:val="Heading5"/>
    <w:rsid w:val="007677A5"/>
    <w:pPr>
      <w:shd w:val="clear" w:color="auto" w:fill="FFFFFF"/>
      <w:spacing w:before="240" w:after="60" w:line="0" w:lineRule="atLeast"/>
      <w:ind w:hanging="560"/>
      <w:outlineLvl w:val="4"/>
    </w:pPr>
    <w:rPr>
      <w:sz w:val="21"/>
      <w:szCs w:val="21"/>
      <w:lang w:val="sr-Latn-ME" w:eastAsia="sr-Latn-ME"/>
    </w:rPr>
  </w:style>
  <w:style w:type="character" w:customStyle="1" w:styleId="BodyText2">
    <w:name w:val="Body Text2"/>
    <w:rsid w:val="007677A5"/>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Heading5NotBold">
    <w:name w:val="Heading #5 + Not Bold"/>
    <w:basedOn w:val="Heading5"/>
    <w:rsid w:val="007677A5"/>
    <w:rPr>
      <w:rFonts w:ascii="Times New Roman" w:eastAsia="Times New Roman" w:hAnsi="Times New Roman" w:cs="Times New Roman" w:hint="default"/>
      <w:b/>
      <w:bCs/>
      <w:i w:val="0"/>
      <w:iCs w:val="0"/>
      <w:smallCaps w:val="0"/>
      <w:spacing w:val="0"/>
      <w:sz w:val="20"/>
      <w:szCs w:val="20"/>
      <w:u w:val="single"/>
      <w:shd w:val="clear" w:color="auto" w:fill="FFFFFF"/>
    </w:rPr>
  </w:style>
  <w:style w:type="character" w:customStyle="1" w:styleId="BodyText31">
    <w:name w:val="Body Text3"/>
    <w:rsid w:val="007677A5"/>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20">
    <w:name w:val="Body text (2)_"/>
    <w:link w:val="Bodytext21"/>
    <w:locked/>
    <w:rsid w:val="007677A5"/>
    <w:rPr>
      <w:sz w:val="21"/>
      <w:szCs w:val="21"/>
      <w:shd w:val="clear" w:color="auto" w:fill="FFFFFF"/>
    </w:rPr>
  </w:style>
  <w:style w:type="paragraph" w:customStyle="1" w:styleId="Bodytext21">
    <w:name w:val="Body text (2)"/>
    <w:basedOn w:val="Normal"/>
    <w:link w:val="Bodytext20"/>
    <w:rsid w:val="007677A5"/>
    <w:pPr>
      <w:shd w:val="clear" w:color="auto" w:fill="FFFFFF"/>
      <w:spacing w:line="509" w:lineRule="exact"/>
      <w:ind w:hanging="720"/>
    </w:pPr>
    <w:rPr>
      <w:sz w:val="21"/>
      <w:szCs w:val="21"/>
      <w:lang w:val="sr-Latn-ME" w:eastAsia="sr-Latn-ME"/>
    </w:rPr>
  </w:style>
  <w:style w:type="character" w:customStyle="1" w:styleId="Tablecaption2">
    <w:name w:val="Table caption (2)"/>
    <w:rsid w:val="007677A5"/>
    <w:rPr>
      <w:rFonts w:ascii="Times New Roman" w:eastAsia="Times New Roman" w:hAnsi="Times New Roman" w:cs="Times New Roman" w:hint="default"/>
      <w:b w:val="0"/>
      <w:bCs w:val="0"/>
      <w:i w:val="0"/>
      <w:iCs w:val="0"/>
      <w:smallCaps w:val="0"/>
      <w:spacing w:val="0"/>
      <w:sz w:val="21"/>
      <w:szCs w:val="21"/>
      <w:u w:val="single"/>
    </w:rPr>
  </w:style>
  <w:style w:type="character" w:customStyle="1" w:styleId="BodytextItalic">
    <w:name w:val="Body text + Italic"/>
    <w:rsid w:val="007677A5"/>
    <w:rPr>
      <w:rFonts w:ascii="Times New Roman" w:eastAsia="Times New Roman" w:hAnsi="Times New Roman" w:cs="Times New Roman" w:hint="default"/>
      <w:b w:val="0"/>
      <w:bCs w:val="0"/>
      <w:i/>
      <w:iCs/>
      <w:smallCaps w:val="0"/>
      <w:strike w:val="0"/>
      <w:dstrike w:val="0"/>
      <w:spacing w:val="0"/>
      <w:sz w:val="21"/>
      <w:szCs w:val="21"/>
      <w:u w:val="none"/>
      <w:effect w:val="none"/>
      <w:shd w:val="clear" w:color="auto" w:fill="FFFFFF"/>
    </w:rPr>
  </w:style>
  <w:style w:type="table" w:styleId="TableGrid">
    <w:name w:val="Table Grid"/>
    <w:basedOn w:val="TableNormal"/>
    <w:rsid w:val="007677A5"/>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23"/>
    <w:basedOn w:val="Normal"/>
    <w:rsid w:val="007677A5"/>
    <w:pPr>
      <w:shd w:val="clear" w:color="auto" w:fill="FFFFFF"/>
      <w:spacing w:after="480" w:line="254" w:lineRule="exact"/>
      <w:ind w:hanging="560"/>
      <w:jc w:val="both"/>
    </w:pPr>
    <w:rPr>
      <w:color w:val="000000"/>
      <w:sz w:val="21"/>
      <w:szCs w:val="21"/>
    </w:rPr>
  </w:style>
  <w:style w:type="character" w:customStyle="1" w:styleId="Bodytext4">
    <w:name w:val="Body text (4)_"/>
    <w:link w:val="Bodytext40"/>
    <w:locked/>
    <w:rsid w:val="007677A5"/>
    <w:rPr>
      <w:sz w:val="19"/>
      <w:szCs w:val="19"/>
      <w:shd w:val="clear" w:color="auto" w:fill="FFFFFF"/>
    </w:rPr>
  </w:style>
  <w:style w:type="paragraph" w:customStyle="1" w:styleId="Bodytext40">
    <w:name w:val="Body text (4)"/>
    <w:basedOn w:val="Normal"/>
    <w:link w:val="Bodytext4"/>
    <w:rsid w:val="007677A5"/>
    <w:pPr>
      <w:shd w:val="clear" w:color="auto" w:fill="FFFFFF"/>
      <w:spacing w:line="230" w:lineRule="exact"/>
      <w:jc w:val="both"/>
    </w:pPr>
    <w:rPr>
      <w:sz w:val="19"/>
      <w:szCs w:val="19"/>
      <w:lang w:val="sr-Latn-ME" w:eastAsia="sr-Latn-ME"/>
    </w:rPr>
  </w:style>
  <w:style w:type="character" w:customStyle="1" w:styleId="Bodytext5">
    <w:name w:val="Body text (5)_"/>
    <w:basedOn w:val="DefaultParagraphFont"/>
    <w:link w:val="Bodytext50"/>
    <w:locked/>
    <w:rsid w:val="007677A5"/>
    <w:rPr>
      <w:sz w:val="17"/>
      <w:szCs w:val="17"/>
      <w:shd w:val="clear" w:color="auto" w:fill="FFFFFF"/>
    </w:rPr>
  </w:style>
  <w:style w:type="paragraph" w:customStyle="1" w:styleId="Bodytext50">
    <w:name w:val="Body text (5)"/>
    <w:basedOn w:val="Normal"/>
    <w:link w:val="Bodytext5"/>
    <w:rsid w:val="007677A5"/>
    <w:pPr>
      <w:shd w:val="clear" w:color="auto" w:fill="FFFFFF"/>
      <w:spacing w:line="0" w:lineRule="atLeast"/>
    </w:pPr>
    <w:rPr>
      <w:sz w:val="17"/>
      <w:szCs w:val="17"/>
      <w:lang w:val="sr-Latn-ME" w:eastAsia="sr-Latn-ME"/>
    </w:rPr>
  </w:style>
  <w:style w:type="character" w:customStyle="1" w:styleId="Bodytext9">
    <w:name w:val="Body text (9)_"/>
    <w:basedOn w:val="DefaultParagraphFont"/>
    <w:link w:val="Bodytext90"/>
    <w:locked/>
    <w:rsid w:val="007677A5"/>
    <w:rPr>
      <w:sz w:val="15"/>
      <w:szCs w:val="15"/>
      <w:shd w:val="clear" w:color="auto" w:fill="FFFFFF"/>
    </w:rPr>
  </w:style>
  <w:style w:type="paragraph" w:customStyle="1" w:styleId="Bodytext90">
    <w:name w:val="Body text (9)"/>
    <w:basedOn w:val="Normal"/>
    <w:link w:val="Bodytext9"/>
    <w:rsid w:val="007677A5"/>
    <w:pPr>
      <w:shd w:val="clear" w:color="auto" w:fill="FFFFFF"/>
      <w:spacing w:line="235" w:lineRule="exact"/>
    </w:pPr>
    <w:rPr>
      <w:sz w:val="15"/>
      <w:szCs w:val="15"/>
      <w:lang w:val="sr-Latn-ME" w:eastAsia="sr-Latn-ME"/>
    </w:rPr>
  </w:style>
  <w:style w:type="character" w:customStyle="1" w:styleId="BodyText7">
    <w:name w:val="Body Text7"/>
    <w:rsid w:val="007677A5"/>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95pt">
    <w:name w:val="Body text + 9.5 pt"/>
    <w:aliases w:val="Bold,Body text (4) + 8.5 pt"/>
    <w:rsid w:val="007677A5"/>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character" w:customStyle="1" w:styleId="BodyText8">
    <w:name w:val="Body Text8"/>
    <w:rsid w:val="007677A5"/>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5pt">
    <w:name w:val="Body text + 5 pt"/>
    <w:basedOn w:val="DefaultParagraphFont"/>
    <w:rsid w:val="007677A5"/>
    <w:rPr>
      <w:rFonts w:ascii="Times New Roman" w:eastAsia="Times New Roman" w:hAnsi="Times New Roman" w:cs="Times New Roman" w:hint="default"/>
      <w:b w:val="0"/>
      <w:bCs w:val="0"/>
      <w:i w:val="0"/>
      <w:iCs w:val="0"/>
      <w:smallCaps w:val="0"/>
      <w:strike w:val="0"/>
      <w:dstrike w:val="0"/>
      <w:spacing w:val="0"/>
      <w:sz w:val="10"/>
      <w:szCs w:val="10"/>
      <w:u w:val="none"/>
      <w:effect w:val="none"/>
      <w:shd w:val="clear" w:color="auto" w:fill="FFFFFF"/>
    </w:rPr>
  </w:style>
  <w:style w:type="paragraph" w:styleId="NormalWeb">
    <w:name w:val="Normal (Web)"/>
    <w:basedOn w:val="Normal"/>
    <w:uiPriority w:val="99"/>
    <w:unhideWhenUsed/>
    <w:rsid w:val="0006393B"/>
    <w:pPr>
      <w:spacing w:before="100" w:beforeAutospacing="1" w:after="100" w:afterAutospacing="1"/>
    </w:pPr>
    <w:rPr>
      <w:lang w:bidi="as-IN"/>
    </w:rPr>
  </w:style>
  <w:style w:type="character" w:customStyle="1" w:styleId="BodyText1">
    <w:name w:val="Body Text1"/>
    <w:rsid w:val="006652E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Heading1Char">
    <w:name w:val="Heading 1 Char"/>
    <w:basedOn w:val="DefaultParagraphFont"/>
    <w:link w:val="Heading1"/>
    <w:rsid w:val="001A5B54"/>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1A5B54"/>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1A5B54"/>
    <w:rPr>
      <w:rFonts w:ascii="Arial" w:hAnsi="Arial" w:cs="Arial"/>
      <w:i/>
      <w:iCs/>
      <w:color w:val="999999"/>
      <w:sz w:val="16"/>
      <w:szCs w:val="24"/>
      <w:lang w:val="en-US" w:eastAsia="en-US"/>
    </w:rPr>
  </w:style>
  <w:style w:type="character" w:customStyle="1" w:styleId="Bodytext">
    <w:name w:val="Body text_"/>
    <w:link w:val="Bodytext10"/>
    <w:rsid w:val="001A5B54"/>
    <w:rPr>
      <w:shd w:val="clear" w:color="auto" w:fill="FFFFFF"/>
    </w:rPr>
  </w:style>
  <w:style w:type="paragraph" w:customStyle="1" w:styleId="Bodytext10">
    <w:name w:val="Body text1"/>
    <w:basedOn w:val="Normal"/>
    <w:link w:val="Bodytext"/>
    <w:rsid w:val="001A5B54"/>
    <w:pPr>
      <w:shd w:val="clear" w:color="auto" w:fill="FFFFFF"/>
      <w:spacing w:before="300" w:after="540" w:line="240" w:lineRule="atLeast"/>
      <w:ind w:hanging="560"/>
    </w:pPr>
    <w:rPr>
      <w:sz w:val="20"/>
      <w:szCs w:val="20"/>
      <w:lang w:val="sr-Latn-ME" w:eastAsia="sr-Latn-ME"/>
    </w:rPr>
  </w:style>
  <w:style w:type="character" w:customStyle="1" w:styleId="Tablecaption20">
    <w:name w:val="Table caption (2)_"/>
    <w:rsid w:val="001A5B54"/>
    <w:rPr>
      <w:rFonts w:ascii="Times New Roman" w:eastAsia="Times New Roman" w:hAnsi="Times New Roman" w:cs="Times New Roman"/>
      <w:b w:val="0"/>
      <w:bCs w:val="0"/>
      <w:i w:val="0"/>
      <w:iCs w:val="0"/>
      <w:smallCaps w:val="0"/>
      <w:strike w:val="0"/>
      <w:spacing w:val="0"/>
      <w:sz w:val="21"/>
      <w:szCs w:val="21"/>
    </w:rPr>
  </w:style>
  <w:style w:type="character" w:customStyle="1" w:styleId="BodytextBold">
    <w:name w:val="Body text + Bold"/>
    <w:rsid w:val="001A5B54"/>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Tablecaption105pt">
    <w:name w:val="Table caption + 10.5 pt"/>
    <w:rsid w:val="001A5B54"/>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Italic">
    <w:name w:val="Table caption + Italic"/>
    <w:rsid w:val="001A5B54"/>
    <w:rPr>
      <w:rFonts w:ascii="Times New Roman" w:eastAsia="Times New Roman" w:hAnsi="Times New Roman" w:cs="Times New Roman"/>
      <w:b w:val="0"/>
      <w:bCs w:val="0"/>
      <w:i/>
      <w:iCs/>
      <w:smallCaps w:val="0"/>
      <w:strike w:val="0"/>
      <w:spacing w:val="0"/>
      <w:sz w:val="17"/>
      <w:szCs w:val="17"/>
    </w:rPr>
  </w:style>
  <w:style w:type="character" w:customStyle="1" w:styleId="BodyText41">
    <w:name w:val="Body Text4"/>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51">
    <w:name w:val="Body Text5"/>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6">
    <w:name w:val="Body Text6"/>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styleId="Hyperlink">
    <w:name w:val="Hyperlink"/>
    <w:rsid w:val="001A5B54"/>
    <w:rPr>
      <w:color w:val="0066CC"/>
      <w:u w:val="single"/>
    </w:rPr>
  </w:style>
  <w:style w:type="character" w:customStyle="1" w:styleId="BodyText91">
    <w:name w:val="Body Text9"/>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00">
    <w:name w:val="Body Text10"/>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1">
    <w:name w:val="Body Text11"/>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2">
    <w:name w:val="Body Text12"/>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3">
    <w:name w:val="Body Text13"/>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4">
    <w:name w:val="Body Text14"/>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5">
    <w:name w:val="Body Text15"/>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BodyText16">
    <w:name w:val="Body Text16"/>
    <w:rsid w:val="001A5B54"/>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BodyText17">
    <w:name w:val="Body Text17"/>
    <w:rsid w:val="001A5B5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FooterChar">
    <w:name w:val="Footer Char"/>
    <w:basedOn w:val="DefaultParagraphFont"/>
    <w:link w:val="Footer"/>
    <w:uiPriority w:val="99"/>
    <w:rsid w:val="001A5B54"/>
    <w:rPr>
      <w:sz w:val="24"/>
      <w:szCs w:val="24"/>
      <w:lang w:val="en-US" w:eastAsia="en-US"/>
    </w:rPr>
  </w:style>
  <w:style w:type="paragraph" w:styleId="ListParagraph">
    <w:name w:val="List Paragraph"/>
    <w:basedOn w:val="Normal"/>
    <w:uiPriority w:val="34"/>
    <w:qFormat/>
    <w:rsid w:val="001A5B54"/>
    <w:pPr>
      <w:tabs>
        <w:tab w:val="left" w:pos="284"/>
      </w:tabs>
      <w:ind w:left="720"/>
      <w:contextualSpacing/>
      <w:jc w:val="both"/>
    </w:pPr>
    <w:rPr>
      <w:rFonts w:ascii="Humanist777" w:hAnsi="Humanist777"/>
    </w:rPr>
  </w:style>
  <w:style w:type="paragraph" w:customStyle="1" w:styleId="TableText">
    <w:name w:val="TableText"/>
    <w:rsid w:val="001A5B54"/>
    <w:pPr>
      <w:keepNext/>
      <w:ind w:left="850"/>
      <w:jc w:val="both"/>
    </w:pPr>
    <w:rPr>
      <w:lang w:val="en-US" w:eastAsia="en-US"/>
    </w:rPr>
  </w:style>
  <w:style w:type="character" w:customStyle="1" w:styleId="Bodytext230">
    <w:name w:val="Body text23"/>
    <w:basedOn w:val="Bodytext"/>
    <w:rsid w:val="001A5B54"/>
    <w:rPr>
      <w:sz w:val="21"/>
      <w:szCs w:val="21"/>
      <w:u w:val="single"/>
      <w:shd w:val="clear" w:color="auto" w:fill="FFFFFF"/>
      <w:lang w:bidi="ar-SA"/>
    </w:rPr>
  </w:style>
  <w:style w:type="character" w:customStyle="1" w:styleId="Bodytext60">
    <w:name w:val="Body text (6)_"/>
    <w:basedOn w:val="DefaultParagraphFont"/>
    <w:link w:val="Bodytext61"/>
    <w:rsid w:val="001A5B54"/>
    <w:rPr>
      <w:sz w:val="10"/>
      <w:szCs w:val="10"/>
      <w:shd w:val="clear" w:color="auto" w:fill="FFFFFF"/>
    </w:rPr>
  </w:style>
  <w:style w:type="paragraph" w:customStyle="1" w:styleId="Bodytext61">
    <w:name w:val="Body text (6)"/>
    <w:basedOn w:val="Normal"/>
    <w:link w:val="Bodytext60"/>
    <w:rsid w:val="001A5B54"/>
    <w:pPr>
      <w:shd w:val="clear" w:color="auto" w:fill="FFFFFF"/>
      <w:spacing w:line="0" w:lineRule="atLeast"/>
    </w:pPr>
    <w:rPr>
      <w:sz w:val="10"/>
      <w:szCs w:val="10"/>
      <w:lang w:val="sr-Latn-ME" w:eastAsia="sr-Latn-ME"/>
    </w:rPr>
  </w:style>
  <w:style w:type="character" w:customStyle="1" w:styleId="Tablecaption">
    <w:name w:val="Table caption_"/>
    <w:basedOn w:val="DefaultParagraphFont"/>
    <w:link w:val="Tablecaption0"/>
    <w:rsid w:val="001A5B54"/>
    <w:rPr>
      <w:sz w:val="15"/>
      <w:szCs w:val="15"/>
      <w:shd w:val="clear" w:color="auto" w:fill="FFFFFF"/>
    </w:rPr>
  </w:style>
  <w:style w:type="paragraph" w:customStyle="1" w:styleId="Tablecaption0">
    <w:name w:val="Table caption"/>
    <w:basedOn w:val="Normal"/>
    <w:link w:val="Tablecaption"/>
    <w:rsid w:val="001A5B54"/>
    <w:pPr>
      <w:shd w:val="clear" w:color="auto" w:fill="FFFFFF"/>
      <w:spacing w:line="235" w:lineRule="exact"/>
    </w:pPr>
    <w:rPr>
      <w:sz w:val="15"/>
      <w:szCs w:val="15"/>
      <w:lang w:val="sr-Latn-ME" w:eastAsia="sr-Latn-ME"/>
    </w:rPr>
  </w:style>
  <w:style w:type="character" w:customStyle="1" w:styleId="Heading2Char">
    <w:name w:val="Heading 2 Char"/>
    <w:basedOn w:val="DefaultParagraphFont"/>
    <w:link w:val="Heading2"/>
    <w:rsid w:val="001A5B54"/>
    <w:rPr>
      <w:rFonts w:ascii="Arial" w:hAnsi="Arial" w:cs="Arial"/>
      <w:i/>
      <w:iCs/>
      <w:color w:val="999999"/>
      <w:sz w:val="18"/>
      <w:szCs w:val="24"/>
      <w:lang w:val="en-US" w:eastAsia="en-US"/>
    </w:rPr>
  </w:style>
  <w:style w:type="paragraph" w:styleId="Revision">
    <w:name w:val="Revision"/>
    <w:hidden/>
    <w:uiPriority w:val="99"/>
    <w:semiHidden/>
    <w:rsid w:val="001A5B54"/>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5141">
      <w:bodyDiv w:val="1"/>
      <w:marLeft w:val="0"/>
      <w:marRight w:val="0"/>
      <w:marTop w:val="0"/>
      <w:marBottom w:val="0"/>
      <w:divBdr>
        <w:top w:val="none" w:sz="0" w:space="0" w:color="auto"/>
        <w:left w:val="none" w:sz="0" w:space="0" w:color="auto"/>
        <w:bottom w:val="none" w:sz="0" w:space="0" w:color="auto"/>
        <w:right w:val="none" w:sz="0" w:space="0" w:color="auto"/>
      </w:divBdr>
    </w:div>
    <w:div w:id="127361727">
      <w:bodyDiv w:val="1"/>
      <w:marLeft w:val="0"/>
      <w:marRight w:val="0"/>
      <w:marTop w:val="0"/>
      <w:marBottom w:val="0"/>
      <w:divBdr>
        <w:top w:val="none" w:sz="0" w:space="0" w:color="auto"/>
        <w:left w:val="none" w:sz="0" w:space="0" w:color="auto"/>
        <w:bottom w:val="none" w:sz="0" w:space="0" w:color="auto"/>
        <w:right w:val="none" w:sz="0" w:space="0" w:color="auto"/>
      </w:divBdr>
    </w:div>
    <w:div w:id="161435954">
      <w:bodyDiv w:val="1"/>
      <w:marLeft w:val="0"/>
      <w:marRight w:val="0"/>
      <w:marTop w:val="0"/>
      <w:marBottom w:val="0"/>
      <w:divBdr>
        <w:top w:val="none" w:sz="0" w:space="0" w:color="auto"/>
        <w:left w:val="none" w:sz="0" w:space="0" w:color="auto"/>
        <w:bottom w:val="none" w:sz="0" w:space="0" w:color="auto"/>
        <w:right w:val="none" w:sz="0" w:space="0" w:color="auto"/>
      </w:divBdr>
    </w:div>
    <w:div w:id="240141558">
      <w:bodyDiv w:val="1"/>
      <w:marLeft w:val="0"/>
      <w:marRight w:val="0"/>
      <w:marTop w:val="0"/>
      <w:marBottom w:val="0"/>
      <w:divBdr>
        <w:top w:val="none" w:sz="0" w:space="0" w:color="auto"/>
        <w:left w:val="none" w:sz="0" w:space="0" w:color="auto"/>
        <w:bottom w:val="none" w:sz="0" w:space="0" w:color="auto"/>
        <w:right w:val="none" w:sz="0" w:space="0" w:color="auto"/>
      </w:divBdr>
    </w:div>
    <w:div w:id="283468750">
      <w:bodyDiv w:val="1"/>
      <w:marLeft w:val="0"/>
      <w:marRight w:val="0"/>
      <w:marTop w:val="0"/>
      <w:marBottom w:val="0"/>
      <w:divBdr>
        <w:top w:val="none" w:sz="0" w:space="0" w:color="auto"/>
        <w:left w:val="none" w:sz="0" w:space="0" w:color="auto"/>
        <w:bottom w:val="none" w:sz="0" w:space="0" w:color="auto"/>
        <w:right w:val="none" w:sz="0" w:space="0" w:color="auto"/>
      </w:divBdr>
    </w:div>
    <w:div w:id="334188968">
      <w:bodyDiv w:val="1"/>
      <w:marLeft w:val="0"/>
      <w:marRight w:val="0"/>
      <w:marTop w:val="0"/>
      <w:marBottom w:val="0"/>
      <w:divBdr>
        <w:top w:val="none" w:sz="0" w:space="0" w:color="auto"/>
        <w:left w:val="none" w:sz="0" w:space="0" w:color="auto"/>
        <w:bottom w:val="none" w:sz="0" w:space="0" w:color="auto"/>
        <w:right w:val="none" w:sz="0" w:space="0" w:color="auto"/>
      </w:divBdr>
    </w:div>
    <w:div w:id="350224429">
      <w:bodyDiv w:val="1"/>
      <w:marLeft w:val="0"/>
      <w:marRight w:val="0"/>
      <w:marTop w:val="0"/>
      <w:marBottom w:val="0"/>
      <w:divBdr>
        <w:top w:val="none" w:sz="0" w:space="0" w:color="auto"/>
        <w:left w:val="none" w:sz="0" w:space="0" w:color="auto"/>
        <w:bottom w:val="none" w:sz="0" w:space="0" w:color="auto"/>
        <w:right w:val="none" w:sz="0" w:space="0" w:color="auto"/>
      </w:divBdr>
    </w:div>
    <w:div w:id="502941839">
      <w:bodyDiv w:val="1"/>
      <w:marLeft w:val="0"/>
      <w:marRight w:val="0"/>
      <w:marTop w:val="0"/>
      <w:marBottom w:val="0"/>
      <w:divBdr>
        <w:top w:val="none" w:sz="0" w:space="0" w:color="auto"/>
        <w:left w:val="none" w:sz="0" w:space="0" w:color="auto"/>
        <w:bottom w:val="none" w:sz="0" w:space="0" w:color="auto"/>
        <w:right w:val="none" w:sz="0" w:space="0" w:color="auto"/>
      </w:divBdr>
    </w:div>
    <w:div w:id="513616926">
      <w:bodyDiv w:val="1"/>
      <w:marLeft w:val="0"/>
      <w:marRight w:val="0"/>
      <w:marTop w:val="0"/>
      <w:marBottom w:val="0"/>
      <w:divBdr>
        <w:top w:val="none" w:sz="0" w:space="0" w:color="auto"/>
        <w:left w:val="none" w:sz="0" w:space="0" w:color="auto"/>
        <w:bottom w:val="none" w:sz="0" w:space="0" w:color="auto"/>
        <w:right w:val="none" w:sz="0" w:space="0" w:color="auto"/>
      </w:divBdr>
    </w:div>
    <w:div w:id="588581817">
      <w:bodyDiv w:val="1"/>
      <w:marLeft w:val="0"/>
      <w:marRight w:val="0"/>
      <w:marTop w:val="0"/>
      <w:marBottom w:val="0"/>
      <w:divBdr>
        <w:top w:val="none" w:sz="0" w:space="0" w:color="auto"/>
        <w:left w:val="none" w:sz="0" w:space="0" w:color="auto"/>
        <w:bottom w:val="none" w:sz="0" w:space="0" w:color="auto"/>
        <w:right w:val="none" w:sz="0" w:space="0" w:color="auto"/>
      </w:divBdr>
    </w:div>
    <w:div w:id="590162378">
      <w:bodyDiv w:val="1"/>
      <w:marLeft w:val="0"/>
      <w:marRight w:val="0"/>
      <w:marTop w:val="0"/>
      <w:marBottom w:val="0"/>
      <w:divBdr>
        <w:top w:val="none" w:sz="0" w:space="0" w:color="auto"/>
        <w:left w:val="none" w:sz="0" w:space="0" w:color="auto"/>
        <w:bottom w:val="none" w:sz="0" w:space="0" w:color="auto"/>
        <w:right w:val="none" w:sz="0" w:space="0" w:color="auto"/>
      </w:divBdr>
    </w:div>
    <w:div w:id="724568678">
      <w:bodyDiv w:val="1"/>
      <w:marLeft w:val="0"/>
      <w:marRight w:val="0"/>
      <w:marTop w:val="0"/>
      <w:marBottom w:val="0"/>
      <w:divBdr>
        <w:top w:val="none" w:sz="0" w:space="0" w:color="auto"/>
        <w:left w:val="none" w:sz="0" w:space="0" w:color="auto"/>
        <w:bottom w:val="none" w:sz="0" w:space="0" w:color="auto"/>
        <w:right w:val="none" w:sz="0" w:space="0" w:color="auto"/>
      </w:divBdr>
    </w:div>
    <w:div w:id="737358627">
      <w:bodyDiv w:val="1"/>
      <w:marLeft w:val="0"/>
      <w:marRight w:val="0"/>
      <w:marTop w:val="0"/>
      <w:marBottom w:val="0"/>
      <w:divBdr>
        <w:top w:val="none" w:sz="0" w:space="0" w:color="auto"/>
        <w:left w:val="none" w:sz="0" w:space="0" w:color="auto"/>
        <w:bottom w:val="none" w:sz="0" w:space="0" w:color="auto"/>
        <w:right w:val="none" w:sz="0" w:space="0" w:color="auto"/>
      </w:divBdr>
    </w:div>
    <w:div w:id="764807360">
      <w:bodyDiv w:val="1"/>
      <w:marLeft w:val="0"/>
      <w:marRight w:val="0"/>
      <w:marTop w:val="0"/>
      <w:marBottom w:val="0"/>
      <w:divBdr>
        <w:top w:val="none" w:sz="0" w:space="0" w:color="auto"/>
        <w:left w:val="none" w:sz="0" w:space="0" w:color="auto"/>
        <w:bottom w:val="none" w:sz="0" w:space="0" w:color="auto"/>
        <w:right w:val="none" w:sz="0" w:space="0" w:color="auto"/>
      </w:divBdr>
    </w:div>
    <w:div w:id="800926344">
      <w:bodyDiv w:val="1"/>
      <w:marLeft w:val="0"/>
      <w:marRight w:val="0"/>
      <w:marTop w:val="0"/>
      <w:marBottom w:val="0"/>
      <w:divBdr>
        <w:top w:val="none" w:sz="0" w:space="0" w:color="auto"/>
        <w:left w:val="none" w:sz="0" w:space="0" w:color="auto"/>
        <w:bottom w:val="none" w:sz="0" w:space="0" w:color="auto"/>
        <w:right w:val="none" w:sz="0" w:space="0" w:color="auto"/>
      </w:divBdr>
    </w:div>
    <w:div w:id="885917839">
      <w:bodyDiv w:val="1"/>
      <w:marLeft w:val="0"/>
      <w:marRight w:val="0"/>
      <w:marTop w:val="0"/>
      <w:marBottom w:val="0"/>
      <w:divBdr>
        <w:top w:val="none" w:sz="0" w:space="0" w:color="auto"/>
        <w:left w:val="none" w:sz="0" w:space="0" w:color="auto"/>
        <w:bottom w:val="none" w:sz="0" w:space="0" w:color="auto"/>
        <w:right w:val="none" w:sz="0" w:space="0" w:color="auto"/>
      </w:divBdr>
    </w:div>
    <w:div w:id="983121264">
      <w:bodyDiv w:val="1"/>
      <w:marLeft w:val="0"/>
      <w:marRight w:val="0"/>
      <w:marTop w:val="0"/>
      <w:marBottom w:val="0"/>
      <w:divBdr>
        <w:top w:val="none" w:sz="0" w:space="0" w:color="auto"/>
        <w:left w:val="none" w:sz="0" w:space="0" w:color="auto"/>
        <w:bottom w:val="none" w:sz="0" w:space="0" w:color="auto"/>
        <w:right w:val="none" w:sz="0" w:space="0" w:color="auto"/>
      </w:divBdr>
    </w:div>
    <w:div w:id="1044478568">
      <w:bodyDiv w:val="1"/>
      <w:marLeft w:val="0"/>
      <w:marRight w:val="0"/>
      <w:marTop w:val="0"/>
      <w:marBottom w:val="0"/>
      <w:divBdr>
        <w:top w:val="none" w:sz="0" w:space="0" w:color="auto"/>
        <w:left w:val="none" w:sz="0" w:space="0" w:color="auto"/>
        <w:bottom w:val="none" w:sz="0" w:space="0" w:color="auto"/>
        <w:right w:val="none" w:sz="0" w:space="0" w:color="auto"/>
      </w:divBdr>
    </w:div>
    <w:div w:id="1047994210">
      <w:bodyDiv w:val="1"/>
      <w:marLeft w:val="0"/>
      <w:marRight w:val="0"/>
      <w:marTop w:val="0"/>
      <w:marBottom w:val="0"/>
      <w:divBdr>
        <w:top w:val="none" w:sz="0" w:space="0" w:color="auto"/>
        <w:left w:val="none" w:sz="0" w:space="0" w:color="auto"/>
        <w:bottom w:val="none" w:sz="0" w:space="0" w:color="auto"/>
        <w:right w:val="none" w:sz="0" w:space="0" w:color="auto"/>
      </w:divBdr>
    </w:div>
    <w:div w:id="1068110829">
      <w:bodyDiv w:val="1"/>
      <w:marLeft w:val="0"/>
      <w:marRight w:val="0"/>
      <w:marTop w:val="0"/>
      <w:marBottom w:val="0"/>
      <w:divBdr>
        <w:top w:val="none" w:sz="0" w:space="0" w:color="auto"/>
        <w:left w:val="none" w:sz="0" w:space="0" w:color="auto"/>
        <w:bottom w:val="none" w:sz="0" w:space="0" w:color="auto"/>
        <w:right w:val="none" w:sz="0" w:space="0" w:color="auto"/>
      </w:divBdr>
    </w:div>
    <w:div w:id="1080522678">
      <w:bodyDiv w:val="1"/>
      <w:marLeft w:val="0"/>
      <w:marRight w:val="0"/>
      <w:marTop w:val="0"/>
      <w:marBottom w:val="0"/>
      <w:divBdr>
        <w:top w:val="none" w:sz="0" w:space="0" w:color="auto"/>
        <w:left w:val="none" w:sz="0" w:space="0" w:color="auto"/>
        <w:bottom w:val="none" w:sz="0" w:space="0" w:color="auto"/>
        <w:right w:val="none" w:sz="0" w:space="0" w:color="auto"/>
      </w:divBdr>
    </w:div>
    <w:div w:id="1101490379">
      <w:bodyDiv w:val="1"/>
      <w:marLeft w:val="0"/>
      <w:marRight w:val="0"/>
      <w:marTop w:val="0"/>
      <w:marBottom w:val="0"/>
      <w:divBdr>
        <w:top w:val="none" w:sz="0" w:space="0" w:color="auto"/>
        <w:left w:val="none" w:sz="0" w:space="0" w:color="auto"/>
        <w:bottom w:val="none" w:sz="0" w:space="0" w:color="auto"/>
        <w:right w:val="none" w:sz="0" w:space="0" w:color="auto"/>
      </w:divBdr>
    </w:div>
    <w:div w:id="1319654892">
      <w:bodyDiv w:val="1"/>
      <w:marLeft w:val="0"/>
      <w:marRight w:val="0"/>
      <w:marTop w:val="0"/>
      <w:marBottom w:val="0"/>
      <w:divBdr>
        <w:top w:val="none" w:sz="0" w:space="0" w:color="auto"/>
        <w:left w:val="none" w:sz="0" w:space="0" w:color="auto"/>
        <w:bottom w:val="none" w:sz="0" w:space="0" w:color="auto"/>
        <w:right w:val="none" w:sz="0" w:space="0" w:color="auto"/>
      </w:divBdr>
    </w:div>
    <w:div w:id="1352992876">
      <w:bodyDiv w:val="1"/>
      <w:marLeft w:val="0"/>
      <w:marRight w:val="0"/>
      <w:marTop w:val="0"/>
      <w:marBottom w:val="0"/>
      <w:divBdr>
        <w:top w:val="none" w:sz="0" w:space="0" w:color="auto"/>
        <w:left w:val="none" w:sz="0" w:space="0" w:color="auto"/>
        <w:bottom w:val="none" w:sz="0" w:space="0" w:color="auto"/>
        <w:right w:val="none" w:sz="0" w:space="0" w:color="auto"/>
      </w:divBdr>
    </w:div>
    <w:div w:id="1444033001">
      <w:bodyDiv w:val="1"/>
      <w:marLeft w:val="0"/>
      <w:marRight w:val="0"/>
      <w:marTop w:val="0"/>
      <w:marBottom w:val="0"/>
      <w:divBdr>
        <w:top w:val="none" w:sz="0" w:space="0" w:color="auto"/>
        <w:left w:val="none" w:sz="0" w:space="0" w:color="auto"/>
        <w:bottom w:val="none" w:sz="0" w:space="0" w:color="auto"/>
        <w:right w:val="none" w:sz="0" w:space="0" w:color="auto"/>
      </w:divBdr>
    </w:div>
    <w:div w:id="1469007585">
      <w:bodyDiv w:val="1"/>
      <w:marLeft w:val="0"/>
      <w:marRight w:val="0"/>
      <w:marTop w:val="0"/>
      <w:marBottom w:val="0"/>
      <w:divBdr>
        <w:top w:val="none" w:sz="0" w:space="0" w:color="auto"/>
        <w:left w:val="none" w:sz="0" w:space="0" w:color="auto"/>
        <w:bottom w:val="none" w:sz="0" w:space="0" w:color="auto"/>
        <w:right w:val="none" w:sz="0" w:space="0" w:color="auto"/>
      </w:divBdr>
    </w:div>
    <w:div w:id="1613366829">
      <w:bodyDiv w:val="1"/>
      <w:marLeft w:val="0"/>
      <w:marRight w:val="0"/>
      <w:marTop w:val="0"/>
      <w:marBottom w:val="0"/>
      <w:divBdr>
        <w:top w:val="none" w:sz="0" w:space="0" w:color="auto"/>
        <w:left w:val="none" w:sz="0" w:space="0" w:color="auto"/>
        <w:bottom w:val="none" w:sz="0" w:space="0" w:color="auto"/>
        <w:right w:val="none" w:sz="0" w:space="0" w:color="auto"/>
      </w:divBdr>
    </w:div>
    <w:div w:id="1651212163">
      <w:bodyDiv w:val="1"/>
      <w:marLeft w:val="0"/>
      <w:marRight w:val="0"/>
      <w:marTop w:val="0"/>
      <w:marBottom w:val="0"/>
      <w:divBdr>
        <w:top w:val="none" w:sz="0" w:space="0" w:color="auto"/>
        <w:left w:val="none" w:sz="0" w:space="0" w:color="auto"/>
        <w:bottom w:val="none" w:sz="0" w:space="0" w:color="auto"/>
        <w:right w:val="none" w:sz="0" w:space="0" w:color="auto"/>
      </w:divBdr>
    </w:div>
    <w:div w:id="1661426492">
      <w:bodyDiv w:val="1"/>
      <w:marLeft w:val="0"/>
      <w:marRight w:val="0"/>
      <w:marTop w:val="0"/>
      <w:marBottom w:val="0"/>
      <w:divBdr>
        <w:top w:val="none" w:sz="0" w:space="0" w:color="auto"/>
        <w:left w:val="none" w:sz="0" w:space="0" w:color="auto"/>
        <w:bottom w:val="none" w:sz="0" w:space="0" w:color="auto"/>
        <w:right w:val="none" w:sz="0" w:space="0" w:color="auto"/>
      </w:divBdr>
    </w:div>
    <w:div w:id="1820614109">
      <w:bodyDiv w:val="1"/>
      <w:marLeft w:val="0"/>
      <w:marRight w:val="0"/>
      <w:marTop w:val="0"/>
      <w:marBottom w:val="0"/>
      <w:divBdr>
        <w:top w:val="none" w:sz="0" w:space="0" w:color="auto"/>
        <w:left w:val="none" w:sz="0" w:space="0" w:color="auto"/>
        <w:bottom w:val="none" w:sz="0" w:space="0" w:color="auto"/>
        <w:right w:val="none" w:sz="0" w:space="0" w:color="auto"/>
      </w:divBdr>
    </w:div>
    <w:div w:id="1887333899">
      <w:bodyDiv w:val="1"/>
      <w:marLeft w:val="0"/>
      <w:marRight w:val="0"/>
      <w:marTop w:val="0"/>
      <w:marBottom w:val="0"/>
      <w:divBdr>
        <w:top w:val="none" w:sz="0" w:space="0" w:color="auto"/>
        <w:left w:val="none" w:sz="0" w:space="0" w:color="auto"/>
        <w:bottom w:val="none" w:sz="0" w:space="0" w:color="auto"/>
        <w:right w:val="none" w:sz="0" w:space="0" w:color="auto"/>
      </w:divBdr>
    </w:div>
    <w:div w:id="210849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zeljenadejstva@calims.m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lims.m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7" ma:contentTypeDescription="Create a new document." ma:contentTypeScope="" ma:versionID="e459bfbaf988e35ea7804652ee1dbbab">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ce1aaa0f8dc916c17527fc3b562b66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C9DCB-2C3D-4A0C-B004-13CB506C9E2F}">
  <ds:schemaRefs>
    <ds:schemaRef ds:uri="http://schemas.microsoft.com/office/2006/metadata/properties"/>
    <ds:schemaRef ds:uri="http://schemas.microsoft.com/office/infopath/2007/PartnerControls"/>
    <ds:schemaRef ds:uri="http://schemas.microsoft.com/sharepoint/v3"/>
    <ds:schemaRef ds:uri="87a12c2e-30ca-4884-a8f3-aaf1cec579a2"/>
  </ds:schemaRefs>
</ds:datastoreItem>
</file>

<file path=customXml/itemProps2.xml><?xml version="1.0" encoding="utf-8"?>
<ds:datastoreItem xmlns:ds="http://schemas.openxmlformats.org/officeDocument/2006/customXml" ds:itemID="{7BE6873F-AE81-42EE-A32F-C6A2F6F80A32}">
  <ds:schemaRefs>
    <ds:schemaRef ds:uri="http://schemas.microsoft.com/sharepoint/v3/contenttype/forms"/>
  </ds:schemaRefs>
</ds:datastoreItem>
</file>

<file path=customXml/itemProps3.xml><?xml version="1.0" encoding="utf-8"?>
<ds:datastoreItem xmlns:ds="http://schemas.openxmlformats.org/officeDocument/2006/customXml" ds:itemID="{823BCD7D-B3BC-4A92-9A1D-7460EF6E3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97BF7-6FD7-4161-B022-461518CC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9435</Words>
  <Characters>53781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63090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Nikezić</cp:lastModifiedBy>
  <cp:revision>10</cp:revision>
  <dcterms:created xsi:type="dcterms:W3CDTF">2023-06-09T07:46:00Z</dcterms:created>
  <dcterms:modified xsi:type="dcterms:W3CDTF">2023-10-27T07:26:00Z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0x010100DE7D130A5A58B8439ABFAABEC7E6D768</vt:lpwstr>
  </property>
</Properties>
</file>