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7B" w:rsidRPr="00983B42" w:rsidRDefault="00F91C7B" w:rsidP="001A5518">
      <w:pPr>
        <w:rPr>
          <w:b/>
          <w:bCs/>
          <w:i/>
          <w:iCs/>
          <w:sz w:val="22"/>
          <w:szCs w:val="22"/>
          <w:u w:val="single"/>
          <w:lang w:val="sr-Latn-ME"/>
        </w:rPr>
      </w:pPr>
    </w:p>
    <w:p w:rsidR="002510A5" w:rsidRPr="00983B42" w:rsidRDefault="002510A5" w:rsidP="002510A5">
      <w:pPr>
        <w:jc w:val="center"/>
        <w:rPr>
          <w:b/>
          <w:bCs/>
          <w:iCs/>
          <w:sz w:val="22"/>
          <w:szCs w:val="22"/>
          <w:u w:val="single"/>
          <w:lang w:val="sr-Latn-ME"/>
        </w:rPr>
      </w:pPr>
      <w:r w:rsidRPr="00983B42">
        <w:rPr>
          <w:b/>
          <w:bCs/>
          <w:iCs/>
          <w:sz w:val="22"/>
          <w:szCs w:val="22"/>
          <w:u w:val="single"/>
          <w:lang w:val="sr-Latn-ME"/>
        </w:rPr>
        <w:t>SAŽETAK KARAKTERISTIKA LIJEKA</w:t>
      </w:r>
    </w:p>
    <w:p w:rsidR="002510A5" w:rsidRPr="00983B42" w:rsidRDefault="002510A5" w:rsidP="002510A5">
      <w:pPr>
        <w:rPr>
          <w:b/>
          <w:bCs/>
          <w:i/>
          <w:iCs/>
          <w:sz w:val="22"/>
          <w:szCs w:val="22"/>
          <w:u w:val="single"/>
          <w:lang w:val="sr-Latn-ME"/>
        </w:rPr>
      </w:pPr>
    </w:p>
    <w:p w:rsidR="003C17AB" w:rsidRPr="00983B42" w:rsidRDefault="003C17AB" w:rsidP="00CA1FEB">
      <w:pPr>
        <w:rPr>
          <w:sz w:val="22"/>
          <w:szCs w:val="22"/>
          <w:lang w:val="sr-Latn-ME"/>
        </w:rPr>
      </w:pPr>
    </w:p>
    <w:p w:rsidR="003C17AB" w:rsidRPr="00983B42" w:rsidRDefault="003C17AB" w:rsidP="002A195D">
      <w:pPr>
        <w:tabs>
          <w:tab w:val="left" w:pos="540"/>
          <w:tab w:val="left" w:pos="569"/>
        </w:tabs>
        <w:jc w:val="both"/>
        <w:rPr>
          <w:noProof/>
          <w:sz w:val="22"/>
          <w:szCs w:val="22"/>
          <w:lang w:val="sr-Latn-ME"/>
        </w:rPr>
      </w:pPr>
      <w:r w:rsidRPr="00983B42">
        <w:rPr>
          <w:noProof/>
          <w:sz w:val="22"/>
          <w:szCs w:val="22"/>
          <w:lang w:val="sr-Latn-ME"/>
        </w:rPr>
        <w:t xml:space="preserve"> </w:t>
      </w:r>
    </w:p>
    <w:p w:rsidR="00411B4B" w:rsidRPr="00983B42" w:rsidRDefault="00411B4B" w:rsidP="00F5167F">
      <w:pPr>
        <w:tabs>
          <w:tab w:val="left" w:pos="540"/>
          <w:tab w:val="left" w:pos="569"/>
        </w:tabs>
        <w:rPr>
          <w:b/>
          <w:bCs/>
          <w:sz w:val="22"/>
          <w:szCs w:val="22"/>
          <w:lang w:val="sr-Latn-ME"/>
        </w:rPr>
      </w:pPr>
      <w:r w:rsidRPr="00983B42">
        <w:rPr>
          <w:b/>
          <w:bCs/>
          <w:sz w:val="22"/>
          <w:szCs w:val="22"/>
          <w:lang w:val="sr-Latn-ME"/>
        </w:rPr>
        <w:t>1.</w:t>
      </w:r>
      <w:r w:rsidR="00F5167F" w:rsidRPr="00983B42">
        <w:rPr>
          <w:b/>
          <w:bCs/>
          <w:sz w:val="22"/>
          <w:szCs w:val="22"/>
          <w:lang w:val="sr-Latn-ME"/>
        </w:rPr>
        <w:tab/>
      </w:r>
      <w:r w:rsidR="002846DB" w:rsidRPr="00983B42">
        <w:rPr>
          <w:b/>
          <w:bCs/>
          <w:sz w:val="22"/>
          <w:szCs w:val="22"/>
          <w:lang w:val="sr-Latn-ME"/>
        </w:rPr>
        <w:t xml:space="preserve">NAZIV </w:t>
      </w:r>
      <w:r w:rsidRPr="00983B42">
        <w:rPr>
          <w:b/>
          <w:bCs/>
          <w:sz w:val="22"/>
          <w:szCs w:val="22"/>
          <w:lang w:val="sr-Latn-ME"/>
        </w:rPr>
        <w:t>LIJEKA</w:t>
      </w:r>
    </w:p>
    <w:p w:rsidR="00EC2532" w:rsidRPr="00983B42" w:rsidRDefault="00EC2532">
      <w:pPr>
        <w:rPr>
          <w:sz w:val="22"/>
          <w:szCs w:val="22"/>
          <w:lang w:val="sr-Latn-ME"/>
        </w:rPr>
      </w:pPr>
    </w:p>
    <w:p w:rsidR="002A195D" w:rsidRPr="00983B42" w:rsidRDefault="002A195D" w:rsidP="004B5D44">
      <w:pPr>
        <w:jc w:val="both"/>
        <w:rPr>
          <w:sz w:val="22"/>
          <w:szCs w:val="22"/>
          <w:vertAlign w:val="superscript"/>
          <w:lang w:val="sr-Latn-ME"/>
        </w:rPr>
      </w:pPr>
      <w:r w:rsidRPr="00983B42">
        <w:rPr>
          <w:sz w:val="22"/>
          <w:szCs w:val="22"/>
          <w:lang w:val="sr-Latn-ME"/>
        </w:rPr>
        <w:t>FENIX</w:t>
      </w:r>
      <w:r w:rsidR="00573EBB" w:rsidRPr="00983B42">
        <w:rPr>
          <w:sz w:val="22"/>
          <w:szCs w:val="22"/>
          <w:lang w:val="sr-Latn-ME"/>
        </w:rPr>
        <w:t>,</w:t>
      </w:r>
      <w:r w:rsidR="00893FE2" w:rsidRPr="00983B42">
        <w:rPr>
          <w:sz w:val="22"/>
          <w:szCs w:val="22"/>
          <w:vertAlign w:val="superscript"/>
          <w:lang w:val="sr-Latn-ME"/>
        </w:rPr>
        <w:t xml:space="preserve"> </w:t>
      </w:r>
      <w:r w:rsidR="00143C01" w:rsidRPr="00983B42">
        <w:rPr>
          <w:sz w:val="22"/>
          <w:szCs w:val="22"/>
          <w:lang w:val="sr-Latn-ME"/>
        </w:rPr>
        <w:t>4</w:t>
      </w:r>
      <w:r w:rsidRPr="00983B42">
        <w:rPr>
          <w:sz w:val="22"/>
          <w:szCs w:val="22"/>
          <w:lang w:val="sr-Latn-ME"/>
        </w:rPr>
        <w:t>0 mg</w:t>
      </w:r>
      <w:r w:rsidR="00573EBB" w:rsidRPr="00983B42">
        <w:rPr>
          <w:sz w:val="22"/>
          <w:szCs w:val="22"/>
          <w:lang w:val="sr-Latn-ME"/>
        </w:rPr>
        <w:t>,</w:t>
      </w:r>
      <w:r w:rsidR="00B516E0" w:rsidRPr="00983B42">
        <w:rPr>
          <w:sz w:val="22"/>
          <w:szCs w:val="22"/>
          <w:lang w:val="sr-Latn-ME"/>
        </w:rPr>
        <w:t xml:space="preserve"> </w:t>
      </w:r>
      <w:r w:rsidR="004B5D44" w:rsidRPr="00983B42">
        <w:rPr>
          <w:sz w:val="22"/>
          <w:szCs w:val="22"/>
          <w:lang w:val="sr-Latn-ME"/>
        </w:rPr>
        <w:t>gastrorezistentn</w:t>
      </w:r>
      <w:r w:rsidR="00573EBB" w:rsidRPr="00983B42">
        <w:rPr>
          <w:sz w:val="22"/>
          <w:szCs w:val="22"/>
          <w:lang w:val="sr-Latn-ME"/>
        </w:rPr>
        <w:t>a</w:t>
      </w:r>
      <w:r w:rsidRPr="00983B42">
        <w:rPr>
          <w:sz w:val="22"/>
          <w:szCs w:val="22"/>
          <w:lang w:val="sr-Latn-ME"/>
        </w:rPr>
        <w:t xml:space="preserve"> tablet</w:t>
      </w:r>
      <w:r w:rsidR="00573EBB" w:rsidRPr="00983B42">
        <w:rPr>
          <w:sz w:val="22"/>
          <w:szCs w:val="22"/>
          <w:lang w:val="sr-Latn-ME"/>
        </w:rPr>
        <w:t>a</w:t>
      </w:r>
    </w:p>
    <w:p w:rsidR="000D425A" w:rsidRPr="00983B42" w:rsidRDefault="000D425A">
      <w:pPr>
        <w:rPr>
          <w:bCs/>
          <w:sz w:val="22"/>
          <w:szCs w:val="22"/>
          <w:lang w:val="sr-Latn-ME"/>
        </w:rPr>
      </w:pPr>
    </w:p>
    <w:p w:rsidR="002A195D" w:rsidRPr="00983B42" w:rsidRDefault="006D20A5" w:rsidP="002A195D">
      <w:pPr>
        <w:jc w:val="both"/>
        <w:rPr>
          <w:i/>
          <w:sz w:val="22"/>
          <w:szCs w:val="22"/>
          <w:lang w:val="sr-Latn-ME"/>
        </w:rPr>
      </w:pPr>
      <w:r w:rsidRPr="00983B42">
        <w:rPr>
          <w:sz w:val="22"/>
          <w:szCs w:val="22"/>
          <w:lang w:val="sr-Latn-ME"/>
        </w:rPr>
        <w:t>INN:</w:t>
      </w:r>
      <w:r w:rsidR="002A195D" w:rsidRPr="00983B42">
        <w:rPr>
          <w:sz w:val="22"/>
          <w:szCs w:val="22"/>
          <w:lang w:val="sr-Latn-ME"/>
        </w:rPr>
        <w:t xml:space="preserve"> </w:t>
      </w:r>
      <w:r w:rsidR="002A195D" w:rsidRPr="00983B42">
        <w:rPr>
          <w:i/>
          <w:sz w:val="22"/>
          <w:szCs w:val="22"/>
          <w:lang w:val="sr-Latn-ME"/>
        </w:rPr>
        <w:t>pantoprazol</w:t>
      </w:r>
    </w:p>
    <w:p w:rsidR="006D20A5" w:rsidRDefault="006D20A5" w:rsidP="006D20A5">
      <w:pPr>
        <w:rPr>
          <w:sz w:val="22"/>
          <w:szCs w:val="22"/>
          <w:lang w:val="sr-Latn-ME"/>
        </w:rPr>
      </w:pPr>
    </w:p>
    <w:p w:rsidR="00983B42" w:rsidRPr="00983B42" w:rsidRDefault="00983B42" w:rsidP="006D20A5">
      <w:pPr>
        <w:rPr>
          <w:sz w:val="22"/>
          <w:szCs w:val="22"/>
          <w:lang w:val="sr-Latn-ME"/>
        </w:rPr>
      </w:pPr>
    </w:p>
    <w:p w:rsidR="00411B4B" w:rsidRPr="00983B42" w:rsidRDefault="00411B4B" w:rsidP="00F5167F">
      <w:pPr>
        <w:tabs>
          <w:tab w:val="left" w:pos="540"/>
          <w:tab w:val="left" w:pos="569"/>
        </w:tabs>
        <w:rPr>
          <w:b/>
          <w:bCs/>
          <w:sz w:val="22"/>
          <w:szCs w:val="22"/>
          <w:lang w:val="sr-Latn-ME"/>
        </w:rPr>
      </w:pPr>
      <w:r w:rsidRPr="00983B42">
        <w:rPr>
          <w:b/>
          <w:bCs/>
          <w:sz w:val="22"/>
          <w:szCs w:val="22"/>
          <w:lang w:val="sr-Latn-ME"/>
        </w:rPr>
        <w:t xml:space="preserve">2. </w:t>
      </w:r>
      <w:r w:rsidR="00F5167F" w:rsidRPr="00983B42">
        <w:rPr>
          <w:b/>
          <w:bCs/>
          <w:sz w:val="22"/>
          <w:szCs w:val="22"/>
          <w:lang w:val="sr-Latn-ME"/>
        </w:rPr>
        <w:tab/>
      </w:r>
      <w:r w:rsidRPr="00983B42">
        <w:rPr>
          <w:b/>
          <w:bCs/>
          <w:sz w:val="22"/>
          <w:szCs w:val="22"/>
          <w:lang w:val="sr-Latn-ME"/>
        </w:rPr>
        <w:t>KVALITATIVNI I KVANTITATIVNI SASTAV</w:t>
      </w:r>
    </w:p>
    <w:p w:rsidR="005A0B2E" w:rsidRPr="00983B42" w:rsidRDefault="005A0B2E">
      <w:pPr>
        <w:rPr>
          <w:sz w:val="22"/>
          <w:szCs w:val="22"/>
          <w:lang w:val="sr-Latn-ME"/>
        </w:rPr>
      </w:pPr>
    </w:p>
    <w:p w:rsidR="00650A45" w:rsidRPr="00983B42" w:rsidRDefault="00650A45" w:rsidP="00573EBB">
      <w:pPr>
        <w:jc w:val="both"/>
        <w:rPr>
          <w:sz w:val="22"/>
          <w:szCs w:val="22"/>
          <w:lang w:val="sr-Latn-ME"/>
        </w:rPr>
      </w:pPr>
      <w:r w:rsidRPr="00983B42">
        <w:rPr>
          <w:sz w:val="22"/>
          <w:szCs w:val="22"/>
          <w:lang w:val="sr-Latn-ME"/>
        </w:rPr>
        <w:t xml:space="preserve">Jedna </w:t>
      </w:r>
      <w:r w:rsidR="004B5D44" w:rsidRPr="00983B42">
        <w:rPr>
          <w:sz w:val="22"/>
          <w:szCs w:val="22"/>
          <w:lang w:val="sr-Latn-ME"/>
        </w:rPr>
        <w:t>gastrorezistentna</w:t>
      </w:r>
      <w:r w:rsidRPr="00983B42">
        <w:rPr>
          <w:sz w:val="22"/>
          <w:szCs w:val="22"/>
          <w:lang w:val="sr-Latn-ME"/>
        </w:rPr>
        <w:t xml:space="preserve"> tableta sadrži</w:t>
      </w:r>
      <w:r w:rsidR="00573EBB" w:rsidRPr="00983B42">
        <w:rPr>
          <w:sz w:val="22"/>
          <w:szCs w:val="22"/>
          <w:lang w:val="sr-Latn-ME"/>
        </w:rPr>
        <w:t xml:space="preserve"> 40 mg</w:t>
      </w:r>
      <w:r w:rsidRPr="00983B42">
        <w:rPr>
          <w:sz w:val="22"/>
          <w:szCs w:val="22"/>
          <w:lang w:val="sr-Latn-ME"/>
        </w:rPr>
        <w:t xml:space="preserve"> </w:t>
      </w:r>
      <w:r w:rsidR="004B5D44" w:rsidRPr="00983B42">
        <w:rPr>
          <w:sz w:val="22"/>
          <w:szCs w:val="22"/>
          <w:lang w:val="sr-Latn-ME"/>
        </w:rPr>
        <w:t>p</w:t>
      </w:r>
      <w:r w:rsidRPr="00983B42">
        <w:rPr>
          <w:sz w:val="22"/>
          <w:szCs w:val="22"/>
          <w:lang w:val="sr-Latn-ME"/>
        </w:rPr>
        <w:t xml:space="preserve">antoprazola (u obliku </w:t>
      </w:r>
      <w:r w:rsidR="00573EBB" w:rsidRPr="00983B42">
        <w:rPr>
          <w:sz w:val="22"/>
          <w:szCs w:val="22"/>
          <w:lang w:val="sr-Latn-ME"/>
        </w:rPr>
        <w:t xml:space="preserve">pantoprazol </w:t>
      </w:r>
      <w:r w:rsidRPr="00983B42">
        <w:rPr>
          <w:sz w:val="22"/>
          <w:szCs w:val="22"/>
          <w:lang w:val="sr-Latn-ME"/>
        </w:rPr>
        <w:t>natrij</w:t>
      </w:r>
      <w:r w:rsidR="004B5D44" w:rsidRPr="00983B42">
        <w:rPr>
          <w:sz w:val="22"/>
          <w:szCs w:val="22"/>
          <w:lang w:val="sr-Latn-ME"/>
        </w:rPr>
        <w:t xml:space="preserve">um </w:t>
      </w:r>
      <w:r w:rsidRPr="00983B42">
        <w:rPr>
          <w:sz w:val="22"/>
          <w:szCs w:val="22"/>
          <w:lang w:val="sr-Latn-ME"/>
        </w:rPr>
        <w:t>seskvihidrata).</w:t>
      </w:r>
    </w:p>
    <w:p w:rsidR="00650A45" w:rsidRPr="00983B42" w:rsidRDefault="00650A45">
      <w:pPr>
        <w:rPr>
          <w:sz w:val="22"/>
          <w:szCs w:val="22"/>
          <w:lang w:val="sr-Latn-ME"/>
        </w:rPr>
      </w:pPr>
    </w:p>
    <w:p w:rsidR="0003793F" w:rsidRDefault="0003793F">
      <w:pPr>
        <w:rPr>
          <w:sz w:val="22"/>
          <w:szCs w:val="22"/>
          <w:lang w:val="sr-Latn-ME"/>
        </w:rPr>
      </w:pPr>
      <w:r w:rsidRPr="00983B42">
        <w:rPr>
          <w:sz w:val="22"/>
          <w:szCs w:val="22"/>
          <w:lang w:val="sr-Latn-ME"/>
        </w:rPr>
        <w:t>Za spisak svih ekscipijenasa, pogledati dio 6.1.</w:t>
      </w:r>
    </w:p>
    <w:p w:rsidR="00983B42" w:rsidRPr="00983B42" w:rsidRDefault="00983B42">
      <w:pPr>
        <w:rPr>
          <w:sz w:val="22"/>
          <w:szCs w:val="22"/>
          <w:lang w:val="sr-Latn-ME"/>
        </w:rPr>
      </w:pPr>
    </w:p>
    <w:p w:rsidR="0003793F" w:rsidRPr="00983B42" w:rsidRDefault="0003793F">
      <w:pPr>
        <w:rPr>
          <w:sz w:val="22"/>
          <w:szCs w:val="22"/>
          <w:lang w:val="sr-Latn-ME"/>
        </w:rPr>
      </w:pPr>
    </w:p>
    <w:p w:rsidR="00411B4B" w:rsidRPr="00983B42" w:rsidRDefault="00411B4B" w:rsidP="00F5167F">
      <w:pPr>
        <w:tabs>
          <w:tab w:val="left" w:pos="540"/>
          <w:tab w:val="left" w:pos="569"/>
        </w:tabs>
        <w:rPr>
          <w:b/>
          <w:bCs/>
          <w:sz w:val="22"/>
          <w:szCs w:val="22"/>
          <w:lang w:val="sr-Latn-ME"/>
        </w:rPr>
      </w:pPr>
      <w:r w:rsidRPr="00983B42">
        <w:rPr>
          <w:b/>
          <w:bCs/>
          <w:sz w:val="22"/>
          <w:szCs w:val="22"/>
          <w:lang w:val="sr-Latn-ME"/>
        </w:rPr>
        <w:t xml:space="preserve">3. </w:t>
      </w:r>
      <w:r w:rsidR="00F5167F" w:rsidRPr="00983B42">
        <w:rPr>
          <w:b/>
          <w:bCs/>
          <w:sz w:val="22"/>
          <w:szCs w:val="22"/>
          <w:lang w:val="sr-Latn-ME"/>
        </w:rPr>
        <w:tab/>
      </w:r>
      <w:r w:rsidRPr="00983B42">
        <w:rPr>
          <w:b/>
          <w:bCs/>
          <w:sz w:val="22"/>
          <w:szCs w:val="22"/>
          <w:lang w:val="sr-Latn-ME"/>
        </w:rPr>
        <w:t>FARMACEUTSKI OBLIK</w:t>
      </w:r>
      <w:r w:rsidR="009F2D23" w:rsidRPr="00983B42">
        <w:rPr>
          <w:b/>
          <w:bCs/>
          <w:sz w:val="22"/>
          <w:szCs w:val="22"/>
          <w:lang w:val="sr-Latn-ME"/>
        </w:rPr>
        <w:t xml:space="preserve"> </w:t>
      </w:r>
    </w:p>
    <w:p w:rsidR="00686D43" w:rsidRPr="00983B42" w:rsidRDefault="00686D43" w:rsidP="00686D43">
      <w:pPr>
        <w:jc w:val="both"/>
        <w:rPr>
          <w:sz w:val="22"/>
          <w:szCs w:val="22"/>
          <w:lang w:val="sr-Latn-ME"/>
        </w:rPr>
      </w:pPr>
    </w:p>
    <w:p w:rsidR="00686D43" w:rsidRPr="00983B42" w:rsidRDefault="00C75A73" w:rsidP="00686D43">
      <w:pPr>
        <w:jc w:val="both"/>
        <w:rPr>
          <w:sz w:val="22"/>
          <w:szCs w:val="22"/>
          <w:lang w:val="sr-Latn-ME"/>
        </w:rPr>
      </w:pPr>
      <w:r w:rsidRPr="00983B42">
        <w:rPr>
          <w:sz w:val="22"/>
          <w:szCs w:val="22"/>
          <w:lang w:val="sr-Latn-ME"/>
        </w:rPr>
        <w:t>Gastrorezistentna</w:t>
      </w:r>
      <w:r w:rsidR="00686D43" w:rsidRPr="00983B42">
        <w:rPr>
          <w:sz w:val="22"/>
          <w:szCs w:val="22"/>
          <w:lang w:val="sr-Latn-ME"/>
        </w:rPr>
        <w:t xml:space="preserve"> tableta.</w:t>
      </w:r>
    </w:p>
    <w:p w:rsidR="00686D43" w:rsidRPr="00983B42" w:rsidRDefault="00686D43" w:rsidP="00686D43">
      <w:pPr>
        <w:jc w:val="both"/>
        <w:rPr>
          <w:sz w:val="22"/>
          <w:szCs w:val="22"/>
          <w:lang w:val="sr-Latn-ME"/>
        </w:rPr>
      </w:pPr>
      <w:r w:rsidRPr="00983B42">
        <w:rPr>
          <w:sz w:val="22"/>
          <w:szCs w:val="22"/>
          <w:lang w:val="sr-Latn-ME"/>
        </w:rPr>
        <w:t>Žut</w:t>
      </w:r>
      <w:r w:rsidR="00573EBB" w:rsidRPr="00983B42">
        <w:rPr>
          <w:sz w:val="22"/>
          <w:szCs w:val="22"/>
          <w:lang w:val="sr-Latn-ME"/>
        </w:rPr>
        <w:t>e</w:t>
      </w:r>
      <w:r w:rsidRPr="00983B42">
        <w:rPr>
          <w:sz w:val="22"/>
          <w:szCs w:val="22"/>
          <w:lang w:val="sr-Latn-ME"/>
        </w:rPr>
        <w:t xml:space="preserve">, ovalne, bikonveksne, </w:t>
      </w:r>
      <w:r w:rsidR="00573EBB" w:rsidRPr="00983B42">
        <w:rPr>
          <w:sz w:val="22"/>
          <w:szCs w:val="22"/>
          <w:lang w:val="sr-Latn-ME"/>
        </w:rPr>
        <w:t xml:space="preserve">gastrorezistentnim filmom </w:t>
      </w:r>
      <w:r w:rsidRPr="00983B42">
        <w:rPr>
          <w:sz w:val="22"/>
          <w:szCs w:val="22"/>
          <w:lang w:val="sr-Latn-ME"/>
        </w:rPr>
        <w:t>obložene tablete, ravne sa obje strane.</w:t>
      </w:r>
    </w:p>
    <w:p w:rsidR="00143C01" w:rsidRDefault="00143C01" w:rsidP="00686D43">
      <w:pPr>
        <w:jc w:val="both"/>
        <w:rPr>
          <w:sz w:val="22"/>
          <w:szCs w:val="22"/>
          <w:lang w:val="sr-Latn-ME"/>
        </w:rPr>
      </w:pPr>
    </w:p>
    <w:p w:rsidR="00983B42" w:rsidRPr="00983B42" w:rsidRDefault="00983B42" w:rsidP="00686D43">
      <w:pPr>
        <w:jc w:val="both"/>
        <w:rPr>
          <w:sz w:val="22"/>
          <w:szCs w:val="22"/>
          <w:lang w:val="sr-Latn-ME"/>
        </w:rPr>
      </w:pPr>
    </w:p>
    <w:p w:rsidR="00411B4B" w:rsidRPr="00983B42" w:rsidRDefault="00411B4B" w:rsidP="00F5167F">
      <w:pPr>
        <w:tabs>
          <w:tab w:val="left" w:pos="540"/>
          <w:tab w:val="left" w:pos="569"/>
        </w:tabs>
        <w:rPr>
          <w:b/>
          <w:bCs/>
          <w:sz w:val="22"/>
          <w:szCs w:val="22"/>
          <w:lang w:val="sr-Latn-ME"/>
        </w:rPr>
      </w:pPr>
      <w:r w:rsidRPr="00983B42">
        <w:rPr>
          <w:b/>
          <w:bCs/>
          <w:sz w:val="22"/>
          <w:szCs w:val="22"/>
          <w:lang w:val="sr-Latn-ME"/>
        </w:rPr>
        <w:t xml:space="preserve">4. </w:t>
      </w:r>
      <w:r w:rsidR="00480FB1" w:rsidRPr="00983B42">
        <w:rPr>
          <w:b/>
          <w:bCs/>
          <w:sz w:val="22"/>
          <w:szCs w:val="22"/>
          <w:lang w:val="sr-Latn-ME"/>
        </w:rPr>
        <w:tab/>
      </w:r>
      <w:r w:rsidRPr="00983B42">
        <w:rPr>
          <w:b/>
          <w:bCs/>
          <w:sz w:val="22"/>
          <w:szCs w:val="22"/>
          <w:lang w:val="sr-Latn-ME"/>
        </w:rPr>
        <w:t>KLINIČKI PODACI</w:t>
      </w:r>
    </w:p>
    <w:p w:rsidR="00CD6F02" w:rsidRPr="00983B42" w:rsidRDefault="00CD6F02" w:rsidP="00480FB1">
      <w:pPr>
        <w:tabs>
          <w:tab w:val="left" w:pos="540"/>
          <w:tab w:val="left" w:pos="569"/>
        </w:tabs>
        <w:rPr>
          <w:bCs/>
          <w:sz w:val="22"/>
          <w:szCs w:val="22"/>
          <w:lang w:val="sr-Latn-ME"/>
        </w:rPr>
      </w:pPr>
    </w:p>
    <w:p w:rsidR="00411B4B" w:rsidRPr="00983B42" w:rsidRDefault="00411B4B" w:rsidP="00480FB1">
      <w:pPr>
        <w:tabs>
          <w:tab w:val="left" w:pos="540"/>
          <w:tab w:val="left" w:pos="569"/>
        </w:tabs>
        <w:rPr>
          <w:b/>
          <w:bCs/>
          <w:sz w:val="22"/>
          <w:szCs w:val="22"/>
          <w:lang w:val="sr-Latn-ME"/>
        </w:rPr>
      </w:pPr>
      <w:r w:rsidRPr="00983B42">
        <w:rPr>
          <w:b/>
          <w:bCs/>
          <w:sz w:val="22"/>
          <w:szCs w:val="22"/>
          <w:lang w:val="sr-Latn-ME"/>
        </w:rPr>
        <w:t xml:space="preserve">4.1. </w:t>
      </w:r>
      <w:r w:rsidR="00480FB1" w:rsidRPr="00983B42">
        <w:rPr>
          <w:b/>
          <w:bCs/>
          <w:sz w:val="22"/>
          <w:szCs w:val="22"/>
          <w:lang w:val="sr-Latn-ME"/>
        </w:rPr>
        <w:tab/>
      </w:r>
      <w:r w:rsidRPr="00983B42">
        <w:rPr>
          <w:b/>
          <w:bCs/>
          <w:sz w:val="22"/>
          <w:szCs w:val="22"/>
          <w:lang w:val="sr-Latn-ME"/>
        </w:rPr>
        <w:t>Terapijske indikacije</w:t>
      </w:r>
    </w:p>
    <w:p w:rsidR="00A846B0" w:rsidRPr="00983B42" w:rsidRDefault="00A846B0" w:rsidP="00480FB1">
      <w:pPr>
        <w:tabs>
          <w:tab w:val="left" w:pos="540"/>
          <w:tab w:val="left" w:pos="569"/>
        </w:tabs>
        <w:rPr>
          <w:b/>
          <w:bCs/>
          <w:sz w:val="22"/>
          <w:szCs w:val="22"/>
          <w:lang w:val="sr-Latn-ME"/>
        </w:rPr>
      </w:pPr>
    </w:p>
    <w:p w:rsidR="00A846B0" w:rsidRPr="00983B42" w:rsidRDefault="00137B43" w:rsidP="00A846B0">
      <w:pPr>
        <w:jc w:val="both"/>
        <w:rPr>
          <w:sz w:val="22"/>
          <w:szCs w:val="22"/>
          <w:lang w:val="sr-Latn-ME"/>
        </w:rPr>
      </w:pPr>
      <w:r w:rsidRPr="00983B42">
        <w:rPr>
          <w:sz w:val="22"/>
          <w:szCs w:val="22"/>
          <w:lang w:val="sr-Latn-ME"/>
        </w:rPr>
        <w:t xml:space="preserve">Lijek </w:t>
      </w:r>
      <w:r w:rsidR="00A846B0" w:rsidRPr="00983B42">
        <w:rPr>
          <w:sz w:val="22"/>
          <w:szCs w:val="22"/>
          <w:lang w:val="sr-Latn-ME"/>
        </w:rPr>
        <w:t>FENIX je indi</w:t>
      </w:r>
      <w:r w:rsidRPr="00983B42">
        <w:rPr>
          <w:sz w:val="22"/>
          <w:szCs w:val="22"/>
          <w:lang w:val="sr-Latn-ME"/>
        </w:rPr>
        <w:t>kovan</w:t>
      </w:r>
      <w:r w:rsidR="00A846B0" w:rsidRPr="00983B42">
        <w:rPr>
          <w:sz w:val="22"/>
          <w:szCs w:val="22"/>
          <w:lang w:val="sr-Latn-ME"/>
        </w:rPr>
        <w:t xml:space="preserve"> za primjenu kod odraslih i adolescenata u dobi od 12 godina i više za: </w:t>
      </w:r>
    </w:p>
    <w:p w:rsidR="00A846B0" w:rsidRPr="00983B42" w:rsidRDefault="00A846B0" w:rsidP="00A846B0">
      <w:pPr>
        <w:numPr>
          <w:ilvl w:val="0"/>
          <w:numId w:val="14"/>
        </w:numPr>
        <w:jc w:val="both"/>
        <w:rPr>
          <w:sz w:val="22"/>
          <w:szCs w:val="22"/>
          <w:lang w:val="sr-Latn-ME"/>
        </w:rPr>
      </w:pPr>
      <w:r w:rsidRPr="00983B42">
        <w:rPr>
          <w:sz w:val="22"/>
          <w:szCs w:val="22"/>
          <w:lang w:val="sr-Latn-ME"/>
        </w:rPr>
        <w:t>Refluksni ezofagitis.</w:t>
      </w:r>
    </w:p>
    <w:p w:rsidR="00A846B0" w:rsidRPr="00983B42" w:rsidRDefault="00A846B0" w:rsidP="00A846B0">
      <w:pPr>
        <w:jc w:val="both"/>
        <w:rPr>
          <w:sz w:val="22"/>
          <w:szCs w:val="22"/>
          <w:lang w:val="sr-Latn-ME"/>
        </w:rPr>
      </w:pPr>
    </w:p>
    <w:p w:rsidR="00A846B0" w:rsidRPr="00983B42" w:rsidRDefault="00137B43" w:rsidP="00A846B0">
      <w:pPr>
        <w:jc w:val="both"/>
        <w:rPr>
          <w:sz w:val="22"/>
          <w:szCs w:val="22"/>
          <w:lang w:val="sr-Latn-ME"/>
        </w:rPr>
      </w:pPr>
      <w:r w:rsidRPr="00983B42">
        <w:rPr>
          <w:sz w:val="22"/>
          <w:szCs w:val="22"/>
          <w:lang w:val="sr-Latn-ME"/>
        </w:rPr>
        <w:t xml:space="preserve">Lijek </w:t>
      </w:r>
      <w:r w:rsidR="00A846B0" w:rsidRPr="00983B42">
        <w:rPr>
          <w:sz w:val="22"/>
          <w:szCs w:val="22"/>
          <w:lang w:val="sr-Latn-ME"/>
        </w:rPr>
        <w:t>FENIX je indi</w:t>
      </w:r>
      <w:r w:rsidRPr="00983B42">
        <w:rPr>
          <w:sz w:val="22"/>
          <w:szCs w:val="22"/>
          <w:lang w:val="sr-Latn-ME"/>
        </w:rPr>
        <w:t>kovan</w:t>
      </w:r>
      <w:r w:rsidR="00A846B0" w:rsidRPr="00983B42">
        <w:rPr>
          <w:sz w:val="22"/>
          <w:szCs w:val="22"/>
          <w:lang w:val="sr-Latn-ME"/>
        </w:rPr>
        <w:t xml:space="preserve"> za primjenu kod odraslih za:</w:t>
      </w:r>
    </w:p>
    <w:p w:rsidR="00A846B0" w:rsidRPr="00983B42" w:rsidRDefault="00A846B0" w:rsidP="00A846B0">
      <w:pPr>
        <w:numPr>
          <w:ilvl w:val="0"/>
          <w:numId w:val="17"/>
        </w:numPr>
        <w:autoSpaceDE w:val="0"/>
        <w:autoSpaceDN w:val="0"/>
        <w:adjustRightInd w:val="0"/>
        <w:jc w:val="both"/>
        <w:rPr>
          <w:sz w:val="22"/>
          <w:szCs w:val="22"/>
          <w:lang w:val="sr-Latn-ME" w:eastAsia="hr-HR"/>
        </w:rPr>
      </w:pPr>
      <w:r w:rsidRPr="00983B42">
        <w:rPr>
          <w:sz w:val="22"/>
          <w:szCs w:val="22"/>
          <w:lang w:val="sr-Latn-ME" w:eastAsia="hr-HR"/>
        </w:rPr>
        <w:t xml:space="preserve">Eradikaciju </w:t>
      </w:r>
      <w:r w:rsidRPr="00983B42">
        <w:rPr>
          <w:i/>
          <w:iCs/>
          <w:sz w:val="22"/>
          <w:szCs w:val="22"/>
          <w:lang w:val="sr-Latn-ME" w:eastAsia="hr-HR"/>
        </w:rPr>
        <w:t xml:space="preserve">Helicobacter pylori </w:t>
      </w:r>
      <w:r w:rsidRPr="00983B42">
        <w:rPr>
          <w:sz w:val="22"/>
          <w:szCs w:val="22"/>
          <w:lang w:val="sr-Latn-ME" w:eastAsia="hr-HR"/>
        </w:rPr>
        <w:t>(</w:t>
      </w:r>
      <w:r w:rsidRPr="00983B42">
        <w:rPr>
          <w:i/>
          <w:iCs/>
          <w:sz w:val="22"/>
          <w:szCs w:val="22"/>
          <w:lang w:val="sr-Latn-ME" w:eastAsia="hr-HR"/>
        </w:rPr>
        <w:t>H. pylori</w:t>
      </w:r>
      <w:r w:rsidRPr="00983B42">
        <w:rPr>
          <w:sz w:val="22"/>
          <w:szCs w:val="22"/>
          <w:lang w:val="sr-Latn-ME" w:eastAsia="hr-HR"/>
        </w:rPr>
        <w:t xml:space="preserve">) u kombinaciji s odgovarajućom antibiotskom terapijom </w:t>
      </w:r>
      <w:r w:rsidR="00827433" w:rsidRPr="00983B42">
        <w:rPr>
          <w:sz w:val="22"/>
          <w:szCs w:val="22"/>
          <w:lang w:val="sr-Latn-ME" w:eastAsia="hr-HR"/>
        </w:rPr>
        <w:t>kod</w:t>
      </w:r>
      <w:r w:rsidRPr="00983B42">
        <w:rPr>
          <w:sz w:val="22"/>
          <w:szCs w:val="22"/>
          <w:lang w:val="sr-Latn-ME" w:eastAsia="hr-HR"/>
        </w:rPr>
        <w:t xml:space="preserve"> pacijenata s ulkusima povezanim s </w:t>
      </w:r>
      <w:r w:rsidRPr="00983B42">
        <w:rPr>
          <w:i/>
          <w:iCs/>
          <w:sz w:val="22"/>
          <w:szCs w:val="22"/>
          <w:lang w:val="sr-Latn-ME" w:eastAsia="hr-HR"/>
        </w:rPr>
        <w:t>H. pylori</w:t>
      </w:r>
    </w:p>
    <w:p w:rsidR="00A846B0" w:rsidRPr="00983B42" w:rsidRDefault="00A846B0" w:rsidP="00A846B0">
      <w:pPr>
        <w:numPr>
          <w:ilvl w:val="0"/>
          <w:numId w:val="17"/>
        </w:numPr>
        <w:autoSpaceDE w:val="0"/>
        <w:autoSpaceDN w:val="0"/>
        <w:adjustRightInd w:val="0"/>
        <w:jc w:val="both"/>
        <w:rPr>
          <w:sz w:val="22"/>
          <w:szCs w:val="22"/>
          <w:lang w:val="sr-Latn-ME" w:eastAsia="hr-HR"/>
        </w:rPr>
      </w:pPr>
      <w:r w:rsidRPr="00983B42">
        <w:rPr>
          <w:sz w:val="22"/>
          <w:szCs w:val="22"/>
          <w:lang w:val="sr-Latn-ME" w:eastAsia="hr-HR"/>
        </w:rPr>
        <w:t xml:space="preserve">Gastrični  i duodenalni ulkus; </w:t>
      </w:r>
    </w:p>
    <w:p w:rsidR="00A846B0" w:rsidRPr="00983B42" w:rsidRDefault="00A846B0" w:rsidP="00A846B0">
      <w:pPr>
        <w:numPr>
          <w:ilvl w:val="0"/>
          <w:numId w:val="17"/>
        </w:numPr>
        <w:jc w:val="both"/>
        <w:rPr>
          <w:sz w:val="22"/>
          <w:szCs w:val="22"/>
          <w:lang w:val="sr-Latn-ME"/>
        </w:rPr>
      </w:pPr>
      <w:r w:rsidRPr="00983B42">
        <w:rPr>
          <w:sz w:val="22"/>
          <w:szCs w:val="22"/>
          <w:lang w:val="sr-Latn-ME" w:eastAsia="hr-HR"/>
        </w:rPr>
        <w:t>Zollinger-Ellisonov sindrom i druga patološka hipersekretorna stanja.</w:t>
      </w:r>
    </w:p>
    <w:p w:rsidR="00A846B0" w:rsidRPr="00983B42" w:rsidRDefault="00A846B0" w:rsidP="00A846B0">
      <w:pPr>
        <w:ind w:left="720"/>
        <w:jc w:val="both"/>
        <w:rPr>
          <w:sz w:val="22"/>
          <w:szCs w:val="22"/>
          <w:lang w:val="sr-Latn-ME" w:eastAsia="hr-HR"/>
        </w:rPr>
      </w:pPr>
    </w:p>
    <w:p w:rsidR="00411B4B" w:rsidRPr="00983B42" w:rsidRDefault="00411B4B" w:rsidP="00480FB1">
      <w:pPr>
        <w:tabs>
          <w:tab w:val="left" w:pos="540"/>
          <w:tab w:val="left" w:pos="569"/>
        </w:tabs>
        <w:rPr>
          <w:b/>
          <w:bCs/>
          <w:sz w:val="22"/>
          <w:szCs w:val="22"/>
          <w:lang w:val="sr-Latn-ME"/>
        </w:rPr>
      </w:pPr>
      <w:r w:rsidRPr="00983B42">
        <w:rPr>
          <w:b/>
          <w:bCs/>
          <w:sz w:val="22"/>
          <w:szCs w:val="22"/>
          <w:lang w:val="sr-Latn-ME"/>
        </w:rPr>
        <w:t xml:space="preserve">4.2. </w:t>
      </w:r>
      <w:r w:rsidR="00480FB1" w:rsidRPr="00983B42">
        <w:rPr>
          <w:b/>
          <w:bCs/>
          <w:sz w:val="22"/>
          <w:szCs w:val="22"/>
          <w:lang w:val="sr-Latn-ME"/>
        </w:rPr>
        <w:tab/>
      </w:r>
      <w:r w:rsidRPr="00983B42">
        <w:rPr>
          <w:b/>
          <w:bCs/>
          <w:sz w:val="22"/>
          <w:szCs w:val="22"/>
          <w:lang w:val="sr-Latn-ME"/>
        </w:rPr>
        <w:t>Doziranje i način primjene</w:t>
      </w:r>
    </w:p>
    <w:p w:rsidR="00A846B0" w:rsidRPr="00983B42" w:rsidRDefault="00A846B0" w:rsidP="00A846B0">
      <w:pPr>
        <w:jc w:val="both"/>
        <w:rPr>
          <w:b/>
          <w:sz w:val="22"/>
          <w:szCs w:val="22"/>
          <w:u w:val="single"/>
          <w:lang w:val="sr-Latn-ME"/>
        </w:rPr>
      </w:pPr>
    </w:p>
    <w:p w:rsidR="00A846B0" w:rsidRPr="00983B42" w:rsidRDefault="00A846B0" w:rsidP="00A846B0">
      <w:pPr>
        <w:jc w:val="both"/>
        <w:rPr>
          <w:bCs/>
          <w:sz w:val="22"/>
          <w:szCs w:val="22"/>
          <w:lang w:val="sr-Latn-ME"/>
        </w:rPr>
      </w:pPr>
      <w:r w:rsidRPr="00983B42">
        <w:rPr>
          <w:bCs/>
          <w:sz w:val="22"/>
          <w:szCs w:val="22"/>
          <w:lang w:val="sr-Latn-ME"/>
        </w:rPr>
        <w:t>Doziranje</w:t>
      </w:r>
    </w:p>
    <w:p w:rsidR="00A846B0" w:rsidRPr="00983B42" w:rsidRDefault="00A846B0" w:rsidP="00A846B0">
      <w:pPr>
        <w:jc w:val="both"/>
        <w:rPr>
          <w:i/>
          <w:sz w:val="22"/>
          <w:szCs w:val="22"/>
          <w:lang w:val="sr-Latn-ME"/>
        </w:rPr>
      </w:pPr>
    </w:p>
    <w:p w:rsidR="00A846B0" w:rsidRPr="00983B42" w:rsidRDefault="00A846B0" w:rsidP="00A846B0">
      <w:pPr>
        <w:jc w:val="both"/>
        <w:rPr>
          <w:i/>
          <w:sz w:val="22"/>
          <w:szCs w:val="22"/>
          <w:lang w:val="sr-Latn-ME"/>
        </w:rPr>
      </w:pPr>
      <w:r w:rsidRPr="00983B42">
        <w:rPr>
          <w:i/>
          <w:sz w:val="22"/>
          <w:szCs w:val="22"/>
          <w:lang w:val="sr-Latn-ME"/>
        </w:rPr>
        <w:t xml:space="preserve">Odrasli i adolescenti u dobi od 12 ili više godina </w:t>
      </w:r>
    </w:p>
    <w:p w:rsidR="00A846B0" w:rsidRPr="00983B42" w:rsidRDefault="00A846B0" w:rsidP="00A846B0">
      <w:pPr>
        <w:jc w:val="both"/>
        <w:rPr>
          <w:b/>
          <w:i/>
          <w:sz w:val="22"/>
          <w:szCs w:val="22"/>
          <w:lang w:val="sr-Latn-ME"/>
        </w:rPr>
      </w:pPr>
    </w:p>
    <w:p w:rsidR="00A846B0" w:rsidRPr="00983B42" w:rsidRDefault="00A846B0" w:rsidP="00AA4315">
      <w:pPr>
        <w:jc w:val="both"/>
        <w:rPr>
          <w:sz w:val="22"/>
          <w:szCs w:val="22"/>
          <w:u w:val="single"/>
          <w:lang w:val="sr-Latn-ME"/>
        </w:rPr>
      </w:pPr>
      <w:r w:rsidRPr="00983B42">
        <w:rPr>
          <w:sz w:val="22"/>
          <w:szCs w:val="22"/>
          <w:u w:val="single"/>
          <w:lang w:val="sr-Latn-ME"/>
        </w:rPr>
        <w:t>Refluksni ezofagitis</w:t>
      </w:r>
    </w:p>
    <w:p w:rsidR="00A846B0" w:rsidRPr="00983B42" w:rsidRDefault="00A846B0" w:rsidP="00A846B0">
      <w:pPr>
        <w:ind w:left="720"/>
        <w:jc w:val="both"/>
        <w:rPr>
          <w:sz w:val="22"/>
          <w:szCs w:val="22"/>
          <w:lang w:val="sr-Latn-ME"/>
        </w:rPr>
      </w:pPr>
    </w:p>
    <w:p w:rsidR="00A846B0" w:rsidRPr="00983B42" w:rsidRDefault="00085892" w:rsidP="00A846B0">
      <w:pPr>
        <w:jc w:val="both"/>
        <w:rPr>
          <w:sz w:val="22"/>
          <w:szCs w:val="22"/>
          <w:lang w:val="sr-Latn-ME" w:eastAsia="hr-HR"/>
        </w:rPr>
      </w:pPr>
      <w:r w:rsidRPr="00983B42">
        <w:rPr>
          <w:sz w:val="22"/>
          <w:szCs w:val="22"/>
          <w:lang w:val="sr-Latn-ME" w:eastAsia="hr-HR"/>
        </w:rPr>
        <w:t>J</w:t>
      </w:r>
      <w:r w:rsidR="00A846B0" w:rsidRPr="00983B42">
        <w:rPr>
          <w:sz w:val="22"/>
          <w:szCs w:val="22"/>
          <w:lang w:val="sr-Latn-ME" w:eastAsia="hr-HR"/>
        </w:rPr>
        <w:t xml:space="preserve">edna </w:t>
      </w:r>
      <w:r w:rsidR="00A846B0" w:rsidRPr="00983B42">
        <w:rPr>
          <w:sz w:val="22"/>
          <w:szCs w:val="22"/>
          <w:lang w:val="sr-Latn-ME"/>
        </w:rPr>
        <w:t>FENIX</w:t>
      </w:r>
      <w:r w:rsidR="00A846B0" w:rsidRPr="00983B42">
        <w:rPr>
          <w:sz w:val="22"/>
          <w:szCs w:val="22"/>
          <w:vertAlign w:val="superscript"/>
          <w:lang w:val="sr-Latn-ME"/>
        </w:rPr>
        <w:t xml:space="preserve"> </w:t>
      </w:r>
      <w:r w:rsidR="00A846B0" w:rsidRPr="00983B42">
        <w:rPr>
          <w:sz w:val="22"/>
          <w:szCs w:val="22"/>
          <w:lang w:val="sr-Latn-ME"/>
        </w:rPr>
        <w:t xml:space="preserve">40 mg tableta </w:t>
      </w:r>
      <w:r w:rsidR="00A846B0" w:rsidRPr="00983B42">
        <w:rPr>
          <w:sz w:val="22"/>
          <w:szCs w:val="22"/>
          <w:lang w:val="sr-Latn-ME" w:eastAsia="hr-HR"/>
        </w:rPr>
        <w:t xml:space="preserve">na dan. </w:t>
      </w:r>
      <w:r w:rsidR="004A1808" w:rsidRPr="00983B42">
        <w:rPr>
          <w:sz w:val="22"/>
          <w:szCs w:val="22"/>
          <w:lang w:val="sr-Latn-ME" w:eastAsia="hr-HR"/>
        </w:rPr>
        <w:t xml:space="preserve">U pojedinim slučajevima doza </w:t>
      </w:r>
      <w:r w:rsidR="00A846B0" w:rsidRPr="00983B42">
        <w:rPr>
          <w:sz w:val="22"/>
          <w:szCs w:val="22"/>
          <w:lang w:val="sr-Latn-ME" w:eastAsia="hr-HR"/>
        </w:rPr>
        <w:t xml:space="preserve">može </w:t>
      </w:r>
      <w:r w:rsidR="004A1808" w:rsidRPr="00983B42">
        <w:rPr>
          <w:sz w:val="22"/>
          <w:szCs w:val="22"/>
          <w:lang w:val="sr-Latn-ME" w:eastAsia="hr-HR"/>
        </w:rPr>
        <w:t>da se udvostruči</w:t>
      </w:r>
      <w:r w:rsidR="00A846B0" w:rsidRPr="00983B42">
        <w:rPr>
          <w:sz w:val="22"/>
          <w:szCs w:val="22"/>
          <w:lang w:val="sr-Latn-ME" w:eastAsia="hr-HR"/>
        </w:rPr>
        <w:t xml:space="preserve"> (povećati na 2 </w:t>
      </w:r>
      <w:r w:rsidR="00A846B0" w:rsidRPr="00983B42">
        <w:rPr>
          <w:sz w:val="22"/>
          <w:szCs w:val="22"/>
          <w:lang w:val="sr-Latn-ME"/>
        </w:rPr>
        <w:t>FENIX</w:t>
      </w:r>
      <w:r w:rsidR="00A846B0" w:rsidRPr="00983B42">
        <w:rPr>
          <w:sz w:val="22"/>
          <w:szCs w:val="22"/>
          <w:vertAlign w:val="superscript"/>
          <w:lang w:val="sr-Latn-ME"/>
        </w:rPr>
        <w:t xml:space="preserve"> </w:t>
      </w:r>
      <w:r w:rsidR="00A846B0" w:rsidRPr="00983B42">
        <w:rPr>
          <w:sz w:val="22"/>
          <w:szCs w:val="22"/>
          <w:lang w:val="sr-Latn-ME"/>
        </w:rPr>
        <w:t>40 mg tablete na dan</w:t>
      </w:r>
      <w:r w:rsidR="004A1808" w:rsidRPr="00983B42">
        <w:rPr>
          <w:sz w:val="22"/>
          <w:szCs w:val="22"/>
          <w:lang w:val="sr-Latn-ME" w:eastAsia="hr-HR"/>
        </w:rPr>
        <w:t>), naročito</w:t>
      </w:r>
      <w:r w:rsidR="00A846B0" w:rsidRPr="00983B42">
        <w:rPr>
          <w:sz w:val="22"/>
          <w:szCs w:val="22"/>
          <w:lang w:val="sr-Latn-ME" w:eastAsia="hr-HR"/>
        </w:rPr>
        <w:t xml:space="preserve"> onda kada nije bilo odgovora na druge</w:t>
      </w:r>
      <w:r w:rsidR="00A846B0" w:rsidRPr="00983B42">
        <w:rPr>
          <w:sz w:val="22"/>
          <w:szCs w:val="22"/>
          <w:lang w:val="sr-Latn-ME"/>
        </w:rPr>
        <w:t xml:space="preserve"> primijenjene </w:t>
      </w:r>
      <w:r w:rsidR="00A846B0" w:rsidRPr="00983B42">
        <w:rPr>
          <w:sz w:val="22"/>
          <w:szCs w:val="22"/>
          <w:lang w:val="sr-Latn-ME" w:eastAsia="hr-HR"/>
        </w:rPr>
        <w:t>terapije. Obično je potreban period od 4 sedmice za liječenje refluksnog ezofagitisa. Ako to nije dovoljno, izlječen</w:t>
      </w:r>
      <w:r w:rsidR="004A1808" w:rsidRPr="00983B42">
        <w:rPr>
          <w:sz w:val="22"/>
          <w:szCs w:val="22"/>
          <w:lang w:val="sr-Latn-ME" w:eastAsia="hr-HR"/>
        </w:rPr>
        <w:t>je obično bude postignuto u periodu</w:t>
      </w:r>
      <w:r w:rsidR="00A846B0" w:rsidRPr="00983B42">
        <w:rPr>
          <w:sz w:val="22"/>
          <w:szCs w:val="22"/>
          <w:lang w:val="sr-Latn-ME" w:eastAsia="hr-HR"/>
        </w:rPr>
        <w:t xml:space="preserve"> od dodatne 4 sedmice.</w:t>
      </w:r>
    </w:p>
    <w:p w:rsidR="00A846B0" w:rsidRPr="00983B42" w:rsidRDefault="00A846B0" w:rsidP="00A846B0">
      <w:pPr>
        <w:jc w:val="both"/>
        <w:rPr>
          <w:sz w:val="22"/>
          <w:szCs w:val="22"/>
          <w:lang w:val="sr-Latn-ME"/>
        </w:rPr>
      </w:pPr>
    </w:p>
    <w:p w:rsidR="00A846B0" w:rsidRPr="00983B42" w:rsidRDefault="00A846B0" w:rsidP="00A846B0">
      <w:pPr>
        <w:autoSpaceDE w:val="0"/>
        <w:autoSpaceDN w:val="0"/>
        <w:adjustRightInd w:val="0"/>
        <w:jc w:val="both"/>
        <w:rPr>
          <w:i/>
          <w:iCs/>
          <w:sz w:val="22"/>
          <w:szCs w:val="22"/>
          <w:lang w:val="sr-Latn-ME" w:eastAsia="hr-HR"/>
        </w:rPr>
      </w:pPr>
      <w:r w:rsidRPr="00983B42">
        <w:rPr>
          <w:i/>
          <w:iCs/>
          <w:sz w:val="22"/>
          <w:szCs w:val="22"/>
          <w:lang w:val="sr-Latn-ME" w:eastAsia="hr-HR"/>
        </w:rPr>
        <w:t>Odrasli</w:t>
      </w:r>
    </w:p>
    <w:p w:rsidR="00A846B0" w:rsidRPr="00983B42" w:rsidRDefault="00A846B0" w:rsidP="00485B16">
      <w:pPr>
        <w:autoSpaceDE w:val="0"/>
        <w:autoSpaceDN w:val="0"/>
        <w:adjustRightInd w:val="0"/>
        <w:jc w:val="both"/>
        <w:rPr>
          <w:bCs/>
          <w:sz w:val="22"/>
          <w:szCs w:val="22"/>
          <w:u w:val="single"/>
          <w:lang w:val="sr-Latn-ME" w:eastAsia="hr-HR"/>
        </w:rPr>
      </w:pPr>
      <w:r w:rsidRPr="00983B42">
        <w:rPr>
          <w:bCs/>
          <w:sz w:val="22"/>
          <w:szCs w:val="22"/>
          <w:u w:val="single"/>
          <w:lang w:val="sr-Latn-ME" w:eastAsia="hr-HR"/>
        </w:rPr>
        <w:t xml:space="preserve">Eradikacija </w:t>
      </w:r>
      <w:r w:rsidRPr="00983B42">
        <w:rPr>
          <w:bCs/>
          <w:i/>
          <w:iCs/>
          <w:sz w:val="22"/>
          <w:szCs w:val="22"/>
          <w:u w:val="single"/>
          <w:lang w:val="sr-Latn-ME" w:eastAsia="hr-HR"/>
        </w:rPr>
        <w:t>H. pylori</w:t>
      </w:r>
      <w:r w:rsidRPr="00983B42">
        <w:rPr>
          <w:bCs/>
          <w:iCs/>
          <w:sz w:val="22"/>
          <w:szCs w:val="22"/>
          <w:u w:val="single"/>
          <w:lang w:val="sr-Latn-ME" w:eastAsia="hr-HR"/>
        </w:rPr>
        <w:t xml:space="preserve"> </w:t>
      </w:r>
      <w:r w:rsidRPr="00983B42">
        <w:rPr>
          <w:bCs/>
          <w:sz w:val="22"/>
          <w:szCs w:val="22"/>
          <w:u w:val="single"/>
          <w:lang w:val="sr-Latn-ME" w:eastAsia="hr-HR"/>
        </w:rPr>
        <w:t>u kombinaciji s dva odgovarajuća antibiotika</w:t>
      </w:r>
    </w:p>
    <w:p w:rsidR="00A846B0" w:rsidRPr="00983B42" w:rsidRDefault="00A846B0" w:rsidP="00A846B0">
      <w:pPr>
        <w:autoSpaceDE w:val="0"/>
        <w:autoSpaceDN w:val="0"/>
        <w:adjustRightInd w:val="0"/>
        <w:ind w:left="720"/>
        <w:jc w:val="both"/>
        <w:rPr>
          <w:b/>
          <w:sz w:val="22"/>
          <w:szCs w:val="22"/>
          <w:lang w:val="sr-Latn-ME" w:eastAsia="hr-HR"/>
        </w:rPr>
      </w:pPr>
    </w:p>
    <w:p w:rsidR="00A846B0" w:rsidRPr="00983B42" w:rsidRDefault="00117723" w:rsidP="00A846B0">
      <w:pPr>
        <w:autoSpaceDE w:val="0"/>
        <w:autoSpaceDN w:val="0"/>
        <w:adjustRightInd w:val="0"/>
        <w:jc w:val="both"/>
        <w:rPr>
          <w:sz w:val="22"/>
          <w:szCs w:val="22"/>
          <w:lang w:val="sr-Latn-ME" w:eastAsia="hr-HR"/>
        </w:rPr>
      </w:pPr>
      <w:r w:rsidRPr="00983B42">
        <w:rPr>
          <w:sz w:val="22"/>
          <w:szCs w:val="22"/>
          <w:lang w:val="sr-Latn-ME" w:eastAsia="hr-HR"/>
        </w:rPr>
        <w:lastRenderedPageBreak/>
        <w:t xml:space="preserve">Kod </w:t>
      </w:r>
      <w:r w:rsidR="00A846B0" w:rsidRPr="00983B42">
        <w:rPr>
          <w:sz w:val="22"/>
          <w:szCs w:val="22"/>
          <w:lang w:val="sr-Latn-ME" w:eastAsia="hr-HR"/>
        </w:rPr>
        <w:t xml:space="preserve">pacijenata </w:t>
      </w:r>
      <w:r w:rsidR="00C349C4" w:rsidRPr="00983B42">
        <w:rPr>
          <w:sz w:val="22"/>
          <w:szCs w:val="22"/>
          <w:lang w:val="sr-Latn-ME" w:eastAsia="hr-HR"/>
        </w:rPr>
        <w:t xml:space="preserve">koji su pozitivni </w:t>
      </w:r>
      <w:r w:rsidR="00A846B0" w:rsidRPr="00983B42">
        <w:rPr>
          <w:sz w:val="22"/>
          <w:szCs w:val="22"/>
          <w:lang w:val="sr-Latn-ME" w:eastAsia="hr-HR"/>
        </w:rPr>
        <w:t xml:space="preserve">na </w:t>
      </w:r>
      <w:r w:rsidR="00A846B0" w:rsidRPr="00983B42">
        <w:rPr>
          <w:i/>
          <w:sz w:val="22"/>
          <w:szCs w:val="22"/>
          <w:lang w:val="sr-Latn-ME" w:eastAsia="hr-HR"/>
        </w:rPr>
        <w:t>H, pylori</w:t>
      </w:r>
      <w:r w:rsidR="00A846B0" w:rsidRPr="00983B42">
        <w:rPr>
          <w:sz w:val="22"/>
          <w:szCs w:val="22"/>
          <w:lang w:val="sr-Latn-ME" w:eastAsia="hr-HR"/>
        </w:rPr>
        <w:t xml:space="preserve"> koji imaju gastrične i duodenalne ulkuse, primjenom kombin</w:t>
      </w:r>
      <w:r w:rsidR="00A3489E" w:rsidRPr="00983B42">
        <w:rPr>
          <w:sz w:val="22"/>
          <w:szCs w:val="22"/>
          <w:lang w:val="sr-Latn-ME" w:eastAsia="hr-HR"/>
        </w:rPr>
        <w:t xml:space="preserve">ovane </w:t>
      </w:r>
      <w:r w:rsidR="00A846B0" w:rsidRPr="00983B42">
        <w:rPr>
          <w:sz w:val="22"/>
          <w:szCs w:val="22"/>
          <w:lang w:val="sr-Latn-ME" w:eastAsia="hr-HR"/>
        </w:rPr>
        <w:t xml:space="preserve">terapije treba </w:t>
      </w:r>
      <w:r w:rsidR="00C349C4" w:rsidRPr="00983B42">
        <w:rPr>
          <w:sz w:val="22"/>
          <w:szCs w:val="22"/>
          <w:lang w:val="sr-Latn-ME" w:eastAsia="hr-HR"/>
        </w:rPr>
        <w:t>da se postigne eradikacija</w:t>
      </w:r>
      <w:r w:rsidR="00A846B0" w:rsidRPr="00983B42">
        <w:rPr>
          <w:sz w:val="22"/>
          <w:szCs w:val="22"/>
          <w:lang w:val="sr-Latn-ME" w:eastAsia="hr-HR"/>
        </w:rPr>
        <w:t xml:space="preserve"> bakterije. Neophodno je </w:t>
      </w:r>
      <w:r w:rsidR="00C349C4" w:rsidRPr="00983B42">
        <w:rPr>
          <w:sz w:val="22"/>
          <w:szCs w:val="22"/>
          <w:lang w:val="sr-Latn-ME" w:eastAsia="hr-HR"/>
        </w:rPr>
        <w:t>da se razmotre službene lokalne preporuke</w:t>
      </w:r>
      <w:r w:rsidR="00A846B0" w:rsidRPr="00983B42">
        <w:rPr>
          <w:sz w:val="22"/>
          <w:szCs w:val="22"/>
          <w:lang w:val="sr-Latn-ME" w:eastAsia="hr-HR"/>
        </w:rPr>
        <w:t xml:space="preserve"> (npr. nacionalne preporuke) vezane uz rezistenciju bakterija i odgovarajuću primjenu i </w:t>
      </w:r>
      <w:r w:rsidR="00741AF3" w:rsidRPr="00983B42">
        <w:rPr>
          <w:sz w:val="22"/>
          <w:szCs w:val="22"/>
          <w:lang w:val="sr-Latn-ME" w:eastAsia="hr-HR"/>
        </w:rPr>
        <w:t>propisivanje antibakterijskih l</w:t>
      </w:r>
      <w:r w:rsidR="00A846B0" w:rsidRPr="00983B42">
        <w:rPr>
          <w:sz w:val="22"/>
          <w:szCs w:val="22"/>
          <w:lang w:val="sr-Latn-ME" w:eastAsia="hr-HR"/>
        </w:rPr>
        <w:t>jekova.</w:t>
      </w:r>
    </w:p>
    <w:p w:rsidR="00A846B0" w:rsidRPr="00983B42" w:rsidRDefault="00A846B0" w:rsidP="00A846B0">
      <w:pPr>
        <w:autoSpaceDE w:val="0"/>
        <w:autoSpaceDN w:val="0"/>
        <w:adjustRightInd w:val="0"/>
        <w:jc w:val="both"/>
        <w:rPr>
          <w:sz w:val="22"/>
          <w:szCs w:val="22"/>
          <w:lang w:val="sr-Latn-ME" w:eastAsia="hr-HR"/>
        </w:rPr>
      </w:pPr>
    </w:p>
    <w:p w:rsidR="00A846B0" w:rsidRPr="00983B42" w:rsidRDefault="00776862" w:rsidP="00A846B0">
      <w:pPr>
        <w:autoSpaceDE w:val="0"/>
        <w:autoSpaceDN w:val="0"/>
        <w:adjustRightInd w:val="0"/>
        <w:jc w:val="both"/>
        <w:rPr>
          <w:sz w:val="22"/>
          <w:szCs w:val="22"/>
          <w:lang w:val="sr-Latn-ME" w:eastAsia="hr-HR"/>
        </w:rPr>
      </w:pPr>
      <w:r w:rsidRPr="00983B42">
        <w:rPr>
          <w:sz w:val="22"/>
          <w:szCs w:val="22"/>
          <w:lang w:val="sr-Latn-ME" w:eastAsia="hr-HR"/>
        </w:rPr>
        <w:t>Za</w:t>
      </w:r>
      <w:r w:rsidR="00A846B0" w:rsidRPr="00983B42">
        <w:rPr>
          <w:sz w:val="22"/>
          <w:szCs w:val="22"/>
          <w:lang w:val="sr-Latn-ME" w:eastAsia="hr-HR"/>
        </w:rPr>
        <w:t>visno o</w:t>
      </w:r>
      <w:r w:rsidRPr="00983B42">
        <w:rPr>
          <w:sz w:val="22"/>
          <w:szCs w:val="22"/>
          <w:lang w:val="sr-Latn-ME" w:eastAsia="hr-HR"/>
        </w:rPr>
        <w:t>d forme</w:t>
      </w:r>
      <w:r w:rsidR="00A846B0" w:rsidRPr="00983B42">
        <w:rPr>
          <w:sz w:val="22"/>
          <w:szCs w:val="22"/>
          <w:lang w:val="sr-Latn-ME" w:eastAsia="hr-HR"/>
        </w:rPr>
        <w:t xml:space="preserve"> rezistencije, za eradikaciju </w:t>
      </w:r>
      <w:r w:rsidR="00A846B0" w:rsidRPr="00983B42">
        <w:rPr>
          <w:i/>
          <w:iCs/>
          <w:sz w:val="22"/>
          <w:szCs w:val="22"/>
          <w:lang w:val="sr-Latn-ME" w:eastAsia="hr-HR"/>
        </w:rPr>
        <w:t xml:space="preserve">H. pylori </w:t>
      </w:r>
      <w:r w:rsidR="00A846B0" w:rsidRPr="00983B42">
        <w:rPr>
          <w:sz w:val="22"/>
          <w:szCs w:val="22"/>
          <w:lang w:val="sr-Latn-ME" w:eastAsia="hr-HR"/>
        </w:rPr>
        <w:t xml:space="preserve">mogu </w:t>
      </w:r>
      <w:r w:rsidRPr="00983B42">
        <w:rPr>
          <w:sz w:val="22"/>
          <w:szCs w:val="22"/>
          <w:lang w:val="sr-Latn-ME" w:eastAsia="hr-HR"/>
        </w:rPr>
        <w:t xml:space="preserve">da </w:t>
      </w:r>
      <w:r w:rsidR="00A846B0" w:rsidRPr="00983B42">
        <w:rPr>
          <w:sz w:val="22"/>
          <w:szCs w:val="22"/>
          <w:lang w:val="sr-Latn-ME" w:eastAsia="hr-HR"/>
        </w:rPr>
        <w:t>se pre</w:t>
      </w:r>
      <w:r w:rsidRPr="00983B42">
        <w:rPr>
          <w:sz w:val="22"/>
          <w:szCs w:val="22"/>
          <w:lang w:val="sr-Latn-ME" w:eastAsia="hr-HR"/>
        </w:rPr>
        <w:t>poruče</w:t>
      </w:r>
      <w:r w:rsidR="002F3A2C" w:rsidRPr="00983B42">
        <w:rPr>
          <w:sz w:val="22"/>
          <w:szCs w:val="22"/>
          <w:lang w:val="sr-Latn-ME" w:eastAsia="hr-HR"/>
        </w:rPr>
        <w:t xml:space="preserve"> sljedeće kombinacije l</w:t>
      </w:r>
      <w:r w:rsidR="00A846B0" w:rsidRPr="00983B42">
        <w:rPr>
          <w:sz w:val="22"/>
          <w:szCs w:val="22"/>
          <w:lang w:val="sr-Latn-ME" w:eastAsia="hr-HR"/>
        </w:rPr>
        <w:t>jekova:</w:t>
      </w:r>
    </w:p>
    <w:p w:rsidR="00A846B0" w:rsidRPr="00983B42" w:rsidRDefault="00A846B0" w:rsidP="00A846B0">
      <w:pPr>
        <w:autoSpaceDE w:val="0"/>
        <w:autoSpaceDN w:val="0"/>
        <w:adjustRightInd w:val="0"/>
        <w:jc w:val="both"/>
        <w:rPr>
          <w:sz w:val="22"/>
          <w:szCs w:val="22"/>
          <w:lang w:val="sr-Latn-ME" w:eastAsia="hr-HR"/>
        </w:rPr>
      </w:pPr>
      <w:r w:rsidRPr="00983B42">
        <w:rPr>
          <w:sz w:val="22"/>
          <w:szCs w:val="22"/>
          <w:lang w:val="sr-Latn-ME" w:eastAsia="hr-HR"/>
        </w:rPr>
        <w:t xml:space="preserve">a) dva puta na dan jedna </w:t>
      </w:r>
      <w:r w:rsidRPr="00983B42">
        <w:rPr>
          <w:sz w:val="22"/>
          <w:szCs w:val="22"/>
          <w:lang w:val="sr-Latn-ME"/>
        </w:rPr>
        <w:t>FENIX</w:t>
      </w:r>
      <w:r w:rsidRPr="00983B42">
        <w:rPr>
          <w:sz w:val="22"/>
          <w:szCs w:val="22"/>
          <w:vertAlign w:val="superscript"/>
          <w:lang w:val="sr-Latn-ME"/>
        </w:rPr>
        <w:t xml:space="preserve"> </w:t>
      </w:r>
      <w:r w:rsidRPr="00983B42">
        <w:rPr>
          <w:sz w:val="22"/>
          <w:szCs w:val="22"/>
          <w:lang w:val="sr-Latn-ME"/>
        </w:rPr>
        <w:t xml:space="preserve">40 mg tableta, </w:t>
      </w:r>
    </w:p>
    <w:p w:rsidR="00A846B0" w:rsidRPr="00983B42" w:rsidRDefault="00A846B0" w:rsidP="00A846B0">
      <w:pPr>
        <w:autoSpaceDE w:val="0"/>
        <w:autoSpaceDN w:val="0"/>
        <w:adjustRightInd w:val="0"/>
        <w:jc w:val="both"/>
        <w:rPr>
          <w:sz w:val="22"/>
          <w:szCs w:val="22"/>
          <w:lang w:val="sr-Latn-ME" w:eastAsia="hr-HR"/>
        </w:rPr>
      </w:pPr>
      <w:r w:rsidRPr="00983B42">
        <w:rPr>
          <w:sz w:val="22"/>
          <w:szCs w:val="22"/>
          <w:lang w:val="sr-Latn-ME" w:eastAsia="hr-HR"/>
        </w:rPr>
        <w:t>+ dva puta na dan 1000 mg amoksicilina,</w:t>
      </w:r>
    </w:p>
    <w:p w:rsidR="00A846B0" w:rsidRPr="00983B42" w:rsidRDefault="00A846B0" w:rsidP="00A846B0">
      <w:pPr>
        <w:autoSpaceDE w:val="0"/>
        <w:autoSpaceDN w:val="0"/>
        <w:adjustRightInd w:val="0"/>
        <w:jc w:val="both"/>
        <w:rPr>
          <w:sz w:val="22"/>
          <w:szCs w:val="22"/>
          <w:lang w:val="sr-Latn-ME" w:eastAsia="hr-HR"/>
        </w:rPr>
      </w:pPr>
      <w:r w:rsidRPr="00983B42">
        <w:rPr>
          <w:sz w:val="22"/>
          <w:szCs w:val="22"/>
          <w:lang w:val="sr-Latn-ME" w:eastAsia="hr-HR"/>
        </w:rPr>
        <w:t>+ dva puta na dan 500 mg klaritromicina;</w:t>
      </w:r>
    </w:p>
    <w:p w:rsidR="00A846B0" w:rsidRPr="00983B42" w:rsidRDefault="00A846B0" w:rsidP="00A846B0">
      <w:pPr>
        <w:autoSpaceDE w:val="0"/>
        <w:autoSpaceDN w:val="0"/>
        <w:adjustRightInd w:val="0"/>
        <w:jc w:val="both"/>
        <w:rPr>
          <w:sz w:val="22"/>
          <w:szCs w:val="22"/>
          <w:lang w:val="sr-Latn-ME" w:eastAsia="hr-HR"/>
        </w:rPr>
      </w:pPr>
    </w:p>
    <w:p w:rsidR="00A846B0" w:rsidRPr="00983B42" w:rsidRDefault="00A846B0" w:rsidP="00A846B0">
      <w:pPr>
        <w:autoSpaceDE w:val="0"/>
        <w:autoSpaceDN w:val="0"/>
        <w:adjustRightInd w:val="0"/>
        <w:jc w:val="both"/>
        <w:rPr>
          <w:sz w:val="22"/>
          <w:szCs w:val="22"/>
          <w:lang w:val="sr-Latn-ME" w:eastAsia="hr-HR"/>
        </w:rPr>
      </w:pPr>
      <w:r w:rsidRPr="00983B42">
        <w:rPr>
          <w:sz w:val="22"/>
          <w:szCs w:val="22"/>
          <w:lang w:val="sr-Latn-ME" w:eastAsia="hr-HR"/>
        </w:rPr>
        <w:t xml:space="preserve">b) dva puta na dan jedna </w:t>
      </w:r>
      <w:r w:rsidRPr="00983B42">
        <w:rPr>
          <w:sz w:val="22"/>
          <w:szCs w:val="22"/>
          <w:lang w:val="sr-Latn-ME"/>
        </w:rPr>
        <w:t>FENIX</w:t>
      </w:r>
      <w:r w:rsidRPr="00983B42">
        <w:rPr>
          <w:sz w:val="22"/>
          <w:szCs w:val="22"/>
          <w:vertAlign w:val="superscript"/>
          <w:lang w:val="sr-Latn-ME"/>
        </w:rPr>
        <w:t xml:space="preserve"> </w:t>
      </w:r>
      <w:r w:rsidRPr="00983B42">
        <w:rPr>
          <w:sz w:val="22"/>
          <w:szCs w:val="22"/>
          <w:lang w:val="sr-Latn-ME"/>
        </w:rPr>
        <w:t xml:space="preserve">40 mg tableta, </w:t>
      </w:r>
    </w:p>
    <w:p w:rsidR="00A846B0" w:rsidRPr="00983B42" w:rsidRDefault="00A846B0" w:rsidP="00A846B0">
      <w:pPr>
        <w:autoSpaceDE w:val="0"/>
        <w:autoSpaceDN w:val="0"/>
        <w:adjustRightInd w:val="0"/>
        <w:jc w:val="both"/>
        <w:rPr>
          <w:sz w:val="22"/>
          <w:szCs w:val="22"/>
          <w:lang w:val="sr-Latn-ME" w:eastAsia="hr-HR"/>
        </w:rPr>
      </w:pPr>
      <w:r w:rsidRPr="00983B42">
        <w:rPr>
          <w:sz w:val="22"/>
          <w:szCs w:val="22"/>
          <w:lang w:val="sr-Latn-ME" w:eastAsia="hr-HR"/>
        </w:rPr>
        <w:t>+ dva puta na dan 400-500 mg metronidazola (ili 500 mg tinidazola),</w:t>
      </w:r>
    </w:p>
    <w:p w:rsidR="00A846B0" w:rsidRPr="00983B42" w:rsidRDefault="00A846B0" w:rsidP="00A846B0">
      <w:pPr>
        <w:autoSpaceDE w:val="0"/>
        <w:autoSpaceDN w:val="0"/>
        <w:adjustRightInd w:val="0"/>
        <w:jc w:val="both"/>
        <w:rPr>
          <w:sz w:val="22"/>
          <w:szCs w:val="22"/>
          <w:lang w:val="sr-Latn-ME" w:eastAsia="hr-HR"/>
        </w:rPr>
      </w:pPr>
      <w:r w:rsidRPr="00983B42">
        <w:rPr>
          <w:sz w:val="22"/>
          <w:szCs w:val="22"/>
          <w:lang w:val="sr-Latn-ME" w:eastAsia="hr-HR"/>
        </w:rPr>
        <w:t>+ dva puta na dan 250-500 mg klaritromicina;</w:t>
      </w:r>
    </w:p>
    <w:p w:rsidR="00A846B0" w:rsidRPr="00983B42" w:rsidRDefault="00A846B0" w:rsidP="00A846B0">
      <w:pPr>
        <w:autoSpaceDE w:val="0"/>
        <w:autoSpaceDN w:val="0"/>
        <w:adjustRightInd w:val="0"/>
        <w:jc w:val="both"/>
        <w:rPr>
          <w:sz w:val="22"/>
          <w:szCs w:val="22"/>
          <w:lang w:val="sr-Latn-ME" w:eastAsia="hr-HR"/>
        </w:rPr>
      </w:pPr>
    </w:p>
    <w:p w:rsidR="00A846B0" w:rsidRPr="00983B42" w:rsidRDefault="00A846B0" w:rsidP="00A846B0">
      <w:pPr>
        <w:autoSpaceDE w:val="0"/>
        <w:autoSpaceDN w:val="0"/>
        <w:adjustRightInd w:val="0"/>
        <w:jc w:val="both"/>
        <w:rPr>
          <w:sz w:val="22"/>
          <w:szCs w:val="22"/>
          <w:lang w:val="sr-Latn-ME" w:eastAsia="hr-HR"/>
        </w:rPr>
      </w:pPr>
      <w:r w:rsidRPr="00983B42">
        <w:rPr>
          <w:sz w:val="22"/>
          <w:szCs w:val="22"/>
          <w:lang w:val="sr-Latn-ME" w:eastAsia="hr-HR"/>
        </w:rPr>
        <w:t xml:space="preserve">c) dva puta na dan jedna </w:t>
      </w:r>
      <w:r w:rsidRPr="00983B42">
        <w:rPr>
          <w:sz w:val="22"/>
          <w:szCs w:val="22"/>
          <w:lang w:val="sr-Latn-ME"/>
        </w:rPr>
        <w:t>FENIX</w:t>
      </w:r>
      <w:r w:rsidRPr="00983B42">
        <w:rPr>
          <w:sz w:val="22"/>
          <w:szCs w:val="22"/>
          <w:vertAlign w:val="superscript"/>
          <w:lang w:val="sr-Latn-ME"/>
        </w:rPr>
        <w:t xml:space="preserve"> </w:t>
      </w:r>
      <w:r w:rsidRPr="00983B42">
        <w:rPr>
          <w:sz w:val="22"/>
          <w:szCs w:val="22"/>
          <w:lang w:val="sr-Latn-ME"/>
        </w:rPr>
        <w:t>40 mg tableta,</w:t>
      </w:r>
    </w:p>
    <w:p w:rsidR="00A846B0" w:rsidRPr="00983B42" w:rsidRDefault="00A846B0" w:rsidP="00A846B0">
      <w:pPr>
        <w:autoSpaceDE w:val="0"/>
        <w:autoSpaceDN w:val="0"/>
        <w:adjustRightInd w:val="0"/>
        <w:jc w:val="both"/>
        <w:rPr>
          <w:sz w:val="22"/>
          <w:szCs w:val="22"/>
          <w:lang w:val="sr-Latn-ME" w:eastAsia="hr-HR"/>
        </w:rPr>
      </w:pPr>
      <w:r w:rsidRPr="00983B42">
        <w:rPr>
          <w:sz w:val="22"/>
          <w:szCs w:val="22"/>
          <w:lang w:val="sr-Latn-ME" w:eastAsia="hr-HR"/>
        </w:rPr>
        <w:t>+ dva puta na dan 1000 mg amoksicilina,</w:t>
      </w:r>
    </w:p>
    <w:p w:rsidR="00A846B0" w:rsidRPr="00983B42" w:rsidRDefault="00A846B0" w:rsidP="00A846B0">
      <w:pPr>
        <w:autoSpaceDE w:val="0"/>
        <w:autoSpaceDN w:val="0"/>
        <w:adjustRightInd w:val="0"/>
        <w:jc w:val="both"/>
        <w:rPr>
          <w:sz w:val="22"/>
          <w:szCs w:val="22"/>
          <w:lang w:val="sr-Latn-ME" w:eastAsia="hr-HR"/>
        </w:rPr>
      </w:pPr>
      <w:r w:rsidRPr="00983B42">
        <w:rPr>
          <w:sz w:val="22"/>
          <w:szCs w:val="22"/>
          <w:lang w:val="sr-Latn-ME" w:eastAsia="hr-HR"/>
        </w:rPr>
        <w:t>+ dva puta na dan 400-500 mg metronidazola (ili 500 mg tinidazola).</w:t>
      </w:r>
    </w:p>
    <w:p w:rsidR="00A846B0" w:rsidRPr="00983B42" w:rsidRDefault="00A846B0" w:rsidP="00A846B0">
      <w:pPr>
        <w:autoSpaceDE w:val="0"/>
        <w:autoSpaceDN w:val="0"/>
        <w:adjustRightInd w:val="0"/>
        <w:jc w:val="both"/>
        <w:rPr>
          <w:sz w:val="22"/>
          <w:szCs w:val="22"/>
          <w:lang w:val="sr-Latn-ME" w:eastAsia="hr-HR"/>
        </w:rPr>
      </w:pPr>
    </w:p>
    <w:p w:rsidR="00A846B0" w:rsidRPr="00983B42" w:rsidRDefault="00A846B0" w:rsidP="00A846B0">
      <w:pPr>
        <w:autoSpaceDE w:val="0"/>
        <w:autoSpaceDN w:val="0"/>
        <w:adjustRightInd w:val="0"/>
        <w:jc w:val="both"/>
        <w:rPr>
          <w:sz w:val="22"/>
          <w:szCs w:val="22"/>
          <w:lang w:val="sr-Latn-ME" w:eastAsia="hr-HR"/>
        </w:rPr>
      </w:pPr>
      <w:r w:rsidRPr="00983B42">
        <w:rPr>
          <w:sz w:val="22"/>
          <w:szCs w:val="22"/>
          <w:lang w:val="sr-Latn-ME" w:eastAsia="hr-HR"/>
        </w:rPr>
        <w:t>Pri kombin</w:t>
      </w:r>
      <w:r w:rsidR="00FC55FE" w:rsidRPr="00983B42">
        <w:rPr>
          <w:sz w:val="22"/>
          <w:szCs w:val="22"/>
          <w:lang w:val="sr-Latn-ME" w:eastAsia="hr-HR"/>
        </w:rPr>
        <w:t>ovanoj</w:t>
      </w:r>
      <w:r w:rsidRPr="00983B42">
        <w:rPr>
          <w:sz w:val="22"/>
          <w:szCs w:val="22"/>
          <w:lang w:val="sr-Latn-ME" w:eastAsia="hr-HR"/>
        </w:rPr>
        <w:t xml:space="preserve"> terapiji za eradikaciju </w:t>
      </w:r>
      <w:r w:rsidRPr="00983B42">
        <w:rPr>
          <w:i/>
          <w:iCs/>
          <w:sz w:val="22"/>
          <w:szCs w:val="22"/>
          <w:lang w:val="sr-Latn-ME" w:eastAsia="hr-HR"/>
        </w:rPr>
        <w:t>H. pylori</w:t>
      </w:r>
      <w:r w:rsidRPr="00983B42">
        <w:rPr>
          <w:iCs/>
          <w:sz w:val="22"/>
          <w:szCs w:val="22"/>
          <w:lang w:val="sr-Latn-ME" w:eastAsia="hr-HR"/>
        </w:rPr>
        <w:t xml:space="preserve"> infekcije</w:t>
      </w:r>
      <w:r w:rsidRPr="00983B42">
        <w:rPr>
          <w:sz w:val="22"/>
          <w:szCs w:val="22"/>
          <w:lang w:val="sr-Latn-ME" w:eastAsia="hr-HR"/>
        </w:rPr>
        <w:t xml:space="preserve">, drugu </w:t>
      </w:r>
      <w:r w:rsidRPr="00983B42">
        <w:rPr>
          <w:sz w:val="22"/>
          <w:szCs w:val="22"/>
          <w:lang w:val="sr-Latn-ME"/>
        </w:rPr>
        <w:t>FENIX</w:t>
      </w:r>
      <w:r w:rsidRPr="00983B42">
        <w:rPr>
          <w:sz w:val="22"/>
          <w:szCs w:val="22"/>
          <w:vertAlign w:val="superscript"/>
          <w:lang w:val="sr-Latn-ME"/>
        </w:rPr>
        <w:t xml:space="preserve"> </w:t>
      </w:r>
      <w:r w:rsidRPr="00983B42">
        <w:rPr>
          <w:sz w:val="22"/>
          <w:szCs w:val="22"/>
          <w:lang w:val="sr-Latn-ME"/>
        </w:rPr>
        <w:t>40 mg tabletu</w:t>
      </w:r>
      <w:r w:rsidRPr="00983B42">
        <w:rPr>
          <w:sz w:val="22"/>
          <w:szCs w:val="22"/>
          <w:lang w:val="sr-Latn-ME" w:eastAsia="hr-HR"/>
        </w:rPr>
        <w:t xml:space="preserve"> treba primijeniti 1 sat prije večernjeg obroka. Kombin</w:t>
      </w:r>
      <w:r w:rsidR="002C01F7" w:rsidRPr="00983B42">
        <w:rPr>
          <w:sz w:val="22"/>
          <w:szCs w:val="22"/>
          <w:lang w:val="sr-Latn-ME" w:eastAsia="hr-HR"/>
        </w:rPr>
        <w:t>ovana</w:t>
      </w:r>
      <w:r w:rsidR="00776862" w:rsidRPr="00983B42">
        <w:rPr>
          <w:sz w:val="22"/>
          <w:szCs w:val="22"/>
          <w:lang w:val="sr-Latn-ME" w:eastAsia="hr-HR"/>
        </w:rPr>
        <w:t xml:space="preserve"> terapija uglavnom</w:t>
      </w:r>
      <w:r w:rsidRPr="00983B42">
        <w:rPr>
          <w:sz w:val="22"/>
          <w:szCs w:val="22"/>
          <w:lang w:val="sr-Latn-ME" w:eastAsia="hr-HR"/>
        </w:rPr>
        <w:t xml:space="preserve"> se </w:t>
      </w:r>
      <w:r w:rsidR="00776862" w:rsidRPr="00983B42">
        <w:rPr>
          <w:sz w:val="22"/>
          <w:szCs w:val="22"/>
          <w:lang w:val="sr-Latn-ME" w:eastAsia="hr-HR"/>
        </w:rPr>
        <w:t>sprovodi 7 dana, s mogućnošću produženja</w:t>
      </w:r>
      <w:r w:rsidRPr="00983B42">
        <w:rPr>
          <w:sz w:val="22"/>
          <w:szCs w:val="22"/>
          <w:lang w:val="sr-Latn-ME" w:eastAsia="hr-HR"/>
        </w:rPr>
        <w:t xml:space="preserve"> za dodatnih 7 dana, uz ukupno trajanje do dvije sedmice. Ako je indi</w:t>
      </w:r>
      <w:r w:rsidR="002C01F7" w:rsidRPr="00983B42">
        <w:rPr>
          <w:sz w:val="22"/>
          <w:szCs w:val="22"/>
          <w:lang w:val="sr-Latn-ME" w:eastAsia="hr-HR"/>
        </w:rPr>
        <w:t>kovano</w:t>
      </w:r>
      <w:r w:rsidRPr="00983B42">
        <w:rPr>
          <w:sz w:val="22"/>
          <w:szCs w:val="22"/>
          <w:lang w:val="sr-Latn-ME" w:eastAsia="hr-HR"/>
        </w:rPr>
        <w:t xml:space="preserve"> dodatno liječenje pantoprazolom kako bi se osiguralo zacjeljivanje ulkusa, treba </w:t>
      </w:r>
      <w:r w:rsidR="00776862" w:rsidRPr="00983B42">
        <w:rPr>
          <w:sz w:val="22"/>
          <w:szCs w:val="22"/>
          <w:lang w:val="sr-Latn-ME" w:eastAsia="hr-HR"/>
        </w:rPr>
        <w:t>da se razmotre</w:t>
      </w:r>
      <w:r w:rsidRPr="00983B42">
        <w:rPr>
          <w:sz w:val="22"/>
          <w:szCs w:val="22"/>
          <w:lang w:val="sr-Latn-ME" w:eastAsia="hr-HR"/>
        </w:rPr>
        <w:t xml:space="preserve"> dozne preporuke za duodenalne i gastrične ulkuse.</w:t>
      </w:r>
    </w:p>
    <w:p w:rsidR="00A846B0" w:rsidRPr="00983B42" w:rsidRDefault="00A846B0" w:rsidP="00A846B0">
      <w:pPr>
        <w:autoSpaceDE w:val="0"/>
        <w:autoSpaceDN w:val="0"/>
        <w:adjustRightInd w:val="0"/>
        <w:jc w:val="both"/>
        <w:rPr>
          <w:sz w:val="22"/>
          <w:szCs w:val="22"/>
          <w:lang w:val="sr-Latn-ME" w:eastAsia="hr-HR"/>
        </w:rPr>
      </w:pPr>
    </w:p>
    <w:p w:rsidR="00A846B0" w:rsidRPr="00983B42" w:rsidRDefault="00A846B0" w:rsidP="00A846B0">
      <w:pPr>
        <w:autoSpaceDE w:val="0"/>
        <w:autoSpaceDN w:val="0"/>
        <w:adjustRightInd w:val="0"/>
        <w:jc w:val="both"/>
        <w:rPr>
          <w:sz w:val="22"/>
          <w:szCs w:val="22"/>
          <w:lang w:val="sr-Latn-ME" w:eastAsia="hr-HR"/>
        </w:rPr>
      </w:pPr>
      <w:r w:rsidRPr="00983B42">
        <w:rPr>
          <w:sz w:val="22"/>
          <w:szCs w:val="22"/>
          <w:lang w:val="sr-Latn-ME" w:eastAsia="hr-HR"/>
        </w:rPr>
        <w:t>Ako kombin</w:t>
      </w:r>
      <w:r w:rsidR="002C01F7" w:rsidRPr="00983B42">
        <w:rPr>
          <w:sz w:val="22"/>
          <w:szCs w:val="22"/>
          <w:lang w:val="sr-Latn-ME" w:eastAsia="hr-HR"/>
        </w:rPr>
        <w:t>ovana</w:t>
      </w:r>
      <w:r w:rsidRPr="00983B42">
        <w:rPr>
          <w:sz w:val="22"/>
          <w:szCs w:val="22"/>
          <w:lang w:val="sr-Latn-ME" w:eastAsia="hr-HR"/>
        </w:rPr>
        <w:t xml:space="preserve"> terapija nije opcija, npr. ukoliko je testiranje pokazalo da je pacijent negativan na </w:t>
      </w:r>
      <w:r w:rsidRPr="00983B42">
        <w:rPr>
          <w:i/>
          <w:iCs/>
          <w:sz w:val="22"/>
          <w:szCs w:val="22"/>
          <w:lang w:val="sr-Latn-ME" w:eastAsia="hr-HR"/>
        </w:rPr>
        <w:t>H. pylori</w:t>
      </w:r>
      <w:r w:rsidR="00776862" w:rsidRPr="00983B42">
        <w:rPr>
          <w:sz w:val="22"/>
          <w:szCs w:val="22"/>
          <w:lang w:val="sr-Latn-ME" w:eastAsia="hr-HR"/>
        </w:rPr>
        <w:t>, sljedeće preporuke</w:t>
      </w:r>
      <w:r w:rsidRPr="00983B42">
        <w:rPr>
          <w:sz w:val="22"/>
          <w:szCs w:val="22"/>
          <w:lang w:val="sr-Latn-ME" w:eastAsia="hr-HR"/>
        </w:rPr>
        <w:t xml:space="preserve"> za doziranje odnose se na monoterapiju pantoprazolom:</w:t>
      </w:r>
    </w:p>
    <w:p w:rsidR="00A846B0" w:rsidRPr="00983B42" w:rsidRDefault="00A846B0" w:rsidP="00A846B0">
      <w:pPr>
        <w:autoSpaceDE w:val="0"/>
        <w:autoSpaceDN w:val="0"/>
        <w:adjustRightInd w:val="0"/>
        <w:jc w:val="both"/>
        <w:rPr>
          <w:sz w:val="22"/>
          <w:szCs w:val="22"/>
          <w:lang w:val="sr-Latn-ME" w:eastAsia="hr-HR"/>
        </w:rPr>
      </w:pPr>
    </w:p>
    <w:p w:rsidR="00A846B0" w:rsidRPr="00983B42" w:rsidRDefault="00A846B0" w:rsidP="00B61363">
      <w:pPr>
        <w:autoSpaceDE w:val="0"/>
        <w:autoSpaceDN w:val="0"/>
        <w:adjustRightInd w:val="0"/>
        <w:jc w:val="both"/>
        <w:rPr>
          <w:i/>
          <w:iCs/>
          <w:sz w:val="22"/>
          <w:szCs w:val="22"/>
          <w:u w:val="single"/>
          <w:lang w:val="sr-Latn-ME" w:eastAsia="hr-HR"/>
        </w:rPr>
      </w:pPr>
      <w:r w:rsidRPr="00983B42">
        <w:rPr>
          <w:i/>
          <w:iCs/>
          <w:sz w:val="22"/>
          <w:szCs w:val="22"/>
          <w:u w:val="single"/>
          <w:lang w:val="sr-Latn-ME" w:eastAsia="hr-HR"/>
        </w:rPr>
        <w:t>Liječenje gastričnog ulkusa</w:t>
      </w:r>
    </w:p>
    <w:p w:rsidR="00A846B0" w:rsidRPr="00983B42" w:rsidRDefault="00A846B0" w:rsidP="00A846B0">
      <w:pPr>
        <w:autoSpaceDE w:val="0"/>
        <w:autoSpaceDN w:val="0"/>
        <w:adjustRightInd w:val="0"/>
        <w:ind w:left="720"/>
        <w:jc w:val="both"/>
        <w:rPr>
          <w:b/>
          <w:sz w:val="22"/>
          <w:szCs w:val="22"/>
          <w:lang w:val="sr-Latn-ME" w:eastAsia="hr-HR"/>
        </w:rPr>
      </w:pPr>
    </w:p>
    <w:p w:rsidR="00A846B0" w:rsidRPr="00983B42" w:rsidRDefault="00A846B0" w:rsidP="00A846B0">
      <w:pPr>
        <w:jc w:val="both"/>
        <w:rPr>
          <w:sz w:val="22"/>
          <w:szCs w:val="22"/>
          <w:lang w:val="sr-Latn-ME" w:eastAsia="hr-HR"/>
        </w:rPr>
      </w:pPr>
      <w:r w:rsidRPr="00983B42">
        <w:rPr>
          <w:sz w:val="22"/>
          <w:szCs w:val="22"/>
          <w:lang w:val="sr-Latn-ME" w:eastAsia="hr-HR"/>
        </w:rPr>
        <w:t xml:space="preserve">Jedna </w:t>
      </w:r>
      <w:r w:rsidRPr="00983B42">
        <w:rPr>
          <w:sz w:val="22"/>
          <w:szCs w:val="22"/>
          <w:lang w:val="sr-Latn-ME"/>
        </w:rPr>
        <w:t>FENIX</w:t>
      </w:r>
      <w:r w:rsidRPr="00983B42">
        <w:rPr>
          <w:sz w:val="22"/>
          <w:szCs w:val="22"/>
          <w:vertAlign w:val="superscript"/>
          <w:lang w:val="sr-Latn-ME"/>
        </w:rPr>
        <w:t xml:space="preserve"> </w:t>
      </w:r>
      <w:r w:rsidRPr="00983B42">
        <w:rPr>
          <w:sz w:val="22"/>
          <w:szCs w:val="22"/>
          <w:lang w:val="sr-Latn-ME"/>
        </w:rPr>
        <w:t xml:space="preserve">40 mg tableta </w:t>
      </w:r>
      <w:r w:rsidRPr="00983B42">
        <w:rPr>
          <w:sz w:val="22"/>
          <w:szCs w:val="22"/>
          <w:lang w:val="sr-Latn-ME" w:eastAsia="hr-HR"/>
        </w:rPr>
        <w:t>na dan.</w:t>
      </w:r>
      <w:r w:rsidR="00585984" w:rsidRPr="00983B42">
        <w:rPr>
          <w:sz w:val="22"/>
          <w:szCs w:val="22"/>
          <w:lang w:val="sr-Latn-ME" w:eastAsia="hr-HR"/>
        </w:rPr>
        <w:t xml:space="preserve"> U pojedinim slučajevima doza </w:t>
      </w:r>
      <w:r w:rsidRPr="00983B42">
        <w:rPr>
          <w:sz w:val="22"/>
          <w:szCs w:val="22"/>
          <w:lang w:val="sr-Latn-ME" w:eastAsia="hr-HR"/>
        </w:rPr>
        <w:t xml:space="preserve"> može </w:t>
      </w:r>
      <w:r w:rsidR="00585984" w:rsidRPr="00983B42">
        <w:rPr>
          <w:sz w:val="22"/>
          <w:szCs w:val="22"/>
          <w:lang w:val="sr-Latn-ME" w:eastAsia="hr-HR"/>
        </w:rPr>
        <w:t>da se udvostruči</w:t>
      </w:r>
      <w:r w:rsidRPr="00983B42">
        <w:rPr>
          <w:sz w:val="22"/>
          <w:szCs w:val="22"/>
          <w:lang w:val="sr-Latn-ME" w:eastAsia="hr-HR"/>
        </w:rPr>
        <w:t xml:space="preserve"> (povećati na 2 </w:t>
      </w:r>
      <w:r w:rsidRPr="00983B42">
        <w:rPr>
          <w:sz w:val="22"/>
          <w:szCs w:val="22"/>
          <w:lang w:val="sr-Latn-ME"/>
        </w:rPr>
        <w:t>FENIX</w:t>
      </w:r>
      <w:r w:rsidRPr="00983B42">
        <w:rPr>
          <w:sz w:val="22"/>
          <w:szCs w:val="22"/>
          <w:vertAlign w:val="superscript"/>
          <w:lang w:val="sr-Latn-ME"/>
        </w:rPr>
        <w:t xml:space="preserve"> </w:t>
      </w:r>
      <w:r w:rsidRPr="00983B42">
        <w:rPr>
          <w:sz w:val="22"/>
          <w:szCs w:val="22"/>
          <w:lang w:val="sr-Latn-ME"/>
        </w:rPr>
        <w:t>40 mg tablete na dan</w:t>
      </w:r>
      <w:r w:rsidR="00585984" w:rsidRPr="00983B42">
        <w:rPr>
          <w:sz w:val="22"/>
          <w:szCs w:val="22"/>
          <w:lang w:val="sr-Latn-ME" w:eastAsia="hr-HR"/>
        </w:rPr>
        <w:t>), naročito</w:t>
      </w:r>
      <w:r w:rsidRPr="00983B42">
        <w:rPr>
          <w:sz w:val="22"/>
          <w:szCs w:val="22"/>
          <w:lang w:val="sr-Latn-ME" w:eastAsia="hr-HR"/>
        </w:rPr>
        <w:t xml:space="preserve"> onda kada nije bilo odgovora na druge</w:t>
      </w:r>
      <w:r w:rsidRPr="00983B42">
        <w:rPr>
          <w:sz w:val="22"/>
          <w:szCs w:val="22"/>
          <w:lang w:val="sr-Latn-ME"/>
        </w:rPr>
        <w:t xml:space="preserve"> primijenjene </w:t>
      </w:r>
      <w:r w:rsidRPr="00983B42">
        <w:rPr>
          <w:sz w:val="22"/>
          <w:szCs w:val="22"/>
          <w:lang w:val="sr-Latn-ME" w:eastAsia="hr-HR"/>
        </w:rPr>
        <w:t>terapije. Obično je potreban period od 4 sedmice za liječenje gastričnih ulkusa. Ako to nije dovoljno, izlječen</w:t>
      </w:r>
      <w:r w:rsidR="00585984" w:rsidRPr="00983B42">
        <w:rPr>
          <w:sz w:val="22"/>
          <w:szCs w:val="22"/>
          <w:lang w:val="sr-Latn-ME" w:eastAsia="hr-HR"/>
        </w:rPr>
        <w:t>je obično bude postignuto u toku</w:t>
      </w:r>
      <w:r w:rsidRPr="00983B42">
        <w:rPr>
          <w:sz w:val="22"/>
          <w:szCs w:val="22"/>
          <w:lang w:val="sr-Latn-ME" w:eastAsia="hr-HR"/>
        </w:rPr>
        <w:t xml:space="preserve"> perioda od dodatne 4 sedmice.</w:t>
      </w:r>
    </w:p>
    <w:p w:rsidR="00A846B0" w:rsidRPr="00983B42" w:rsidRDefault="00A846B0" w:rsidP="00A846B0">
      <w:pPr>
        <w:autoSpaceDE w:val="0"/>
        <w:autoSpaceDN w:val="0"/>
        <w:adjustRightInd w:val="0"/>
        <w:jc w:val="both"/>
        <w:rPr>
          <w:sz w:val="22"/>
          <w:szCs w:val="22"/>
          <w:lang w:val="sr-Latn-ME" w:eastAsia="hr-HR"/>
        </w:rPr>
      </w:pPr>
    </w:p>
    <w:p w:rsidR="00A846B0" w:rsidRPr="00983B42" w:rsidRDefault="00A846B0" w:rsidP="008F7FD4">
      <w:pPr>
        <w:autoSpaceDE w:val="0"/>
        <w:autoSpaceDN w:val="0"/>
        <w:adjustRightInd w:val="0"/>
        <w:jc w:val="both"/>
        <w:rPr>
          <w:i/>
          <w:iCs/>
          <w:sz w:val="22"/>
          <w:szCs w:val="22"/>
          <w:u w:val="single"/>
          <w:lang w:val="sr-Latn-ME" w:eastAsia="hr-HR"/>
        </w:rPr>
      </w:pPr>
      <w:r w:rsidRPr="00983B42">
        <w:rPr>
          <w:i/>
          <w:iCs/>
          <w:sz w:val="22"/>
          <w:szCs w:val="22"/>
          <w:u w:val="single"/>
          <w:lang w:val="sr-Latn-ME" w:eastAsia="hr-HR"/>
        </w:rPr>
        <w:t xml:space="preserve">Liječenje duodenalnog ulkusa </w:t>
      </w:r>
    </w:p>
    <w:p w:rsidR="00A846B0" w:rsidRPr="00983B42" w:rsidRDefault="00A846B0" w:rsidP="00A846B0">
      <w:pPr>
        <w:autoSpaceDE w:val="0"/>
        <w:autoSpaceDN w:val="0"/>
        <w:adjustRightInd w:val="0"/>
        <w:ind w:left="720"/>
        <w:jc w:val="both"/>
        <w:rPr>
          <w:b/>
          <w:sz w:val="22"/>
          <w:szCs w:val="22"/>
          <w:lang w:val="sr-Latn-ME" w:eastAsia="hr-HR"/>
        </w:rPr>
      </w:pPr>
    </w:p>
    <w:p w:rsidR="00A846B0" w:rsidRPr="00983B42" w:rsidRDefault="00A846B0" w:rsidP="00A846B0">
      <w:pPr>
        <w:jc w:val="both"/>
        <w:rPr>
          <w:sz w:val="22"/>
          <w:szCs w:val="22"/>
          <w:lang w:val="sr-Latn-ME" w:eastAsia="hr-HR"/>
        </w:rPr>
      </w:pPr>
      <w:r w:rsidRPr="00983B42">
        <w:rPr>
          <w:sz w:val="22"/>
          <w:szCs w:val="22"/>
          <w:lang w:val="sr-Latn-ME" w:eastAsia="hr-HR"/>
        </w:rPr>
        <w:t xml:space="preserve">Jedna </w:t>
      </w:r>
      <w:r w:rsidRPr="00983B42">
        <w:rPr>
          <w:sz w:val="22"/>
          <w:szCs w:val="22"/>
          <w:lang w:val="sr-Latn-ME"/>
        </w:rPr>
        <w:t>FENIX</w:t>
      </w:r>
      <w:r w:rsidRPr="00983B42">
        <w:rPr>
          <w:sz w:val="22"/>
          <w:szCs w:val="22"/>
          <w:vertAlign w:val="superscript"/>
          <w:lang w:val="sr-Latn-ME"/>
        </w:rPr>
        <w:t xml:space="preserve"> </w:t>
      </w:r>
      <w:r w:rsidRPr="00983B42">
        <w:rPr>
          <w:sz w:val="22"/>
          <w:szCs w:val="22"/>
          <w:lang w:val="sr-Latn-ME"/>
        </w:rPr>
        <w:t xml:space="preserve">40 mg tableta </w:t>
      </w:r>
      <w:r w:rsidRPr="00983B42">
        <w:rPr>
          <w:sz w:val="22"/>
          <w:szCs w:val="22"/>
          <w:lang w:val="sr-Latn-ME" w:eastAsia="hr-HR"/>
        </w:rPr>
        <w:t>na dan.</w:t>
      </w:r>
      <w:r w:rsidR="00642A06" w:rsidRPr="00983B42">
        <w:rPr>
          <w:sz w:val="22"/>
          <w:szCs w:val="22"/>
          <w:lang w:val="sr-Latn-ME" w:eastAsia="hr-HR"/>
        </w:rPr>
        <w:t xml:space="preserve"> U pojedinim slučajevima doza </w:t>
      </w:r>
      <w:r w:rsidRPr="00983B42">
        <w:rPr>
          <w:sz w:val="22"/>
          <w:szCs w:val="22"/>
          <w:lang w:val="sr-Latn-ME" w:eastAsia="hr-HR"/>
        </w:rPr>
        <w:t xml:space="preserve"> može </w:t>
      </w:r>
      <w:r w:rsidR="00642A06" w:rsidRPr="00983B42">
        <w:rPr>
          <w:sz w:val="22"/>
          <w:szCs w:val="22"/>
          <w:lang w:val="sr-Latn-ME" w:eastAsia="hr-HR"/>
        </w:rPr>
        <w:t>da se udvostruči</w:t>
      </w:r>
      <w:r w:rsidRPr="00983B42">
        <w:rPr>
          <w:sz w:val="22"/>
          <w:szCs w:val="22"/>
          <w:lang w:val="sr-Latn-ME" w:eastAsia="hr-HR"/>
        </w:rPr>
        <w:t xml:space="preserve"> (povećati na 2 </w:t>
      </w:r>
      <w:r w:rsidRPr="00983B42">
        <w:rPr>
          <w:sz w:val="22"/>
          <w:szCs w:val="22"/>
          <w:lang w:val="sr-Latn-ME"/>
        </w:rPr>
        <w:t>FENIX</w:t>
      </w:r>
      <w:r w:rsidRPr="00983B42">
        <w:rPr>
          <w:sz w:val="22"/>
          <w:szCs w:val="22"/>
          <w:vertAlign w:val="superscript"/>
          <w:lang w:val="sr-Latn-ME"/>
        </w:rPr>
        <w:t xml:space="preserve"> </w:t>
      </w:r>
      <w:r w:rsidRPr="00983B42">
        <w:rPr>
          <w:sz w:val="22"/>
          <w:szCs w:val="22"/>
          <w:lang w:val="sr-Latn-ME"/>
        </w:rPr>
        <w:t>40 mg tablete na dan</w:t>
      </w:r>
      <w:r w:rsidR="00642A06" w:rsidRPr="00983B42">
        <w:rPr>
          <w:sz w:val="22"/>
          <w:szCs w:val="22"/>
          <w:lang w:val="sr-Latn-ME" w:eastAsia="hr-HR"/>
        </w:rPr>
        <w:t>), naročito</w:t>
      </w:r>
      <w:r w:rsidRPr="00983B42">
        <w:rPr>
          <w:sz w:val="22"/>
          <w:szCs w:val="22"/>
          <w:lang w:val="sr-Latn-ME" w:eastAsia="hr-HR"/>
        </w:rPr>
        <w:t xml:space="preserve"> onda kada nije bilo odgovora na druge</w:t>
      </w:r>
      <w:r w:rsidRPr="00983B42">
        <w:rPr>
          <w:sz w:val="22"/>
          <w:szCs w:val="22"/>
          <w:lang w:val="sr-Latn-ME"/>
        </w:rPr>
        <w:t xml:space="preserve"> primijenjene </w:t>
      </w:r>
      <w:r w:rsidRPr="00983B42">
        <w:rPr>
          <w:sz w:val="22"/>
          <w:szCs w:val="22"/>
          <w:lang w:val="sr-Latn-ME" w:eastAsia="hr-HR"/>
        </w:rPr>
        <w:t>terapije. Obično je potreban period od 2 sedmice za liječenje duodenalnih ulkusa. Ako to nije dovoljno, u gotovo svim slučajevima i</w:t>
      </w:r>
      <w:r w:rsidR="00602AAE" w:rsidRPr="00983B42">
        <w:rPr>
          <w:sz w:val="22"/>
          <w:szCs w:val="22"/>
          <w:lang w:val="sr-Latn-ME" w:eastAsia="hr-HR"/>
        </w:rPr>
        <w:t>zlječenje bude postignuto u toku</w:t>
      </w:r>
      <w:r w:rsidRPr="00983B42">
        <w:rPr>
          <w:sz w:val="22"/>
          <w:szCs w:val="22"/>
          <w:lang w:val="sr-Latn-ME" w:eastAsia="hr-HR"/>
        </w:rPr>
        <w:t xml:space="preserve"> perioda od dodatne 2 sedmice.</w:t>
      </w:r>
    </w:p>
    <w:p w:rsidR="00A846B0" w:rsidRPr="00983B42" w:rsidRDefault="00A846B0" w:rsidP="00A846B0">
      <w:pPr>
        <w:autoSpaceDE w:val="0"/>
        <w:autoSpaceDN w:val="0"/>
        <w:adjustRightInd w:val="0"/>
        <w:jc w:val="both"/>
        <w:rPr>
          <w:sz w:val="22"/>
          <w:szCs w:val="22"/>
          <w:lang w:val="sr-Latn-ME" w:eastAsia="hr-HR"/>
        </w:rPr>
      </w:pPr>
    </w:p>
    <w:p w:rsidR="00A846B0" w:rsidRPr="00983B42" w:rsidRDefault="00A846B0" w:rsidP="008F7FD4">
      <w:pPr>
        <w:autoSpaceDE w:val="0"/>
        <w:autoSpaceDN w:val="0"/>
        <w:adjustRightInd w:val="0"/>
        <w:jc w:val="both"/>
        <w:rPr>
          <w:i/>
          <w:iCs/>
          <w:sz w:val="22"/>
          <w:szCs w:val="22"/>
          <w:u w:val="single"/>
          <w:lang w:val="sr-Latn-ME" w:eastAsia="hr-HR"/>
        </w:rPr>
      </w:pPr>
      <w:r w:rsidRPr="00983B42">
        <w:rPr>
          <w:i/>
          <w:iCs/>
          <w:sz w:val="22"/>
          <w:szCs w:val="22"/>
          <w:u w:val="single"/>
          <w:lang w:val="sr-Latn-ME" w:eastAsia="hr-HR"/>
        </w:rPr>
        <w:t>Zollinger-Ellisonov sindrom i druga patološka hipersekretorna stanja</w:t>
      </w:r>
    </w:p>
    <w:p w:rsidR="00A846B0" w:rsidRPr="00983B42" w:rsidRDefault="00A846B0" w:rsidP="00A846B0">
      <w:pPr>
        <w:autoSpaceDE w:val="0"/>
        <w:autoSpaceDN w:val="0"/>
        <w:adjustRightInd w:val="0"/>
        <w:ind w:left="720"/>
        <w:jc w:val="both"/>
        <w:rPr>
          <w:b/>
          <w:sz w:val="22"/>
          <w:szCs w:val="22"/>
          <w:lang w:val="sr-Latn-ME" w:eastAsia="hr-HR"/>
        </w:rPr>
      </w:pPr>
    </w:p>
    <w:p w:rsidR="00A846B0" w:rsidRPr="00983B42" w:rsidRDefault="00A846B0" w:rsidP="00A846B0">
      <w:pPr>
        <w:autoSpaceDE w:val="0"/>
        <w:autoSpaceDN w:val="0"/>
        <w:adjustRightInd w:val="0"/>
        <w:jc w:val="both"/>
        <w:rPr>
          <w:sz w:val="22"/>
          <w:szCs w:val="22"/>
          <w:lang w:val="sr-Latn-ME"/>
        </w:rPr>
      </w:pPr>
      <w:r w:rsidRPr="00983B42">
        <w:rPr>
          <w:sz w:val="22"/>
          <w:szCs w:val="22"/>
          <w:lang w:val="sr-Latn-ME" w:eastAsia="hr-HR"/>
        </w:rPr>
        <w:t>Za dugotrajno liječenje Zollinger-Ellisonovog sindroma i drugih patoloških hipersekre</w:t>
      </w:r>
      <w:r w:rsidR="00784538" w:rsidRPr="00983B42">
        <w:rPr>
          <w:sz w:val="22"/>
          <w:szCs w:val="22"/>
          <w:lang w:val="sr-Latn-ME" w:eastAsia="hr-HR"/>
        </w:rPr>
        <w:t xml:space="preserve">tornih stanja, pacijenti </w:t>
      </w:r>
      <w:r w:rsidRPr="00983B42">
        <w:rPr>
          <w:sz w:val="22"/>
          <w:szCs w:val="22"/>
          <w:lang w:val="sr-Latn-ME" w:eastAsia="hr-HR"/>
        </w:rPr>
        <w:t xml:space="preserve"> terapiju </w:t>
      </w:r>
      <w:r w:rsidR="00784538" w:rsidRPr="00983B42">
        <w:rPr>
          <w:sz w:val="22"/>
          <w:szCs w:val="22"/>
          <w:lang w:val="sr-Latn-ME" w:eastAsia="hr-HR"/>
        </w:rPr>
        <w:t>treba da započnu</w:t>
      </w:r>
      <w:r w:rsidRPr="00983B42">
        <w:rPr>
          <w:sz w:val="22"/>
          <w:szCs w:val="22"/>
          <w:lang w:val="sr-Latn-ME" w:eastAsia="hr-HR"/>
        </w:rPr>
        <w:t xml:space="preserve"> s dnevnom dozom od 80 mg (2 </w:t>
      </w:r>
      <w:r w:rsidRPr="00983B42">
        <w:rPr>
          <w:sz w:val="22"/>
          <w:szCs w:val="22"/>
          <w:lang w:val="sr-Latn-ME"/>
        </w:rPr>
        <w:t>FENIX</w:t>
      </w:r>
      <w:r w:rsidRPr="00983B42">
        <w:rPr>
          <w:sz w:val="22"/>
          <w:szCs w:val="22"/>
          <w:vertAlign w:val="superscript"/>
          <w:lang w:val="sr-Latn-ME"/>
        </w:rPr>
        <w:t xml:space="preserve"> </w:t>
      </w:r>
      <w:r w:rsidRPr="00983B42">
        <w:rPr>
          <w:sz w:val="22"/>
          <w:szCs w:val="22"/>
          <w:lang w:val="sr-Latn-ME"/>
        </w:rPr>
        <w:t>40 mg tablete na dan)</w:t>
      </w:r>
      <w:r w:rsidR="009B1D1F" w:rsidRPr="00983B42">
        <w:rPr>
          <w:sz w:val="22"/>
          <w:szCs w:val="22"/>
          <w:lang w:val="sr-Latn-ME" w:eastAsia="hr-HR"/>
        </w:rPr>
        <w:t xml:space="preserve"> Nakon toga, po potrebi </w:t>
      </w:r>
      <w:r w:rsidRPr="00983B42">
        <w:rPr>
          <w:sz w:val="22"/>
          <w:szCs w:val="22"/>
          <w:lang w:val="sr-Latn-ME" w:eastAsia="hr-HR"/>
        </w:rPr>
        <w:t xml:space="preserve">doziranje može titracijom </w:t>
      </w:r>
      <w:r w:rsidR="00784538" w:rsidRPr="00983B42">
        <w:rPr>
          <w:sz w:val="22"/>
          <w:szCs w:val="22"/>
          <w:lang w:val="sr-Latn-ME" w:eastAsia="hr-HR"/>
        </w:rPr>
        <w:t>da se povećava ili smanjuje</w:t>
      </w:r>
      <w:r w:rsidRPr="00983B42">
        <w:rPr>
          <w:sz w:val="22"/>
          <w:szCs w:val="22"/>
          <w:lang w:val="sr-Latn-ME" w:eastAsia="hr-HR"/>
        </w:rPr>
        <w:t>, rukovodeć</w:t>
      </w:r>
      <w:r w:rsidR="00784538" w:rsidRPr="00983B42">
        <w:rPr>
          <w:sz w:val="22"/>
          <w:szCs w:val="22"/>
          <w:lang w:val="sr-Latn-ME" w:eastAsia="hr-HR"/>
        </w:rPr>
        <w:t>i se mjerenjima sekrecije želudač</w:t>
      </w:r>
      <w:r w:rsidRPr="00983B42">
        <w:rPr>
          <w:sz w:val="22"/>
          <w:szCs w:val="22"/>
          <w:lang w:val="sr-Latn-ME" w:eastAsia="hr-HR"/>
        </w:rPr>
        <w:t>ne kis</w:t>
      </w:r>
      <w:r w:rsidR="00784538" w:rsidRPr="00983B42">
        <w:rPr>
          <w:sz w:val="22"/>
          <w:szCs w:val="22"/>
          <w:lang w:val="sr-Latn-ME" w:eastAsia="hr-HR"/>
        </w:rPr>
        <w:t>j</w:t>
      </w:r>
      <w:r w:rsidRPr="00983B42">
        <w:rPr>
          <w:sz w:val="22"/>
          <w:szCs w:val="22"/>
          <w:lang w:val="sr-Latn-ME" w:eastAsia="hr-HR"/>
        </w:rPr>
        <w:t xml:space="preserve">eline. Kod </w:t>
      </w:r>
      <w:r w:rsidR="00784538" w:rsidRPr="00983B42">
        <w:rPr>
          <w:sz w:val="22"/>
          <w:szCs w:val="22"/>
          <w:lang w:val="sr-Latn-ME" w:eastAsia="hr-HR"/>
        </w:rPr>
        <w:t xml:space="preserve">doza iznad 80 mg na dan, doza </w:t>
      </w:r>
      <w:r w:rsidRPr="00983B42">
        <w:rPr>
          <w:sz w:val="22"/>
          <w:szCs w:val="22"/>
          <w:lang w:val="sr-Latn-ME" w:eastAsia="hr-HR"/>
        </w:rPr>
        <w:t xml:space="preserve"> mora </w:t>
      </w:r>
      <w:r w:rsidR="00784538" w:rsidRPr="00983B42">
        <w:rPr>
          <w:sz w:val="22"/>
          <w:szCs w:val="22"/>
          <w:lang w:val="sr-Latn-ME" w:eastAsia="hr-HR"/>
        </w:rPr>
        <w:t>da se podijeli na dvije i primjenjuje</w:t>
      </w:r>
      <w:r w:rsidRPr="00983B42">
        <w:rPr>
          <w:sz w:val="22"/>
          <w:szCs w:val="22"/>
          <w:lang w:val="sr-Latn-ME" w:eastAsia="hr-HR"/>
        </w:rPr>
        <w:t xml:space="preserve"> dva puta na dan. Moguće je privremeno povećanje doze iznad 160 mg pantoprazola, </w:t>
      </w:r>
      <w:r w:rsidRPr="00983B42">
        <w:rPr>
          <w:sz w:val="22"/>
          <w:szCs w:val="22"/>
          <w:lang w:val="sr-Latn-ME"/>
        </w:rPr>
        <w:t>ali ga ne treba primjenjivati duže nego što je potrebno za adekvatnu kontrolu kis</w:t>
      </w:r>
      <w:r w:rsidR="00784538" w:rsidRPr="00983B42">
        <w:rPr>
          <w:sz w:val="22"/>
          <w:szCs w:val="22"/>
          <w:lang w:val="sr-Latn-ME"/>
        </w:rPr>
        <w:t>j</w:t>
      </w:r>
      <w:r w:rsidRPr="00983B42">
        <w:rPr>
          <w:sz w:val="22"/>
          <w:szCs w:val="22"/>
          <w:lang w:val="sr-Latn-ME"/>
        </w:rPr>
        <w:t>eline.</w:t>
      </w:r>
    </w:p>
    <w:p w:rsidR="00A846B0" w:rsidRPr="00983B42" w:rsidRDefault="00A846B0" w:rsidP="00A846B0">
      <w:pPr>
        <w:autoSpaceDE w:val="0"/>
        <w:autoSpaceDN w:val="0"/>
        <w:adjustRightInd w:val="0"/>
        <w:jc w:val="both"/>
        <w:rPr>
          <w:sz w:val="22"/>
          <w:szCs w:val="22"/>
          <w:lang w:val="sr-Latn-ME" w:eastAsia="hr-HR"/>
        </w:rPr>
      </w:pPr>
    </w:p>
    <w:p w:rsidR="00A846B0" w:rsidRPr="00983B42" w:rsidRDefault="00A846B0" w:rsidP="00A846B0">
      <w:pPr>
        <w:autoSpaceDE w:val="0"/>
        <w:autoSpaceDN w:val="0"/>
        <w:adjustRightInd w:val="0"/>
        <w:jc w:val="both"/>
        <w:rPr>
          <w:sz w:val="22"/>
          <w:szCs w:val="22"/>
          <w:lang w:val="sr-Latn-ME" w:eastAsia="hr-HR"/>
        </w:rPr>
      </w:pPr>
      <w:r w:rsidRPr="00983B42">
        <w:rPr>
          <w:sz w:val="22"/>
          <w:szCs w:val="22"/>
          <w:lang w:val="sr-Latn-ME" w:eastAsia="hr-HR"/>
        </w:rPr>
        <w:t>Trajanje liječenja kod Zollinger-Ellisonovog sindroma i drugih patoloških hipersekretornih stanja nije ograničeno i treba biti prilagođeno prema kliničkim potrebama.</w:t>
      </w:r>
    </w:p>
    <w:p w:rsidR="006241FB" w:rsidRPr="00983B42" w:rsidRDefault="006241FB" w:rsidP="00A846B0">
      <w:pPr>
        <w:autoSpaceDE w:val="0"/>
        <w:autoSpaceDN w:val="0"/>
        <w:adjustRightInd w:val="0"/>
        <w:jc w:val="both"/>
        <w:rPr>
          <w:sz w:val="22"/>
          <w:szCs w:val="22"/>
          <w:lang w:val="sr-Latn-ME" w:eastAsia="hr-HR"/>
        </w:rPr>
      </w:pPr>
    </w:p>
    <w:p w:rsidR="006241FB" w:rsidRPr="00983B42" w:rsidRDefault="006241FB" w:rsidP="00A846B0">
      <w:pPr>
        <w:autoSpaceDE w:val="0"/>
        <w:autoSpaceDN w:val="0"/>
        <w:adjustRightInd w:val="0"/>
        <w:jc w:val="both"/>
        <w:rPr>
          <w:sz w:val="22"/>
          <w:szCs w:val="22"/>
          <w:u w:val="single"/>
          <w:lang w:val="sr-Latn-ME" w:eastAsia="hr-HR"/>
        </w:rPr>
      </w:pPr>
      <w:r w:rsidRPr="00983B42">
        <w:rPr>
          <w:sz w:val="22"/>
          <w:szCs w:val="22"/>
          <w:u w:val="single"/>
          <w:lang w:val="sr-Latn-ME" w:eastAsia="hr-HR"/>
        </w:rPr>
        <w:t>Posebne populacije</w:t>
      </w:r>
    </w:p>
    <w:p w:rsidR="00A846B0" w:rsidRPr="00983B42" w:rsidRDefault="00A846B0" w:rsidP="00A846B0">
      <w:pPr>
        <w:jc w:val="both"/>
        <w:rPr>
          <w:b/>
          <w:i/>
          <w:sz w:val="22"/>
          <w:szCs w:val="22"/>
          <w:lang w:val="sr-Latn-ME"/>
        </w:rPr>
      </w:pPr>
    </w:p>
    <w:p w:rsidR="00A846B0" w:rsidRPr="00983B42" w:rsidRDefault="00784538" w:rsidP="00A846B0">
      <w:pPr>
        <w:jc w:val="both"/>
        <w:rPr>
          <w:bCs/>
          <w:i/>
          <w:sz w:val="22"/>
          <w:szCs w:val="22"/>
          <w:lang w:val="sr-Latn-ME"/>
        </w:rPr>
      </w:pPr>
      <w:r w:rsidRPr="00983B42">
        <w:rPr>
          <w:bCs/>
          <w:i/>
          <w:sz w:val="22"/>
          <w:szCs w:val="22"/>
          <w:lang w:val="sr-Latn-ME"/>
        </w:rPr>
        <w:t xml:space="preserve">Pacijenti s </w:t>
      </w:r>
      <w:r w:rsidR="00A846B0" w:rsidRPr="00983B42">
        <w:rPr>
          <w:bCs/>
          <w:i/>
          <w:sz w:val="22"/>
          <w:szCs w:val="22"/>
          <w:lang w:val="sr-Latn-ME"/>
        </w:rPr>
        <w:t xml:space="preserve"> oštećenjem</w:t>
      </w:r>
      <w:r w:rsidRPr="00983B42">
        <w:rPr>
          <w:bCs/>
          <w:i/>
          <w:sz w:val="22"/>
          <w:szCs w:val="22"/>
          <w:lang w:val="sr-Latn-ME"/>
        </w:rPr>
        <w:t xml:space="preserve"> jetre</w:t>
      </w:r>
    </w:p>
    <w:p w:rsidR="00A846B0" w:rsidRPr="00983B42" w:rsidRDefault="00C73BFF" w:rsidP="00A846B0">
      <w:pPr>
        <w:jc w:val="both"/>
        <w:rPr>
          <w:sz w:val="22"/>
          <w:szCs w:val="22"/>
          <w:lang w:val="sr-Latn-ME"/>
        </w:rPr>
      </w:pPr>
      <w:r w:rsidRPr="00983B42">
        <w:rPr>
          <w:sz w:val="22"/>
          <w:szCs w:val="22"/>
          <w:lang w:val="sr-Latn-ME"/>
        </w:rPr>
        <w:lastRenderedPageBreak/>
        <w:t>Kod</w:t>
      </w:r>
      <w:r w:rsidR="00784538" w:rsidRPr="00983B42">
        <w:rPr>
          <w:sz w:val="22"/>
          <w:szCs w:val="22"/>
          <w:lang w:val="sr-Latn-ME"/>
        </w:rPr>
        <w:t xml:space="preserve"> pacijenata s teškim </w:t>
      </w:r>
      <w:r w:rsidR="00A846B0" w:rsidRPr="00983B42">
        <w:rPr>
          <w:sz w:val="22"/>
          <w:szCs w:val="22"/>
          <w:lang w:val="sr-Latn-ME"/>
        </w:rPr>
        <w:t>oštećenjem</w:t>
      </w:r>
      <w:r w:rsidR="004D2F9C" w:rsidRPr="00983B42">
        <w:rPr>
          <w:sz w:val="22"/>
          <w:szCs w:val="22"/>
          <w:lang w:val="sr-Latn-ME"/>
        </w:rPr>
        <w:t xml:space="preserve"> jetre ne treba da se</w:t>
      </w:r>
      <w:r w:rsidR="00784538" w:rsidRPr="00983B42">
        <w:rPr>
          <w:sz w:val="22"/>
          <w:szCs w:val="22"/>
          <w:lang w:val="sr-Latn-ME"/>
        </w:rPr>
        <w:t xml:space="preserve"> primjenjuju dnevne doze veće</w:t>
      </w:r>
      <w:r w:rsidR="00A846B0" w:rsidRPr="00983B42">
        <w:rPr>
          <w:sz w:val="22"/>
          <w:szCs w:val="22"/>
          <w:lang w:val="sr-Latn-ME"/>
        </w:rPr>
        <w:t xml:space="preserve"> od 20 mg pantoprazola (za ovo su dostupne FENIX</w:t>
      </w:r>
      <w:r w:rsidR="00A846B0" w:rsidRPr="00983B42">
        <w:rPr>
          <w:sz w:val="22"/>
          <w:szCs w:val="22"/>
          <w:vertAlign w:val="superscript"/>
          <w:lang w:val="sr-Latn-ME"/>
        </w:rPr>
        <w:t xml:space="preserve"> </w:t>
      </w:r>
      <w:r w:rsidR="00A846B0" w:rsidRPr="00983B42">
        <w:rPr>
          <w:sz w:val="22"/>
          <w:szCs w:val="22"/>
          <w:lang w:val="sr-Latn-ME"/>
        </w:rPr>
        <w:t xml:space="preserve">20 mg tablete). </w:t>
      </w:r>
      <w:r w:rsidR="002B7FCC" w:rsidRPr="00983B42">
        <w:rPr>
          <w:sz w:val="22"/>
          <w:szCs w:val="22"/>
          <w:lang w:val="sr-Latn-ME"/>
        </w:rPr>
        <w:t xml:space="preserve">Lijek </w:t>
      </w:r>
      <w:r w:rsidR="00784538" w:rsidRPr="00983B42">
        <w:rPr>
          <w:sz w:val="22"/>
          <w:szCs w:val="22"/>
          <w:lang w:val="sr-Latn-ME"/>
        </w:rPr>
        <w:t xml:space="preserve">FENIX </w:t>
      </w:r>
      <w:r w:rsidR="00A846B0" w:rsidRPr="00983B42">
        <w:rPr>
          <w:sz w:val="22"/>
          <w:szCs w:val="22"/>
          <w:lang w:val="sr-Latn-ME"/>
        </w:rPr>
        <w:t xml:space="preserve"> ne smije </w:t>
      </w:r>
      <w:r w:rsidR="00784538" w:rsidRPr="00983B42">
        <w:rPr>
          <w:sz w:val="22"/>
          <w:szCs w:val="22"/>
          <w:lang w:val="sr-Latn-ME"/>
        </w:rPr>
        <w:t>da se primjenjuje</w:t>
      </w:r>
      <w:r w:rsidR="00A846B0" w:rsidRPr="00983B42">
        <w:rPr>
          <w:sz w:val="22"/>
          <w:szCs w:val="22"/>
          <w:lang w:val="sr-Latn-ME"/>
        </w:rPr>
        <w:t xml:space="preserve"> pri kombi</w:t>
      </w:r>
      <w:r w:rsidR="002B7FCC" w:rsidRPr="00983B42">
        <w:rPr>
          <w:sz w:val="22"/>
          <w:szCs w:val="22"/>
          <w:lang w:val="sr-Latn-ME"/>
        </w:rPr>
        <w:t>novanoj</w:t>
      </w:r>
      <w:r w:rsidR="00A846B0" w:rsidRPr="00983B42">
        <w:rPr>
          <w:sz w:val="22"/>
          <w:szCs w:val="22"/>
          <w:lang w:val="sr-Latn-ME"/>
        </w:rPr>
        <w:t xml:space="preserve"> terapiji za eradikaciju </w:t>
      </w:r>
      <w:r w:rsidR="00A846B0" w:rsidRPr="00983B42">
        <w:rPr>
          <w:i/>
          <w:sz w:val="22"/>
          <w:szCs w:val="22"/>
          <w:lang w:val="sr-Latn-ME"/>
        </w:rPr>
        <w:t>H. pylori</w:t>
      </w:r>
      <w:r w:rsidR="00A846B0" w:rsidRPr="00983B42">
        <w:rPr>
          <w:sz w:val="22"/>
          <w:szCs w:val="22"/>
          <w:lang w:val="sr-Latn-ME"/>
        </w:rPr>
        <w:t xml:space="preserve"> </w:t>
      </w:r>
      <w:r w:rsidR="00FA54A7" w:rsidRPr="00983B42">
        <w:rPr>
          <w:sz w:val="22"/>
          <w:szCs w:val="22"/>
          <w:lang w:val="sr-Latn-ME"/>
        </w:rPr>
        <w:t>kod</w:t>
      </w:r>
      <w:r w:rsidR="00A846B0" w:rsidRPr="00983B42">
        <w:rPr>
          <w:sz w:val="22"/>
          <w:szCs w:val="22"/>
          <w:lang w:val="sr-Latn-ME"/>
        </w:rPr>
        <w:t xml:space="preserve"> pacijenat</w:t>
      </w:r>
      <w:r w:rsidR="00784538" w:rsidRPr="00983B42">
        <w:rPr>
          <w:sz w:val="22"/>
          <w:szCs w:val="22"/>
          <w:lang w:val="sr-Latn-ME"/>
        </w:rPr>
        <w:t xml:space="preserve">a s umjerenom do teškom </w:t>
      </w:r>
      <w:r w:rsidR="00A846B0" w:rsidRPr="00983B42">
        <w:rPr>
          <w:sz w:val="22"/>
          <w:szCs w:val="22"/>
          <w:lang w:val="sr-Latn-ME"/>
        </w:rPr>
        <w:t>disfunkcijom</w:t>
      </w:r>
      <w:r w:rsidR="00784538" w:rsidRPr="00983B42">
        <w:rPr>
          <w:sz w:val="22"/>
          <w:szCs w:val="22"/>
          <w:lang w:val="sr-Latn-ME"/>
        </w:rPr>
        <w:t xml:space="preserve"> jetre</w:t>
      </w:r>
      <w:r w:rsidR="00A846B0" w:rsidRPr="00983B42">
        <w:rPr>
          <w:sz w:val="22"/>
          <w:szCs w:val="22"/>
          <w:lang w:val="sr-Latn-ME"/>
        </w:rPr>
        <w:t xml:space="preserve">, budući da trenutno nema dostupnih podataka o efikasnosti i </w:t>
      </w:r>
      <w:r w:rsidR="00FA54A7" w:rsidRPr="00983B42">
        <w:rPr>
          <w:sz w:val="22"/>
          <w:szCs w:val="22"/>
          <w:lang w:val="sr-Latn-ME"/>
        </w:rPr>
        <w:t>bezbjednosti</w:t>
      </w:r>
      <w:r w:rsidR="00A846B0" w:rsidRPr="00983B42">
        <w:rPr>
          <w:sz w:val="22"/>
          <w:szCs w:val="22"/>
          <w:lang w:val="sr-Latn-ME"/>
        </w:rPr>
        <w:t xml:space="preserve"> pantoprazola pri kombin</w:t>
      </w:r>
      <w:r w:rsidR="00FA54A7" w:rsidRPr="00983B42">
        <w:rPr>
          <w:sz w:val="22"/>
          <w:szCs w:val="22"/>
          <w:lang w:val="sr-Latn-ME"/>
        </w:rPr>
        <w:t>ovanom</w:t>
      </w:r>
      <w:r w:rsidR="00A846B0" w:rsidRPr="00983B42">
        <w:rPr>
          <w:sz w:val="22"/>
          <w:szCs w:val="22"/>
          <w:lang w:val="sr-Latn-ME"/>
        </w:rPr>
        <w:t xml:space="preserve"> liječenju ovih pacijenata (</w:t>
      </w:r>
      <w:r w:rsidR="00FA54A7" w:rsidRPr="00983B42">
        <w:rPr>
          <w:sz w:val="22"/>
          <w:szCs w:val="22"/>
          <w:lang w:val="sr-Latn-ME"/>
        </w:rPr>
        <w:t>pogledati</w:t>
      </w:r>
      <w:r w:rsidR="00A846B0" w:rsidRPr="00983B42">
        <w:rPr>
          <w:sz w:val="22"/>
          <w:szCs w:val="22"/>
          <w:lang w:val="sr-Latn-ME"/>
        </w:rPr>
        <w:t xml:space="preserve"> dio 4.4.).</w:t>
      </w:r>
    </w:p>
    <w:p w:rsidR="00A846B0" w:rsidRPr="00983B42" w:rsidRDefault="00A846B0" w:rsidP="00A846B0">
      <w:pPr>
        <w:jc w:val="both"/>
        <w:rPr>
          <w:b/>
          <w:i/>
          <w:sz w:val="22"/>
          <w:szCs w:val="22"/>
          <w:lang w:val="sr-Latn-ME"/>
        </w:rPr>
      </w:pPr>
    </w:p>
    <w:p w:rsidR="00A846B0" w:rsidRPr="00983B42" w:rsidRDefault="00A846B0" w:rsidP="00A846B0">
      <w:pPr>
        <w:jc w:val="both"/>
        <w:rPr>
          <w:bCs/>
          <w:i/>
          <w:sz w:val="22"/>
          <w:szCs w:val="22"/>
          <w:lang w:val="sr-Latn-ME"/>
        </w:rPr>
      </w:pPr>
      <w:r w:rsidRPr="00983B42">
        <w:rPr>
          <w:bCs/>
          <w:i/>
          <w:sz w:val="22"/>
          <w:szCs w:val="22"/>
          <w:lang w:val="sr-Latn-ME"/>
        </w:rPr>
        <w:t>Pacijenti s bubrežnim oštećenjem</w:t>
      </w:r>
    </w:p>
    <w:p w:rsidR="009A736F" w:rsidRPr="00983B42" w:rsidRDefault="009A736F" w:rsidP="00A846B0">
      <w:pPr>
        <w:jc w:val="both"/>
        <w:rPr>
          <w:bCs/>
          <w:i/>
          <w:sz w:val="22"/>
          <w:szCs w:val="22"/>
          <w:lang w:val="sr-Latn-ME"/>
        </w:rPr>
      </w:pPr>
    </w:p>
    <w:p w:rsidR="00A846B0" w:rsidRPr="00983B42" w:rsidRDefault="00A846B0" w:rsidP="00A846B0">
      <w:pPr>
        <w:jc w:val="both"/>
        <w:rPr>
          <w:sz w:val="22"/>
          <w:szCs w:val="22"/>
          <w:lang w:val="sr-Latn-ME"/>
        </w:rPr>
      </w:pPr>
      <w:r w:rsidRPr="00983B42">
        <w:rPr>
          <w:sz w:val="22"/>
          <w:szCs w:val="22"/>
          <w:lang w:val="sr-Latn-ME"/>
        </w:rPr>
        <w:t xml:space="preserve">Prilagođavanje doze nije potrebno </w:t>
      </w:r>
      <w:r w:rsidR="009A736F" w:rsidRPr="00983B42">
        <w:rPr>
          <w:sz w:val="22"/>
          <w:szCs w:val="22"/>
          <w:lang w:val="sr-Latn-ME"/>
        </w:rPr>
        <w:t xml:space="preserve">kod </w:t>
      </w:r>
      <w:r w:rsidRPr="00983B42">
        <w:rPr>
          <w:sz w:val="22"/>
          <w:szCs w:val="22"/>
          <w:lang w:val="sr-Latn-ME"/>
        </w:rPr>
        <w:t xml:space="preserve">pacijenata s oštećenom bubrežnom funkcijom. </w:t>
      </w:r>
      <w:r w:rsidR="009A736F" w:rsidRPr="00983B42">
        <w:rPr>
          <w:sz w:val="22"/>
          <w:szCs w:val="22"/>
          <w:lang w:val="sr-Latn-ME"/>
        </w:rPr>
        <w:t xml:space="preserve">Lijek </w:t>
      </w:r>
      <w:r w:rsidR="00F71AB1" w:rsidRPr="00983B42">
        <w:rPr>
          <w:sz w:val="22"/>
          <w:szCs w:val="22"/>
          <w:lang w:val="sr-Latn-ME"/>
        </w:rPr>
        <w:t xml:space="preserve">FENIX </w:t>
      </w:r>
      <w:r w:rsidRPr="00983B42">
        <w:rPr>
          <w:sz w:val="22"/>
          <w:szCs w:val="22"/>
          <w:lang w:val="sr-Latn-ME"/>
        </w:rPr>
        <w:t xml:space="preserve"> ne smije </w:t>
      </w:r>
      <w:r w:rsidR="00F71AB1" w:rsidRPr="00983B42">
        <w:rPr>
          <w:sz w:val="22"/>
          <w:szCs w:val="22"/>
          <w:lang w:val="sr-Latn-ME"/>
        </w:rPr>
        <w:t>da se primjenjuje</w:t>
      </w:r>
      <w:r w:rsidRPr="00983B42">
        <w:rPr>
          <w:sz w:val="22"/>
          <w:szCs w:val="22"/>
          <w:lang w:val="sr-Latn-ME"/>
        </w:rPr>
        <w:t xml:space="preserve"> pri kombin</w:t>
      </w:r>
      <w:r w:rsidR="009A736F" w:rsidRPr="00983B42">
        <w:rPr>
          <w:sz w:val="22"/>
          <w:szCs w:val="22"/>
          <w:lang w:val="sr-Latn-ME"/>
        </w:rPr>
        <w:t>ovanoj</w:t>
      </w:r>
      <w:r w:rsidRPr="00983B42">
        <w:rPr>
          <w:sz w:val="22"/>
          <w:szCs w:val="22"/>
          <w:lang w:val="sr-Latn-ME"/>
        </w:rPr>
        <w:t xml:space="preserve"> terapiji za eradikaciju </w:t>
      </w:r>
      <w:r w:rsidRPr="00983B42">
        <w:rPr>
          <w:i/>
          <w:sz w:val="22"/>
          <w:szCs w:val="22"/>
          <w:lang w:val="sr-Latn-ME"/>
        </w:rPr>
        <w:t>H. pylori</w:t>
      </w:r>
      <w:r w:rsidRPr="00983B42">
        <w:rPr>
          <w:sz w:val="22"/>
          <w:szCs w:val="22"/>
          <w:lang w:val="sr-Latn-ME"/>
        </w:rPr>
        <w:t xml:space="preserve"> </w:t>
      </w:r>
      <w:r w:rsidR="009A736F" w:rsidRPr="00983B42">
        <w:rPr>
          <w:sz w:val="22"/>
          <w:szCs w:val="22"/>
          <w:lang w:val="sr-Latn-ME"/>
        </w:rPr>
        <w:t>kod</w:t>
      </w:r>
      <w:r w:rsidRPr="00983B42">
        <w:rPr>
          <w:sz w:val="22"/>
          <w:szCs w:val="22"/>
          <w:lang w:val="sr-Latn-ME"/>
        </w:rPr>
        <w:t xml:space="preserve"> pacijenata s oštećenom bubrežnom funkcijom, budući da trenutno nema dostupnih podataka o efikasnosti i </w:t>
      </w:r>
      <w:r w:rsidR="009A736F" w:rsidRPr="00983B42">
        <w:rPr>
          <w:sz w:val="22"/>
          <w:szCs w:val="22"/>
          <w:lang w:val="sr-Latn-ME"/>
        </w:rPr>
        <w:t>bezbjednosti</w:t>
      </w:r>
      <w:r w:rsidRPr="00983B42">
        <w:rPr>
          <w:sz w:val="22"/>
          <w:szCs w:val="22"/>
          <w:lang w:val="sr-Latn-ME"/>
        </w:rPr>
        <w:t xml:space="preserve"> pantoprazola pri kombin</w:t>
      </w:r>
      <w:r w:rsidR="009A736F" w:rsidRPr="00983B42">
        <w:rPr>
          <w:sz w:val="22"/>
          <w:szCs w:val="22"/>
          <w:lang w:val="sr-Latn-ME"/>
        </w:rPr>
        <w:t>ovanom</w:t>
      </w:r>
      <w:r w:rsidRPr="00983B42">
        <w:rPr>
          <w:sz w:val="22"/>
          <w:szCs w:val="22"/>
          <w:lang w:val="sr-Latn-ME"/>
        </w:rPr>
        <w:t xml:space="preserve"> liječenju ovih pacijenata (</w:t>
      </w:r>
      <w:r w:rsidR="009A736F" w:rsidRPr="00983B42">
        <w:rPr>
          <w:sz w:val="22"/>
          <w:szCs w:val="22"/>
          <w:lang w:val="sr-Latn-ME"/>
        </w:rPr>
        <w:t>pogledati</w:t>
      </w:r>
      <w:r w:rsidRPr="00983B42">
        <w:rPr>
          <w:sz w:val="22"/>
          <w:szCs w:val="22"/>
          <w:lang w:val="sr-Latn-ME"/>
        </w:rPr>
        <w:t xml:space="preserve"> dio 5.2.).</w:t>
      </w:r>
    </w:p>
    <w:p w:rsidR="00A846B0" w:rsidRPr="00983B42" w:rsidRDefault="00A846B0" w:rsidP="00A846B0">
      <w:pPr>
        <w:jc w:val="both"/>
        <w:rPr>
          <w:i/>
          <w:sz w:val="22"/>
          <w:szCs w:val="22"/>
          <w:lang w:val="sr-Latn-ME"/>
        </w:rPr>
      </w:pPr>
    </w:p>
    <w:p w:rsidR="00A846B0" w:rsidRPr="00983B42" w:rsidRDefault="00A846B0" w:rsidP="00A846B0">
      <w:pPr>
        <w:jc w:val="both"/>
        <w:rPr>
          <w:bCs/>
          <w:i/>
          <w:sz w:val="22"/>
          <w:szCs w:val="22"/>
          <w:lang w:val="sr-Latn-ME"/>
        </w:rPr>
      </w:pPr>
      <w:r w:rsidRPr="00983B42">
        <w:rPr>
          <w:bCs/>
          <w:i/>
          <w:sz w:val="22"/>
          <w:szCs w:val="22"/>
          <w:lang w:val="sr-Latn-ME"/>
        </w:rPr>
        <w:t>Starije osobe</w:t>
      </w:r>
    </w:p>
    <w:p w:rsidR="00A846B0" w:rsidRPr="00983B42" w:rsidRDefault="00A846B0" w:rsidP="00A846B0">
      <w:pPr>
        <w:jc w:val="both"/>
        <w:rPr>
          <w:sz w:val="22"/>
          <w:szCs w:val="22"/>
          <w:lang w:val="sr-Latn-ME"/>
        </w:rPr>
      </w:pPr>
      <w:r w:rsidRPr="00983B42">
        <w:rPr>
          <w:sz w:val="22"/>
          <w:szCs w:val="22"/>
          <w:lang w:val="sr-Latn-ME"/>
        </w:rPr>
        <w:t xml:space="preserve">Prilagođavanje doze nije potrebno </w:t>
      </w:r>
      <w:r w:rsidR="001A3B84" w:rsidRPr="00983B42">
        <w:rPr>
          <w:sz w:val="22"/>
          <w:szCs w:val="22"/>
          <w:lang w:val="sr-Latn-ME"/>
        </w:rPr>
        <w:t>kod</w:t>
      </w:r>
      <w:r w:rsidRPr="00983B42">
        <w:rPr>
          <w:sz w:val="22"/>
          <w:szCs w:val="22"/>
          <w:lang w:val="sr-Latn-ME"/>
        </w:rPr>
        <w:t xml:space="preserve"> starijih osoba (</w:t>
      </w:r>
      <w:r w:rsidR="00E61FD1" w:rsidRPr="00983B42">
        <w:rPr>
          <w:sz w:val="22"/>
          <w:szCs w:val="22"/>
          <w:lang w:val="sr-Latn-ME"/>
        </w:rPr>
        <w:t>pogledati</w:t>
      </w:r>
      <w:r w:rsidRPr="00983B42">
        <w:rPr>
          <w:sz w:val="22"/>
          <w:szCs w:val="22"/>
          <w:lang w:val="sr-Latn-ME"/>
        </w:rPr>
        <w:t xml:space="preserve"> dio 5.2.).</w:t>
      </w:r>
    </w:p>
    <w:p w:rsidR="00A846B0" w:rsidRPr="00983B42" w:rsidRDefault="00A846B0" w:rsidP="00A846B0">
      <w:pPr>
        <w:jc w:val="both"/>
        <w:rPr>
          <w:b/>
          <w:i/>
          <w:sz w:val="22"/>
          <w:szCs w:val="22"/>
          <w:u w:val="single"/>
          <w:lang w:val="sr-Latn-ME"/>
        </w:rPr>
      </w:pPr>
    </w:p>
    <w:p w:rsidR="00A846B0" w:rsidRPr="00983B42" w:rsidRDefault="00A846B0" w:rsidP="00A846B0">
      <w:pPr>
        <w:jc w:val="both"/>
        <w:rPr>
          <w:bCs/>
          <w:i/>
          <w:sz w:val="22"/>
          <w:szCs w:val="22"/>
          <w:lang w:val="sr-Latn-ME"/>
        </w:rPr>
      </w:pPr>
      <w:r w:rsidRPr="00983B42">
        <w:rPr>
          <w:bCs/>
          <w:i/>
          <w:sz w:val="22"/>
          <w:szCs w:val="22"/>
          <w:lang w:val="sr-Latn-ME"/>
        </w:rPr>
        <w:t>Pedijatrijska populacija</w:t>
      </w:r>
    </w:p>
    <w:p w:rsidR="00E61FD1" w:rsidRPr="00983B42" w:rsidRDefault="00E61FD1" w:rsidP="00A846B0">
      <w:pPr>
        <w:jc w:val="both"/>
        <w:rPr>
          <w:bCs/>
          <w:sz w:val="22"/>
          <w:szCs w:val="22"/>
          <w:lang w:val="sr-Latn-ME"/>
        </w:rPr>
      </w:pPr>
    </w:p>
    <w:p w:rsidR="00A846B0" w:rsidRPr="00983B42" w:rsidRDefault="00E61FD1" w:rsidP="00A846B0">
      <w:pPr>
        <w:jc w:val="both"/>
        <w:rPr>
          <w:sz w:val="22"/>
          <w:szCs w:val="22"/>
          <w:lang w:val="sr-Latn-ME"/>
        </w:rPr>
      </w:pPr>
      <w:r w:rsidRPr="00983B42">
        <w:rPr>
          <w:sz w:val="22"/>
          <w:szCs w:val="22"/>
          <w:lang w:val="sr-Latn-ME"/>
        </w:rPr>
        <w:t xml:space="preserve">Lijek </w:t>
      </w:r>
      <w:r w:rsidR="00A846B0" w:rsidRPr="00983B42">
        <w:rPr>
          <w:sz w:val="22"/>
          <w:szCs w:val="22"/>
          <w:lang w:val="sr-Latn-ME"/>
        </w:rPr>
        <w:t xml:space="preserve">FENIX se ne preporučuje za primjenu kod djece mlađe od 12 godina zbog limitiranih podataka o </w:t>
      </w:r>
      <w:r w:rsidRPr="00983B42">
        <w:rPr>
          <w:sz w:val="22"/>
          <w:szCs w:val="22"/>
          <w:lang w:val="sr-Latn-ME"/>
        </w:rPr>
        <w:t>bezbjednost</w:t>
      </w:r>
      <w:r w:rsidR="00A846B0" w:rsidRPr="00983B42">
        <w:rPr>
          <w:sz w:val="22"/>
          <w:szCs w:val="22"/>
          <w:lang w:val="sr-Latn-ME"/>
        </w:rPr>
        <w:t>i i efikasnosti u toj dobnoj grupi (</w:t>
      </w:r>
      <w:r w:rsidRPr="00983B42">
        <w:rPr>
          <w:sz w:val="22"/>
          <w:szCs w:val="22"/>
          <w:lang w:val="sr-Latn-ME"/>
        </w:rPr>
        <w:t>pogledati</w:t>
      </w:r>
      <w:r w:rsidR="00A846B0" w:rsidRPr="00983B42">
        <w:rPr>
          <w:sz w:val="22"/>
          <w:szCs w:val="22"/>
          <w:lang w:val="sr-Latn-ME"/>
        </w:rPr>
        <w:t xml:space="preserve"> dio 5.2.). </w:t>
      </w:r>
    </w:p>
    <w:p w:rsidR="00A846B0" w:rsidRPr="00983B42" w:rsidRDefault="00A846B0" w:rsidP="00A846B0">
      <w:pPr>
        <w:jc w:val="both"/>
        <w:rPr>
          <w:b/>
          <w:i/>
          <w:sz w:val="22"/>
          <w:szCs w:val="22"/>
          <w:u w:val="single"/>
          <w:lang w:val="sr-Latn-ME"/>
        </w:rPr>
      </w:pPr>
    </w:p>
    <w:p w:rsidR="00A846B0" w:rsidRPr="00983B42" w:rsidRDefault="00A846B0" w:rsidP="00A846B0">
      <w:pPr>
        <w:jc w:val="both"/>
        <w:rPr>
          <w:bCs/>
          <w:sz w:val="22"/>
          <w:szCs w:val="22"/>
          <w:u w:val="single"/>
          <w:lang w:val="sr-Latn-ME"/>
        </w:rPr>
      </w:pPr>
      <w:r w:rsidRPr="00983B42">
        <w:rPr>
          <w:bCs/>
          <w:sz w:val="22"/>
          <w:szCs w:val="22"/>
          <w:u w:val="single"/>
          <w:lang w:val="sr-Latn-ME"/>
        </w:rPr>
        <w:t>Način primjene</w:t>
      </w:r>
    </w:p>
    <w:p w:rsidR="00A846B0" w:rsidRPr="00983B42" w:rsidRDefault="00A846B0" w:rsidP="00A846B0">
      <w:pPr>
        <w:jc w:val="both"/>
        <w:rPr>
          <w:sz w:val="22"/>
          <w:szCs w:val="22"/>
          <w:lang w:val="sr-Latn-ME"/>
        </w:rPr>
      </w:pPr>
    </w:p>
    <w:p w:rsidR="00A846B0" w:rsidRPr="00983B42" w:rsidRDefault="00A846B0" w:rsidP="00A846B0">
      <w:pPr>
        <w:jc w:val="both"/>
        <w:rPr>
          <w:sz w:val="22"/>
          <w:szCs w:val="22"/>
          <w:lang w:val="sr-Latn-ME"/>
        </w:rPr>
      </w:pPr>
      <w:r w:rsidRPr="00983B42">
        <w:rPr>
          <w:sz w:val="22"/>
          <w:szCs w:val="22"/>
          <w:lang w:val="sr-Latn-ME"/>
        </w:rPr>
        <w:t>Oralna primjena.</w:t>
      </w:r>
    </w:p>
    <w:p w:rsidR="00A846B0" w:rsidRPr="00983B42" w:rsidRDefault="00392C05" w:rsidP="00A846B0">
      <w:pPr>
        <w:jc w:val="both"/>
        <w:rPr>
          <w:sz w:val="22"/>
          <w:szCs w:val="22"/>
          <w:lang w:val="sr-Latn-ME"/>
        </w:rPr>
      </w:pPr>
      <w:r w:rsidRPr="00983B42">
        <w:rPr>
          <w:sz w:val="22"/>
          <w:szCs w:val="22"/>
          <w:lang w:val="sr-Latn-ME"/>
        </w:rPr>
        <w:t xml:space="preserve">Tablete ne smiju da se </w:t>
      </w:r>
      <w:r w:rsidR="00F71AB1" w:rsidRPr="00983B42">
        <w:rPr>
          <w:sz w:val="22"/>
          <w:szCs w:val="22"/>
          <w:lang w:val="sr-Latn-ME"/>
        </w:rPr>
        <w:t>žvaću niti lome</w:t>
      </w:r>
      <w:r w:rsidR="00A846B0" w:rsidRPr="00983B42">
        <w:rPr>
          <w:sz w:val="22"/>
          <w:szCs w:val="22"/>
          <w:lang w:val="sr-Latn-ME"/>
        </w:rPr>
        <w:t xml:space="preserve">, nego ih treba progutati cijele s nešto vode, jedan sat prije obroka. </w:t>
      </w:r>
    </w:p>
    <w:p w:rsidR="00694EE8" w:rsidRPr="00983B42" w:rsidRDefault="00694EE8" w:rsidP="00480FB1">
      <w:pPr>
        <w:tabs>
          <w:tab w:val="left" w:pos="540"/>
          <w:tab w:val="left" w:pos="569"/>
        </w:tabs>
        <w:rPr>
          <w:bCs/>
          <w:sz w:val="22"/>
          <w:szCs w:val="22"/>
          <w:u w:val="single"/>
          <w:lang w:val="sr-Latn-ME"/>
        </w:rPr>
      </w:pPr>
    </w:p>
    <w:p w:rsidR="00411B4B" w:rsidRPr="00983B42" w:rsidRDefault="00411B4B" w:rsidP="00480FB1">
      <w:pPr>
        <w:tabs>
          <w:tab w:val="left" w:pos="540"/>
          <w:tab w:val="left" w:pos="569"/>
        </w:tabs>
        <w:rPr>
          <w:b/>
          <w:bCs/>
          <w:sz w:val="22"/>
          <w:szCs w:val="22"/>
          <w:lang w:val="sr-Latn-ME"/>
        </w:rPr>
      </w:pPr>
      <w:r w:rsidRPr="00983B42">
        <w:rPr>
          <w:b/>
          <w:bCs/>
          <w:sz w:val="22"/>
          <w:szCs w:val="22"/>
          <w:lang w:val="sr-Latn-ME"/>
        </w:rPr>
        <w:t xml:space="preserve">4.3. </w:t>
      </w:r>
      <w:r w:rsidR="00480FB1" w:rsidRPr="00983B42">
        <w:rPr>
          <w:b/>
          <w:bCs/>
          <w:sz w:val="22"/>
          <w:szCs w:val="22"/>
          <w:lang w:val="sr-Latn-ME"/>
        </w:rPr>
        <w:tab/>
      </w:r>
      <w:r w:rsidRPr="00983B42">
        <w:rPr>
          <w:b/>
          <w:bCs/>
          <w:sz w:val="22"/>
          <w:szCs w:val="22"/>
          <w:lang w:val="sr-Latn-ME"/>
        </w:rPr>
        <w:t>Kontraindikacije</w:t>
      </w:r>
    </w:p>
    <w:p w:rsidR="00694EE8" w:rsidRPr="00983B42" w:rsidRDefault="00694EE8" w:rsidP="00480FB1">
      <w:pPr>
        <w:tabs>
          <w:tab w:val="left" w:pos="540"/>
          <w:tab w:val="left" w:pos="569"/>
        </w:tabs>
        <w:rPr>
          <w:b/>
          <w:bCs/>
          <w:sz w:val="22"/>
          <w:szCs w:val="22"/>
          <w:lang w:val="sr-Latn-ME"/>
        </w:rPr>
      </w:pPr>
    </w:p>
    <w:p w:rsidR="00694EE8" w:rsidRPr="00983B42" w:rsidRDefault="00694EE8" w:rsidP="00694EE8">
      <w:pPr>
        <w:jc w:val="both"/>
        <w:rPr>
          <w:sz w:val="22"/>
          <w:szCs w:val="22"/>
          <w:lang w:val="sr-Latn-ME"/>
        </w:rPr>
      </w:pPr>
      <w:r w:rsidRPr="00983B42">
        <w:rPr>
          <w:sz w:val="22"/>
          <w:szCs w:val="22"/>
          <w:lang w:val="sr-Latn-ME"/>
        </w:rPr>
        <w:t>Preosjetljivost na aktivnu supstancu, supstituirane benzimidazole, ili na bilo koju od pomoćnih supstanci navedenih u dijelu 6.1.</w:t>
      </w:r>
    </w:p>
    <w:p w:rsidR="0072020E" w:rsidRPr="00983B42" w:rsidRDefault="0072020E" w:rsidP="00480FB1">
      <w:pPr>
        <w:tabs>
          <w:tab w:val="left" w:pos="540"/>
          <w:tab w:val="left" w:pos="569"/>
        </w:tabs>
        <w:rPr>
          <w:bCs/>
          <w:sz w:val="22"/>
          <w:szCs w:val="22"/>
          <w:lang w:val="sr-Latn-ME"/>
        </w:rPr>
      </w:pPr>
    </w:p>
    <w:p w:rsidR="00411B4B" w:rsidRPr="00983B42" w:rsidRDefault="00411B4B" w:rsidP="00480FB1">
      <w:pPr>
        <w:tabs>
          <w:tab w:val="left" w:pos="540"/>
          <w:tab w:val="left" w:pos="569"/>
        </w:tabs>
        <w:rPr>
          <w:b/>
          <w:bCs/>
          <w:sz w:val="22"/>
          <w:szCs w:val="22"/>
          <w:lang w:val="sr-Latn-ME"/>
        </w:rPr>
      </w:pPr>
      <w:r w:rsidRPr="00983B42">
        <w:rPr>
          <w:b/>
          <w:bCs/>
          <w:sz w:val="22"/>
          <w:szCs w:val="22"/>
          <w:lang w:val="sr-Latn-ME"/>
        </w:rPr>
        <w:t xml:space="preserve">4.4. </w:t>
      </w:r>
      <w:r w:rsidR="00480FB1" w:rsidRPr="00983B42">
        <w:rPr>
          <w:b/>
          <w:bCs/>
          <w:sz w:val="22"/>
          <w:szCs w:val="22"/>
          <w:lang w:val="sr-Latn-ME"/>
        </w:rPr>
        <w:tab/>
      </w:r>
      <w:r w:rsidRPr="00983B42">
        <w:rPr>
          <w:b/>
          <w:bCs/>
          <w:sz w:val="22"/>
          <w:szCs w:val="22"/>
          <w:lang w:val="sr-Latn-ME"/>
        </w:rPr>
        <w:t>Posebna upozorenja i mjere opreza pri upotrebi lijeka</w:t>
      </w:r>
    </w:p>
    <w:p w:rsidR="00CF329D" w:rsidRPr="00983B42" w:rsidRDefault="00CF329D" w:rsidP="00480FB1">
      <w:pPr>
        <w:tabs>
          <w:tab w:val="left" w:pos="540"/>
          <w:tab w:val="left" w:pos="569"/>
        </w:tabs>
        <w:rPr>
          <w:b/>
          <w:bCs/>
          <w:sz w:val="22"/>
          <w:szCs w:val="22"/>
          <w:lang w:val="sr-Latn-ME"/>
        </w:rPr>
      </w:pPr>
    </w:p>
    <w:p w:rsidR="00D41E02" w:rsidRPr="00983B42" w:rsidRDefault="003D04E4" w:rsidP="00D41E02">
      <w:pPr>
        <w:jc w:val="both"/>
        <w:rPr>
          <w:sz w:val="22"/>
          <w:szCs w:val="22"/>
          <w:u w:val="single"/>
          <w:lang w:val="sr-Latn-ME"/>
        </w:rPr>
      </w:pPr>
      <w:r w:rsidRPr="00983B42">
        <w:rPr>
          <w:sz w:val="22"/>
          <w:szCs w:val="22"/>
          <w:u w:val="single"/>
          <w:lang w:val="sr-Latn-ME"/>
        </w:rPr>
        <w:t>O</w:t>
      </w:r>
      <w:r w:rsidR="00D41E02" w:rsidRPr="00983B42">
        <w:rPr>
          <w:sz w:val="22"/>
          <w:szCs w:val="22"/>
          <w:u w:val="single"/>
          <w:lang w:val="sr-Latn-ME"/>
        </w:rPr>
        <w:t>štećenje</w:t>
      </w:r>
      <w:r w:rsidRPr="00983B42">
        <w:rPr>
          <w:sz w:val="22"/>
          <w:szCs w:val="22"/>
          <w:u w:val="single"/>
          <w:lang w:val="sr-Latn-ME"/>
        </w:rPr>
        <w:t xml:space="preserve"> jetre</w:t>
      </w:r>
    </w:p>
    <w:p w:rsidR="00D41E02" w:rsidRPr="00983B42" w:rsidRDefault="003D04E4" w:rsidP="00D41E02">
      <w:pPr>
        <w:jc w:val="both"/>
        <w:rPr>
          <w:sz w:val="22"/>
          <w:szCs w:val="22"/>
          <w:lang w:val="sr-Latn-ME"/>
        </w:rPr>
      </w:pPr>
      <w:r w:rsidRPr="00983B42">
        <w:rPr>
          <w:sz w:val="22"/>
          <w:szCs w:val="22"/>
          <w:lang w:val="sr-Latn-ME"/>
        </w:rPr>
        <w:t>E</w:t>
      </w:r>
      <w:r w:rsidR="00264B00" w:rsidRPr="00983B42">
        <w:rPr>
          <w:sz w:val="22"/>
          <w:szCs w:val="22"/>
          <w:lang w:val="sr-Latn-ME"/>
        </w:rPr>
        <w:t>nzimi</w:t>
      </w:r>
      <w:r w:rsidR="00D41E02" w:rsidRPr="00983B42">
        <w:rPr>
          <w:sz w:val="22"/>
          <w:szCs w:val="22"/>
          <w:lang w:val="sr-Latn-ME"/>
        </w:rPr>
        <w:t xml:space="preserve"> </w:t>
      </w:r>
      <w:r w:rsidRPr="00983B42">
        <w:rPr>
          <w:sz w:val="22"/>
          <w:szCs w:val="22"/>
          <w:lang w:val="sr-Latn-ME"/>
        </w:rPr>
        <w:t xml:space="preserve">jetre </w:t>
      </w:r>
      <w:r w:rsidR="00D41E02" w:rsidRPr="00983B42">
        <w:rPr>
          <w:sz w:val="22"/>
          <w:szCs w:val="22"/>
          <w:lang w:val="sr-Latn-ME"/>
        </w:rPr>
        <w:t>treba redovno</w:t>
      </w:r>
      <w:r w:rsidR="00BF105D" w:rsidRPr="00983B42">
        <w:rPr>
          <w:sz w:val="22"/>
          <w:szCs w:val="22"/>
          <w:lang w:val="sr-Latn-ME"/>
        </w:rPr>
        <w:t xml:space="preserve"> da se</w:t>
      </w:r>
      <w:r w:rsidRPr="00983B42">
        <w:rPr>
          <w:sz w:val="22"/>
          <w:szCs w:val="22"/>
          <w:lang w:val="sr-Latn-ME"/>
        </w:rPr>
        <w:t xml:space="preserve"> kontrolišu</w:t>
      </w:r>
      <w:r w:rsidR="00D41E02" w:rsidRPr="00983B42">
        <w:rPr>
          <w:sz w:val="22"/>
          <w:szCs w:val="22"/>
          <w:lang w:val="sr-Latn-ME"/>
        </w:rPr>
        <w:t xml:space="preserve"> </w:t>
      </w:r>
      <w:r w:rsidR="00156F1D" w:rsidRPr="00983B42">
        <w:rPr>
          <w:sz w:val="22"/>
          <w:szCs w:val="22"/>
          <w:lang w:val="sr-Latn-ME"/>
        </w:rPr>
        <w:t>kod</w:t>
      </w:r>
      <w:r w:rsidR="00A00B5B" w:rsidRPr="00983B42">
        <w:rPr>
          <w:sz w:val="22"/>
          <w:szCs w:val="22"/>
          <w:lang w:val="sr-Latn-ME"/>
        </w:rPr>
        <w:t xml:space="preserve"> pacijenata s teškim</w:t>
      </w:r>
      <w:r w:rsidR="00D41E02" w:rsidRPr="00983B42">
        <w:rPr>
          <w:sz w:val="22"/>
          <w:szCs w:val="22"/>
          <w:lang w:val="sr-Latn-ME"/>
        </w:rPr>
        <w:t xml:space="preserve"> oštećenjem</w:t>
      </w:r>
      <w:r w:rsidRPr="00983B42">
        <w:rPr>
          <w:sz w:val="22"/>
          <w:szCs w:val="22"/>
          <w:lang w:val="sr-Latn-ME"/>
        </w:rPr>
        <w:t xml:space="preserve"> jetre</w:t>
      </w:r>
      <w:r w:rsidR="00D41E02" w:rsidRPr="00983B42">
        <w:rPr>
          <w:sz w:val="22"/>
          <w:szCs w:val="22"/>
          <w:lang w:val="sr-Latn-ME"/>
        </w:rPr>
        <w:t xml:space="preserve"> za vrijeme liječenja pantoprazolom, posebno kod dugotrajne primjene lijek</w:t>
      </w:r>
      <w:r w:rsidRPr="00983B42">
        <w:rPr>
          <w:sz w:val="22"/>
          <w:szCs w:val="22"/>
          <w:lang w:val="sr-Latn-ME"/>
        </w:rPr>
        <w:t xml:space="preserve">a. U slučaju povećanja </w:t>
      </w:r>
      <w:r w:rsidR="00D41E02" w:rsidRPr="00983B42">
        <w:rPr>
          <w:sz w:val="22"/>
          <w:szCs w:val="22"/>
          <w:lang w:val="sr-Latn-ME"/>
        </w:rPr>
        <w:t xml:space="preserve"> enzima</w:t>
      </w:r>
      <w:r w:rsidRPr="00983B42">
        <w:rPr>
          <w:sz w:val="22"/>
          <w:szCs w:val="22"/>
          <w:lang w:val="sr-Latn-ME"/>
        </w:rPr>
        <w:t xml:space="preserve"> jetre</w:t>
      </w:r>
      <w:r w:rsidR="00D41E02" w:rsidRPr="00983B42">
        <w:rPr>
          <w:sz w:val="22"/>
          <w:szCs w:val="22"/>
          <w:lang w:val="sr-Latn-ME"/>
        </w:rPr>
        <w:t xml:space="preserve">, liječenje treba </w:t>
      </w:r>
      <w:r w:rsidR="00AE1423" w:rsidRPr="00983B42">
        <w:rPr>
          <w:sz w:val="22"/>
          <w:szCs w:val="22"/>
          <w:lang w:val="sr-Latn-ME"/>
        </w:rPr>
        <w:t>da se prekine</w:t>
      </w:r>
      <w:r w:rsidR="00D41E02" w:rsidRPr="00983B42">
        <w:rPr>
          <w:sz w:val="22"/>
          <w:szCs w:val="22"/>
          <w:lang w:val="sr-Latn-ME"/>
        </w:rPr>
        <w:t xml:space="preserve"> (</w:t>
      </w:r>
      <w:r w:rsidR="00156F1D" w:rsidRPr="00983B42">
        <w:rPr>
          <w:sz w:val="22"/>
          <w:szCs w:val="22"/>
          <w:lang w:val="sr-Latn-ME"/>
        </w:rPr>
        <w:t>pogledati</w:t>
      </w:r>
      <w:r w:rsidR="00D41E02" w:rsidRPr="00983B42">
        <w:rPr>
          <w:sz w:val="22"/>
          <w:szCs w:val="22"/>
          <w:lang w:val="sr-Latn-ME"/>
        </w:rPr>
        <w:t xml:space="preserve"> dio 4.2.).</w:t>
      </w:r>
    </w:p>
    <w:p w:rsidR="00D41E02" w:rsidRPr="00983B42" w:rsidRDefault="00D41E02" w:rsidP="00D41E02">
      <w:pPr>
        <w:jc w:val="both"/>
        <w:rPr>
          <w:i/>
          <w:sz w:val="22"/>
          <w:szCs w:val="22"/>
          <w:lang w:val="sr-Latn-ME"/>
        </w:rPr>
      </w:pPr>
    </w:p>
    <w:p w:rsidR="00D41E02" w:rsidRPr="00983B42" w:rsidRDefault="00D41E02" w:rsidP="00D41E02">
      <w:pPr>
        <w:autoSpaceDE w:val="0"/>
        <w:autoSpaceDN w:val="0"/>
        <w:adjustRightInd w:val="0"/>
        <w:rPr>
          <w:iCs/>
          <w:sz w:val="22"/>
          <w:szCs w:val="22"/>
          <w:u w:val="single"/>
          <w:lang w:val="sr-Latn-ME" w:eastAsia="hr-HR"/>
        </w:rPr>
      </w:pPr>
      <w:r w:rsidRPr="00983B42">
        <w:rPr>
          <w:iCs/>
          <w:sz w:val="22"/>
          <w:szCs w:val="22"/>
          <w:u w:val="single"/>
          <w:lang w:val="sr-Latn-ME" w:eastAsia="hr-HR"/>
        </w:rPr>
        <w:t>Kombinovana terapija</w:t>
      </w:r>
    </w:p>
    <w:p w:rsidR="00AE1423" w:rsidRPr="00983B42" w:rsidRDefault="00D41E02" w:rsidP="00D41E02">
      <w:pPr>
        <w:jc w:val="both"/>
        <w:rPr>
          <w:i/>
          <w:sz w:val="22"/>
          <w:szCs w:val="22"/>
          <w:lang w:val="sr-Latn-ME"/>
        </w:rPr>
      </w:pPr>
      <w:r w:rsidRPr="00983B42">
        <w:rPr>
          <w:sz w:val="22"/>
          <w:szCs w:val="22"/>
          <w:lang w:val="sr-Latn-ME" w:eastAsia="hr-HR"/>
        </w:rPr>
        <w:t>U slu</w:t>
      </w:r>
      <w:r w:rsidRPr="00983B42">
        <w:rPr>
          <w:sz w:val="22"/>
          <w:szCs w:val="22"/>
          <w:lang w:val="sr-Latn-ME" w:eastAsia="hr-HR" w:bidi="he-IL"/>
        </w:rPr>
        <w:t>č</w:t>
      </w:r>
      <w:r w:rsidRPr="00983B42">
        <w:rPr>
          <w:sz w:val="22"/>
          <w:szCs w:val="22"/>
          <w:lang w:val="sr-Latn-ME" w:eastAsia="hr-HR"/>
        </w:rPr>
        <w:t xml:space="preserve">aju kombinovane terapije, mora </w:t>
      </w:r>
      <w:r w:rsidR="00AE1423" w:rsidRPr="00983B42">
        <w:rPr>
          <w:sz w:val="22"/>
          <w:szCs w:val="22"/>
          <w:lang w:val="sr-Latn-ME" w:eastAsia="hr-HR"/>
        </w:rPr>
        <w:t xml:space="preserve">da </w:t>
      </w:r>
      <w:r w:rsidRPr="00983B42">
        <w:rPr>
          <w:sz w:val="22"/>
          <w:szCs w:val="22"/>
          <w:lang w:val="sr-Latn-ME" w:eastAsia="hr-HR"/>
        </w:rPr>
        <w:t>se prou</w:t>
      </w:r>
      <w:r w:rsidRPr="00983B42">
        <w:rPr>
          <w:sz w:val="22"/>
          <w:szCs w:val="22"/>
          <w:lang w:val="sr-Latn-ME" w:eastAsia="hr-HR" w:bidi="he-IL"/>
        </w:rPr>
        <w:t>č</w:t>
      </w:r>
      <w:r w:rsidR="00AE1423" w:rsidRPr="00983B42">
        <w:rPr>
          <w:sz w:val="22"/>
          <w:szCs w:val="22"/>
          <w:lang w:val="sr-Latn-ME" w:eastAsia="hr-HR"/>
        </w:rPr>
        <w:t>i Sažetak</w:t>
      </w:r>
      <w:r w:rsidRPr="00983B42">
        <w:rPr>
          <w:sz w:val="22"/>
          <w:szCs w:val="22"/>
          <w:lang w:val="sr-Latn-ME" w:eastAsia="hr-HR"/>
        </w:rPr>
        <w:t xml:space="preserve"> karakteristika ljekova koji se koriste u kombinaciji.</w:t>
      </w:r>
    </w:p>
    <w:p w:rsidR="00D41E02" w:rsidRPr="00983B42" w:rsidRDefault="00D41E02" w:rsidP="00D41E02">
      <w:pPr>
        <w:jc w:val="both"/>
        <w:rPr>
          <w:i/>
          <w:sz w:val="22"/>
          <w:szCs w:val="22"/>
          <w:lang w:val="sr-Latn-ME"/>
        </w:rPr>
      </w:pPr>
    </w:p>
    <w:p w:rsidR="00D41E02" w:rsidRPr="00983B42" w:rsidRDefault="00AE1423" w:rsidP="00D41E02">
      <w:pPr>
        <w:jc w:val="both"/>
        <w:rPr>
          <w:iCs/>
          <w:sz w:val="22"/>
          <w:szCs w:val="22"/>
          <w:u w:val="single"/>
          <w:lang w:val="sr-Latn-ME"/>
        </w:rPr>
      </w:pPr>
      <w:r w:rsidRPr="00983B42">
        <w:rPr>
          <w:iCs/>
          <w:sz w:val="22"/>
          <w:szCs w:val="22"/>
          <w:u w:val="single"/>
          <w:lang w:val="sr-Latn-ME"/>
        </w:rPr>
        <w:t>Želudač</w:t>
      </w:r>
      <w:r w:rsidR="00D41E02" w:rsidRPr="00983B42">
        <w:rPr>
          <w:iCs/>
          <w:sz w:val="22"/>
          <w:szCs w:val="22"/>
          <w:u w:val="single"/>
          <w:lang w:val="sr-Latn-ME"/>
        </w:rPr>
        <w:t>ni malignitet</w:t>
      </w:r>
    </w:p>
    <w:p w:rsidR="00D41E02" w:rsidRPr="00983B42" w:rsidRDefault="00D41E02" w:rsidP="00D41E02">
      <w:pPr>
        <w:jc w:val="both"/>
        <w:rPr>
          <w:sz w:val="22"/>
          <w:szCs w:val="22"/>
          <w:lang w:val="sr-Latn-ME"/>
        </w:rPr>
      </w:pPr>
      <w:r w:rsidRPr="00983B42">
        <w:rPr>
          <w:sz w:val="22"/>
          <w:szCs w:val="22"/>
          <w:lang w:val="sr-Latn-ME"/>
        </w:rPr>
        <w:t xml:space="preserve">Simptomatski odgovor na pantoprazol može </w:t>
      </w:r>
      <w:r w:rsidR="00AE1423" w:rsidRPr="00983B42">
        <w:rPr>
          <w:sz w:val="22"/>
          <w:szCs w:val="22"/>
          <w:lang w:val="sr-Latn-ME"/>
        </w:rPr>
        <w:t>da maskira simptome želudač</w:t>
      </w:r>
      <w:r w:rsidRPr="00983B42">
        <w:rPr>
          <w:sz w:val="22"/>
          <w:szCs w:val="22"/>
          <w:lang w:val="sr-Latn-ME"/>
        </w:rPr>
        <w:t xml:space="preserve">nog maligniteta i može </w:t>
      </w:r>
      <w:r w:rsidR="00AE1423" w:rsidRPr="00983B42">
        <w:rPr>
          <w:sz w:val="22"/>
          <w:szCs w:val="22"/>
          <w:lang w:val="sr-Latn-ME"/>
        </w:rPr>
        <w:t>da odgodi</w:t>
      </w:r>
      <w:r w:rsidRPr="00983B42">
        <w:rPr>
          <w:sz w:val="22"/>
          <w:szCs w:val="22"/>
          <w:lang w:val="sr-Latn-ME"/>
        </w:rPr>
        <w:t xml:space="preserve"> dijagnozu. Kod postojanja bilo kojeg alarmantnog simptoma (npr. značajan, nenamjeran gubitak tjelesne težine, povraćanje koje se ponavlja, disfagija, hem</w:t>
      </w:r>
      <w:r w:rsidR="00AE1423" w:rsidRPr="00983B42">
        <w:rPr>
          <w:sz w:val="22"/>
          <w:szCs w:val="22"/>
          <w:lang w:val="sr-Latn-ME"/>
        </w:rPr>
        <w:t>atemeza, anemija ili melena) i onda kada se sumnja na želudač</w:t>
      </w:r>
      <w:r w:rsidRPr="00983B42">
        <w:rPr>
          <w:sz w:val="22"/>
          <w:szCs w:val="22"/>
          <w:lang w:val="sr-Latn-ME"/>
        </w:rPr>
        <w:t>ni ulkus ili je on prisutan, potrebno je</w:t>
      </w:r>
      <w:r w:rsidR="00AE1423" w:rsidRPr="00983B42">
        <w:rPr>
          <w:sz w:val="22"/>
          <w:szCs w:val="22"/>
          <w:lang w:val="sr-Latn-ME"/>
        </w:rPr>
        <w:t xml:space="preserve"> da se  isključi</w:t>
      </w:r>
      <w:r w:rsidRPr="00983B42">
        <w:rPr>
          <w:sz w:val="22"/>
          <w:szCs w:val="22"/>
          <w:lang w:val="sr-Latn-ME"/>
        </w:rPr>
        <w:t xml:space="preserve"> mogući malignitet.</w:t>
      </w:r>
    </w:p>
    <w:p w:rsidR="00D41E02" w:rsidRPr="00983B42" w:rsidRDefault="00D41E02" w:rsidP="00D41E02">
      <w:pPr>
        <w:jc w:val="both"/>
        <w:rPr>
          <w:sz w:val="22"/>
          <w:szCs w:val="22"/>
          <w:lang w:val="sr-Latn-ME"/>
        </w:rPr>
      </w:pPr>
    </w:p>
    <w:p w:rsidR="00D41E02" w:rsidRPr="00983B42" w:rsidRDefault="00D41E02" w:rsidP="00D41E02">
      <w:pPr>
        <w:jc w:val="both"/>
        <w:rPr>
          <w:sz w:val="22"/>
          <w:szCs w:val="22"/>
          <w:lang w:val="sr-Latn-ME"/>
        </w:rPr>
      </w:pPr>
      <w:r w:rsidRPr="00983B42">
        <w:rPr>
          <w:sz w:val="22"/>
          <w:szCs w:val="22"/>
          <w:lang w:val="sr-Latn-ME"/>
        </w:rPr>
        <w:t xml:space="preserve">Dalje pretrage treba </w:t>
      </w:r>
      <w:r w:rsidR="00AE1423" w:rsidRPr="00983B42">
        <w:rPr>
          <w:sz w:val="22"/>
          <w:szCs w:val="22"/>
          <w:lang w:val="sr-Latn-ME"/>
        </w:rPr>
        <w:t>da se razmotre</w:t>
      </w:r>
      <w:r w:rsidRPr="00983B42">
        <w:rPr>
          <w:sz w:val="22"/>
          <w:szCs w:val="22"/>
          <w:lang w:val="sr-Latn-ME"/>
        </w:rPr>
        <w:t xml:space="preserve"> ako simptomi perzistiraju uprkos odgovarajućem liječenju.</w:t>
      </w:r>
    </w:p>
    <w:p w:rsidR="00D41E02" w:rsidRPr="00983B42" w:rsidRDefault="00D41E02" w:rsidP="00D41E02">
      <w:pPr>
        <w:jc w:val="both"/>
        <w:rPr>
          <w:iCs/>
          <w:sz w:val="22"/>
          <w:szCs w:val="22"/>
          <w:u w:val="single"/>
          <w:lang w:val="sr-Latn-ME"/>
        </w:rPr>
      </w:pPr>
    </w:p>
    <w:p w:rsidR="00D41E02" w:rsidRPr="00983B42" w:rsidRDefault="00D41E02" w:rsidP="00D41E02">
      <w:pPr>
        <w:jc w:val="both"/>
        <w:rPr>
          <w:iCs/>
          <w:sz w:val="22"/>
          <w:szCs w:val="22"/>
          <w:u w:val="single"/>
          <w:lang w:val="sr-Latn-ME"/>
        </w:rPr>
      </w:pPr>
      <w:r w:rsidRPr="00983B42">
        <w:rPr>
          <w:iCs/>
          <w:sz w:val="22"/>
          <w:szCs w:val="22"/>
          <w:u w:val="single"/>
          <w:lang w:val="sr-Latn-ME"/>
        </w:rPr>
        <w:t xml:space="preserve">Istovremena primjena s inhibitorima HIV </w:t>
      </w:r>
      <w:r w:rsidR="00C83E8B" w:rsidRPr="00983B42">
        <w:rPr>
          <w:iCs/>
          <w:sz w:val="22"/>
          <w:szCs w:val="22"/>
          <w:u w:val="single"/>
          <w:lang w:val="sr-Latn-ME"/>
        </w:rPr>
        <w:t>protease</w:t>
      </w:r>
    </w:p>
    <w:p w:rsidR="00C83E8B" w:rsidRPr="00983B42" w:rsidRDefault="00C83E8B" w:rsidP="00D41E02">
      <w:pPr>
        <w:jc w:val="both"/>
        <w:rPr>
          <w:iCs/>
          <w:sz w:val="22"/>
          <w:szCs w:val="22"/>
          <w:u w:val="single"/>
          <w:lang w:val="sr-Latn-ME"/>
        </w:rPr>
      </w:pPr>
    </w:p>
    <w:p w:rsidR="00D41E02" w:rsidRPr="00983B42" w:rsidRDefault="00D41E02" w:rsidP="00D41E02">
      <w:pPr>
        <w:jc w:val="both"/>
        <w:rPr>
          <w:sz w:val="22"/>
          <w:szCs w:val="22"/>
          <w:lang w:val="sr-Latn-ME"/>
        </w:rPr>
      </w:pPr>
      <w:r w:rsidRPr="00983B42">
        <w:rPr>
          <w:sz w:val="22"/>
          <w:szCs w:val="22"/>
          <w:lang w:val="sr-Latn-ME"/>
        </w:rPr>
        <w:t>Ne preporučuje se istovremena primjena pantoprazola s inhi</w:t>
      </w:r>
      <w:r w:rsidR="009C4AA8" w:rsidRPr="00983B42">
        <w:rPr>
          <w:sz w:val="22"/>
          <w:szCs w:val="22"/>
          <w:lang w:val="sr-Latn-ME"/>
        </w:rPr>
        <w:t xml:space="preserve">bitorima HIV proteaze čija </w:t>
      </w:r>
      <w:r w:rsidR="00E2057C" w:rsidRPr="00983B42">
        <w:rPr>
          <w:sz w:val="22"/>
          <w:szCs w:val="22"/>
          <w:lang w:val="sr-Latn-ME"/>
        </w:rPr>
        <w:t>re</w:t>
      </w:r>
      <w:r w:rsidR="009C4AA8" w:rsidRPr="00983B42">
        <w:rPr>
          <w:sz w:val="22"/>
          <w:szCs w:val="22"/>
          <w:lang w:val="sr-Latn-ME"/>
        </w:rPr>
        <w:t>sorpcija zavisi</w:t>
      </w:r>
      <w:r w:rsidRPr="00983B42">
        <w:rPr>
          <w:sz w:val="22"/>
          <w:szCs w:val="22"/>
          <w:lang w:val="sr-Latn-ME"/>
        </w:rPr>
        <w:t xml:space="preserve"> o</w:t>
      </w:r>
      <w:r w:rsidR="009C4AA8" w:rsidRPr="00983B42">
        <w:rPr>
          <w:sz w:val="22"/>
          <w:szCs w:val="22"/>
          <w:lang w:val="sr-Latn-ME"/>
        </w:rPr>
        <w:t>d kiselog intragastričnog</w:t>
      </w:r>
      <w:r w:rsidRPr="00983B42">
        <w:rPr>
          <w:sz w:val="22"/>
          <w:szCs w:val="22"/>
          <w:lang w:val="sr-Latn-ME"/>
        </w:rPr>
        <w:t xml:space="preserve"> pH, poput atazanavira, zbog značajnog smanjenja njihove bioraspoloživosti (</w:t>
      </w:r>
      <w:r w:rsidR="0098331C" w:rsidRPr="00983B42">
        <w:rPr>
          <w:sz w:val="22"/>
          <w:szCs w:val="22"/>
          <w:lang w:val="sr-Latn-ME"/>
        </w:rPr>
        <w:t>pogledati</w:t>
      </w:r>
      <w:r w:rsidRPr="00983B42">
        <w:rPr>
          <w:sz w:val="22"/>
          <w:szCs w:val="22"/>
          <w:lang w:val="sr-Latn-ME"/>
        </w:rPr>
        <w:t xml:space="preserve"> dio 4.5.).</w:t>
      </w:r>
    </w:p>
    <w:p w:rsidR="00C83E8B" w:rsidRPr="00983B42" w:rsidRDefault="00C83E8B" w:rsidP="00D41E02">
      <w:pPr>
        <w:jc w:val="both"/>
        <w:rPr>
          <w:sz w:val="22"/>
          <w:szCs w:val="22"/>
          <w:lang w:val="sr-Latn-ME"/>
        </w:rPr>
      </w:pPr>
    </w:p>
    <w:p w:rsidR="00D41E02" w:rsidRPr="00983B42" w:rsidRDefault="00020F41" w:rsidP="00D41E02">
      <w:pPr>
        <w:jc w:val="both"/>
        <w:rPr>
          <w:sz w:val="22"/>
          <w:szCs w:val="22"/>
          <w:u w:val="single"/>
          <w:lang w:val="sr-Latn-ME"/>
        </w:rPr>
      </w:pPr>
      <w:r w:rsidRPr="00983B42">
        <w:rPr>
          <w:sz w:val="22"/>
          <w:szCs w:val="22"/>
          <w:u w:val="single"/>
          <w:lang w:val="sr-Latn-ME"/>
        </w:rPr>
        <w:lastRenderedPageBreak/>
        <w:t>Uticaj na re</w:t>
      </w:r>
      <w:r w:rsidR="00D41E02" w:rsidRPr="00983B42">
        <w:rPr>
          <w:sz w:val="22"/>
          <w:szCs w:val="22"/>
          <w:u w:val="single"/>
          <w:lang w:val="sr-Latn-ME"/>
        </w:rPr>
        <w:t>sorpciju vitamina B12</w:t>
      </w:r>
    </w:p>
    <w:p w:rsidR="00C83E8B" w:rsidRPr="00983B42" w:rsidRDefault="00C83E8B" w:rsidP="00D41E02">
      <w:pPr>
        <w:jc w:val="both"/>
        <w:rPr>
          <w:i/>
          <w:sz w:val="22"/>
          <w:szCs w:val="22"/>
          <w:u w:val="single"/>
          <w:lang w:val="sr-Latn-ME"/>
        </w:rPr>
      </w:pPr>
    </w:p>
    <w:p w:rsidR="00D41E02" w:rsidRPr="00983B42" w:rsidRDefault="00582760" w:rsidP="00D41E02">
      <w:pPr>
        <w:jc w:val="both"/>
        <w:rPr>
          <w:sz w:val="22"/>
          <w:szCs w:val="22"/>
          <w:lang w:val="sr-Latn-ME"/>
        </w:rPr>
      </w:pPr>
      <w:r w:rsidRPr="00983B42">
        <w:rPr>
          <w:sz w:val="22"/>
          <w:szCs w:val="22"/>
          <w:lang w:val="sr-Latn-ME"/>
        </w:rPr>
        <w:t xml:space="preserve">Kod </w:t>
      </w:r>
      <w:r w:rsidR="00D41E02" w:rsidRPr="00983B42">
        <w:rPr>
          <w:sz w:val="22"/>
          <w:szCs w:val="22"/>
          <w:lang w:val="sr-Latn-ME"/>
        </w:rPr>
        <w:t xml:space="preserve">pacijenata sa </w:t>
      </w:r>
      <w:r w:rsidR="00D41E02" w:rsidRPr="00983B42">
        <w:rPr>
          <w:sz w:val="22"/>
          <w:szCs w:val="22"/>
          <w:lang w:val="sr-Latn-ME" w:eastAsia="hr-HR"/>
        </w:rPr>
        <w:t>Zollinger-Ellisonovim sindromom i drugim patološkim hipersekretornim stanjima koja zahtjevaju dugotrajno liječenje, p</w:t>
      </w:r>
      <w:r w:rsidR="00D41E02" w:rsidRPr="00983B42">
        <w:rPr>
          <w:sz w:val="22"/>
          <w:szCs w:val="22"/>
          <w:lang w:val="sr-Latn-ME"/>
        </w:rPr>
        <w:t>antoprazol, kao i svi ljekovi koji blokiraju lu</w:t>
      </w:r>
      <w:r w:rsidR="0054698B" w:rsidRPr="00983B42">
        <w:rPr>
          <w:sz w:val="22"/>
          <w:szCs w:val="22"/>
          <w:lang w:val="sr-Latn-ME"/>
        </w:rPr>
        <w:t>čenje kis</w:t>
      </w:r>
      <w:r w:rsidR="009C4AA8" w:rsidRPr="00983B42">
        <w:rPr>
          <w:sz w:val="22"/>
          <w:szCs w:val="22"/>
          <w:lang w:val="sr-Latn-ME"/>
        </w:rPr>
        <w:t>j</w:t>
      </w:r>
      <w:r w:rsidR="0054698B" w:rsidRPr="00983B42">
        <w:rPr>
          <w:sz w:val="22"/>
          <w:szCs w:val="22"/>
          <w:lang w:val="sr-Latn-ME"/>
        </w:rPr>
        <w:t xml:space="preserve">eline, može </w:t>
      </w:r>
      <w:r w:rsidR="009C4AA8" w:rsidRPr="00983B42">
        <w:rPr>
          <w:sz w:val="22"/>
          <w:szCs w:val="22"/>
          <w:lang w:val="sr-Latn-ME"/>
        </w:rPr>
        <w:t>da smanji</w:t>
      </w:r>
      <w:r w:rsidR="0054698B" w:rsidRPr="00983B42">
        <w:rPr>
          <w:sz w:val="22"/>
          <w:szCs w:val="22"/>
          <w:lang w:val="sr-Latn-ME"/>
        </w:rPr>
        <w:t xml:space="preserve"> re</w:t>
      </w:r>
      <w:r w:rsidR="00D41E02" w:rsidRPr="00983B42">
        <w:rPr>
          <w:sz w:val="22"/>
          <w:szCs w:val="22"/>
          <w:lang w:val="sr-Latn-ME"/>
        </w:rPr>
        <w:t xml:space="preserve">sorpciju vitamina B12 (cijanokobalamin) usljed hipo- ili ahlorhidrije. Ovo treba uzeti u obzir </w:t>
      </w:r>
      <w:r w:rsidR="007518D1" w:rsidRPr="00983B42">
        <w:rPr>
          <w:sz w:val="22"/>
          <w:szCs w:val="22"/>
          <w:lang w:val="sr-Latn-ME"/>
        </w:rPr>
        <w:t>kod</w:t>
      </w:r>
      <w:r w:rsidR="00D41E02" w:rsidRPr="00983B42">
        <w:rPr>
          <w:sz w:val="22"/>
          <w:szCs w:val="22"/>
          <w:lang w:val="sr-Latn-ME"/>
        </w:rPr>
        <w:t xml:space="preserve"> pacijenata sa smanjenim tjelesnim zalihama vitamina B12 ili s </w:t>
      </w:r>
      <w:r w:rsidR="00E268FE" w:rsidRPr="00983B42">
        <w:rPr>
          <w:sz w:val="22"/>
          <w:szCs w:val="22"/>
          <w:lang w:val="sr-Latn-ME"/>
        </w:rPr>
        <w:t>faktorima rizika za smanjenje re</w:t>
      </w:r>
      <w:r w:rsidR="00D41E02" w:rsidRPr="00983B42">
        <w:rPr>
          <w:sz w:val="22"/>
          <w:szCs w:val="22"/>
          <w:lang w:val="sr-Latn-ME"/>
        </w:rPr>
        <w:t>sorpcije vitamina B12 pri dugotrajnoj terapiji, ili ako se uoče odgovarajući klinički simptomi.</w:t>
      </w:r>
    </w:p>
    <w:p w:rsidR="00D41E02" w:rsidRPr="00983B42" w:rsidRDefault="00D41E02" w:rsidP="00D41E02">
      <w:pPr>
        <w:jc w:val="both"/>
        <w:rPr>
          <w:sz w:val="22"/>
          <w:szCs w:val="22"/>
          <w:lang w:val="sr-Latn-ME"/>
        </w:rPr>
      </w:pPr>
    </w:p>
    <w:p w:rsidR="00D41E02" w:rsidRPr="00983B42" w:rsidRDefault="00D41E02" w:rsidP="00D41E02">
      <w:pPr>
        <w:jc w:val="both"/>
        <w:rPr>
          <w:iCs/>
          <w:sz w:val="22"/>
          <w:szCs w:val="22"/>
          <w:u w:val="single"/>
          <w:lang w:val="sr-Latn-ME"/>
        </w:rPr>
      </w:pPr>
      <w:r w:rsidRPr="00983B42">
        <w:rPr>
          <w:iCs/>
          <w:sz w:val="22"/>
          <w:szCs w:val="22"/>
          <w:u w:val="single"/>
          <w:lang w:val="sr-Latn-ME"/>
        </w:rPr>
        <w:t>Dugotrajno liječenje</w:t>
      </w:r>
    </w:p>
    <w:p w:rsidR="0066177E" w:rsidRPr="00983B42" w:rsidRDefault="0066177E" w:rsidP="00D41E02">
      <w:pPr>
        <w:jc w:val="both"/>
        <w:rPr>
          <w:iCs/>
          <w:sz w:val="22"/>
          <w:szCs w:val="22"/>
          <w:u w:val="single"/>
          <w:lang w:val="sr-Latn-ME"/>
        </w:rPr>
      </w:pPr>
    </w:p>
    <w:p w:rsidR="00D41E02" w:rsidRPr="00983B42" w:rsidRDefault="00D41E02" w:rsidP="00D41E02">
      <w:pPr>
        <w:jc w:val="both"/>
        <w:rPr>
          <w:sz w:val="22"/>
          <w:szCs w:val="22"/>
          <w:lang w:val="sr-Latn-ME"/>
        </w:rPr>
      </w:pPr>
      <w:r w:rsidRPr="00983B42">
        <w:rPr>
          <w:sz w:val="22"/>
          <w:szCs w:val="22"/>
          <w:lang w:val="sr-Latn-ME"/>
        </w:rPr>
        <w:t xml:space="preserve">Kod dugotrajnog liječenja, </w:t>
      </w:r>
      <w:r w:rsidR="0066177E" w:rsidRPr="00983B42">
        <w:rPr>
          <w:sz w:val="22"/>
          <w:szCs w:val="22"/>
          <w:lang w:val="sr-Latn-ME"/>
        </w:rPr>
        <w:t>naročito</w:t>
      </w:r>
      <w:r w:rsidRPr="00983B42">
        <w:rPr>
          <w:sz w:val="22"/>
          <w:szCs w:val="22"/>
          <w:lang w:val="sr-Latn-ME"/>
        </w:rPr>
        <w:t xml:space="preserve"> dužeg od</w:t>
      </w:r>
      <w:r w:rsidR="009C4AA8" w:rsidRPr="00983B42">
        <w:rPr>
          <w:sz w:val="22"/>
          <w:szCs w:val="22"/>
          <w:lang w:val="sr-Latn-ME"/>
        </w:rPr>
        <w:t xml:space="preserve"> jedne </w:t>
      </w:r>
      <w:r w:rsidR="0068684E" w:rsidRPr="00983B42">
        <w:rPr>
          <w:sz w:val="22"/>
          <w:szCs w:val="22"/>
          <w:lang w:val="sr-Latn-ME"/>
        </w:rPr>
        <w:t>godine, pacijenti treba da budu</w:t>
      </w:r>
      <w:r w:rsidRPr="00983B42">
        <w:rPr>
          <w:sz w:val="22"/>
          <w:szCs w:val="22"/>
          <w:lang w:val="sr-Latn-ME"/>
        </w:rPr>
        <w:t xml:space="preserve"> pod redovnom kontrolom.</w:t>
      </w:r>
    </w:p>
    <w:p w:rsidR="00D41E02" w:rsidRPr="00983B42" w:rsidRDefault="00D41E02" w:rsidP="00D41E02">
      <w:pPr>
        <w:jc w:val="both"/>
        <w:rPr>
          <w:sz w:val="22"/>
          <w:szCs w:val="22"/>
          <w:lang w:val="sr-Latn-ME"/>
        </w:rPr>
      </w:pPr>
    </w:p>
    <w:p w:rsidR="00D41E02" w:rsidRPr="00983B42" w:rsidRDefault="00D41E02" w:rsidP="00D41E02">
      <w:pPr>
        <w:jc w:val="both"/>
        <w:rPr>
          <w:iCs/>
          <w:sz w:val="22"/>
          <w:szCs w:val="22"/>
          <w:u w:val="single"/>
          <w:lang w:val="sr-Latn-ME"/>
        </w:rPr>
      </w:pPr>
      <w:r w:rsidRPr="00983B42">
        <w:rPr>
          <w:iCs/>
          <w:sz w:val="22"/>
          <w:szCs w:val="22"/>
          <w:u w:val="single"/>
          <w:lang w:val="sr-Latn-ME"/>
        </w:rPr>
        <w:t>Gastrointestinalne infekcije uzrokovane bakterijama</w:t>
      </w:r>
    </w:p>
    <w:p w:rsidR="00D41E02" w:rsidRPr="00983B42" w:rsidRDefault="00D41E02" w:rsidP="00D41E02">
      <w:pPr>
        <w:jc w:val="both"/>
        <w:rPr>
          <w:sz w:val="22"/>
          <w:szCs w:val="22"/>
          <w:lang w:val="sr-Latn-ME"/>
        </w:rPr>
      </w:pPr>
      <w:r w:rsidRPr="00983B42">
        <w:rPr>
          <w:sz w:val="22"/>
          <w:szCs w:val="22"/>
          <w:lang w:val="sr-Latn-ME"/>
        </w:rPr>
        <w:t xml:space="preserve">Liječenje pantoprazolom može dovesti do neznatno povećanog rizika od gastrointestinalnih infekcija uzrokovanih bakterijama, kao što su </w:t>
      </w:r>
      <w:r w:rsidRPr="00983B42">
        <w:rPr>
          <w:i/>
          <w:sz w:val="22"/>
          <w:szCs w:val="22"/>
          <w:lang w:val="sr-Latn-ME"/>
        </w:rPr>
        <w:t>Salmonella</w:t>
      </w:r>
      <w:r w:rsidRPr="00983B42">
        <w:rPr>
          <w:sz w:val="22"/>
          <w:szCs w:val="22"/>
          <w:lang w:val="sr-Latn-ME"/>
        </w:rPr>
        <w:t xml:space="preserve"> i </w:t>
      </w:r>
      <w:r w:rsidRPr="00983B42">
        <w:rPr>
          <w:i/>
          <w:sz w:val="22"/>
          <w:szCs w:val="22"/>
          <w:lang w:val="sr-Latn-ME"/>
        </w:rPr>
        <w:t>Campylobacter</w:t>
      </w:r>
      <w:r w:rsidRPr="00983B42">
        <w:rPr>
          <w:sz w:val="22"/>
          <w:szCs w:val="22"/>
          <w:lang w:val="sr-Latn-ME"/>
        </w:rPr>
        <w:t>,</w:t>
      </w:r>
      <w:r w:rsidRPr="00983B42">
        <w:rPr>
          <w:i/>
          <w:sz w:val="22"/>
          <w:szCs w:val="22"/>
          <w:lang w:val="sr-Latn-ME"/>
        </w:rPr>
        <w:t xml:space="preserve"> </w:t>
      </w:r>
      <w:r w:rsidRPr="00983B42">
        <w:rPr>
          <w:sz w:val="22"/>
          <w:szCs w:val="22"/>
          <w:lang w:val="sr-Latn-ME"/>
        </w:rPr>
        <w:t>ili</w:t>
      </w:r>
      <w:r w:rsidRPr="00983B42">
        <w:rPr>
          <w:i/>
          <w:iCs/>
          <w:sz w:val="22"/>
          <w:szCs w:val="22"/>
          <w:lang w:val="sr-Latn-ME"/>
        </w:rPr>
        <w:t xml:space="preserve"> C. difficile</w:t>
      </w:r>
      <w:r w:rsidRPr="00983B42">
        <w:rPr>
          <w:sz w:val="22"/>
          <w:szCs w:val="22"/>
          <w:lang w:val="sr-Latn-ME"/>
        </w:rPr>
        <w:t>.</w:t>
      </w:r>
    </w:p>
    <w:p w:rsidR="00D41E02" w:rsidRPr="00983B42" w:rsidRDefault="00D41E02" w:rsidP="00D41E02">
      <w:pPr>
        <w:jc w:val="both"/>
        <w:rPr>
          <w:sz w:val="22"/>
          <w:szCs w:val="22"/>
          <w:lang w:val="sr-Latn-ME"/>
        </w:rPr>
      </w:pPr>
    </w:p>
    <w:p w:rsidR="00D41E02" w:rsidRPr="00983B42" w:rsidRDefault="00D41E02" w:rsidP="00D41E02">
      <w:pPr>
        <w:jc w:val="both"/>
        <w:rPr>
          <w:i/>
          <w:sz w:val="22"/>
          <w:szCs w:val="22"/>
          <w:lang w:val="sr-Latn-ME"/>
        </w:rPr>
      </w:pPr>
      <w:r w:rsidRPr="00983B42">
        <w:rPr>
          <w:i/>
          <w:sz w:val="22"/>
          <w:szCs w:val="22"/>
          <w:lang w:val="sr-Latn-ME"/>
        </w:rPr>
        <w:t>Hipomagnezijemija</w:t>
      </w:r>
    </w:p>
    <w:p w:rsidR="00251A25" w:rsidRPr="00983B42" w:rsidRDefault="00251A25" w:rsidP="00D41E02">
      <w:pPr>
        <w:jc w:val="both"/>
        <w:rPr>
          <w:i/>
          <w:sz w:val="22"/>
          <w:szCs w:val="22"/>
          <w:lang w:val="sr-Latn-ME"/>
        </w:rPr>
      </w:pPr>
    </w:p>
    <w:p w:rsidR="0008649E" w:rsidRPr="00983B42" w:rsidRDefault="00D41E02" w:rsidP="0008649E">
      <w:pPr>
        <w:jc w:val="both"/>
        <w:rPr>
          <w:sz w:val="22"/>
          <w:szCs w:val="22"/>
          <w:lang w:val="sr-Latn-ME"/>
        </w:rPr>
      </w:pPr>
      <w:r w:rsidRPr="00983B42">
        <w:rPr>
          <w:sz w:val="22"/>
          <w:szCs w:val="22"/>
          <w:lang w:val="sr-Latn-ME"/>
        </w:rPr>
        <w:t>Teška hi</w:t>
      </w:r>
      <w:r w:rsidR="0077658F" w:rsidRPr="00983B42">
        <w:rPr>
          <w:sz w:val="22"/>
          <w:szCs w:val="22"/>
          <w:lang w:val="sr-Latn-ME"/>
        </w:rPr>
        <w:t>pomagnezijemija prijavljena je kod</w:t>
      </w:r>
      <w:r w:rsidRPr="00983B42">
        <w:rPr>
          <w:sz w:val="22"/>
          <w:szCs w:val="22"/>
          <w:lang w:val="sr-Latn-ME"/>
        </w:rPr>
        <w:t xml:space="preserve"> pacijenata liječenih inhibitorima protonske pumpe, poput pantoprazola, u trajanju od najmanje tri mjeseca, a u većini slučajeva u trajanju od godinu dana. Mogu </w:t>
      </w:r>
      <w:r w:rsidR="009C4AA8" w:rsidRPr="00983B42">
        <w:rPr>
          <w:sz w:val="22"/>
          <w:szCs w:val="22"/>
          <w:lang w:val="sr-Latn-ME"/>
        </w:rPr>
        <w:t>da se  jave</w:t>
      </w:r>
      <w:r w:rsidRPr="00983B42">
        <w:rPr>
          <w:sz w:val="22"/>
          <w:szCs w:val="22"/>
          <w:lang w:val="sr-Latn-ME"/>
        </w:rPr>
        <w:t xml:space="preserve"> ozbiljne manifestacije hipomagnezijemije, kao što su umor, tetanija, delirij</w:t>
      </w:r>
      <w:r w:rsidR="009C4AA8" w:rsidRPr="00983B42">
        <w:rPr>
          <w:sz w:val="22"/>
          <w:szCs w:val="22"/>
          <w:lang w:val="sr-Latn-ME"/>
        </w:rPr>
        <w:t>um</w:t>
      </w:r>
      <w:r w:rsidRPr="00983B42">
        <w:rPr>
          <w:sz w:val="22"/>
          <w:szCs w:val="22"/>
          <w:lang w:val="sr-Latn-ME"/>
        </w:rPr>
        <w:t>, konvulzije, omaglica i ventrikularna aritmija,</w:t>
      </w:r>
      <w:r w:rsidR="00352E90" w:rsidRPr="00983B42">
        <w:rPr>
          <w:sz w:val="22"/>
          <w:szCs w:val="22"/>
          <w:lang w:val="sr-Latn-ME"/>
        </w:rPr>
        <w:t xml:space="preserve"> ali njihov početak može da bude</w:t>
      </w:r>
      <w:r w:rsidRPr="00983B42">
        <w:rPr>
          <w:sz w:val="22"/>
          <w:szCs w:val="22"/>
          <w:lang w:val="sr-Latn-ME"/>
        </w:rPr>
        <w:t xml:space="preserve"> podmukao i može </w:t>
      </w:r>
      <w:r w:rsidR="00352E90" w:rsidRPr="00983B42">
        <w:rPr>
          <w:sz w:val="22"/>
          <w:szCs w:val="22"/>
          <w:lang w:val="sr-Latn-ME"/>
        </w:rPr>
        <w:t>da se previdi</w:t>
      </w:r>
      <w:r w:rsidR="0008649E" w:rsidRPr="00983B42">
        <w:rPr>
          <w:sz w:val="22"/>
          <w:szCs w:val="22"/>
          <w:lang w:val="sr-Latn-ME"/>
        </w:rPr>
        <w:t xml:space="preserve">. Hipomagnezijemija može </w:t>
      </w:r>
      <w:r w:rsidR="005C2EA4" w:rsidRPr="00983B42">
        <w:rPr>
          <w:sz w:val="22"/>
          <w:szCs w:val="22"/>
          <w:lang w:val="sr-Latn-ME"/>
        </w:rPr>
        <w:t>da dovede</w:t>
      </w:r>
      <w:r w:rsidR="0008649E" w:rsidRPr="00983B42">
        <w:rPr>
          <w:sz w:val="22"/>
          <w:szCs w:val="22"/>
          <w:lang w:val="sr-Latn-ME"/>
        </w:rPr>
        <w:t xml:space="preserve"> do hipokalcemije i/ili hipokalemije (pogledati dio 4.8). Kod većine pogođenih pacijenata, hipomagnezijemija (i hipomagnezijemija povezana s hipokalcemijeom i/ili hipokalemijom) se pobo</w:t>
      </w:r>
      <w:r w:rsidR="003101DE" w:rsidRPr="00983B42">
        <w:rPr>
          <w:sz w:val="22"/>
          <w:szCs w:val="22"/>
          <w:lang w:val="sr-Latn-ME"/>
        </w:rPr>
        <w:t>ljšala nakon nadoknade magnezijuma</w:t>
      </w:r>
      <w:r w:rsidR="0008649E" w:rsidRPr="00983B42">
        <w:rPr>
          <w:sz w:val="22"/>
          <w:szCs w:val="22"/>
          <w:lang w:val="sr-Latn-ME"/>
        </w:rPr>
        <w:t xml:space="preserve"> i prekida primjene inhibitora protonske pumpe.</w:t>
      </w:r>
    </w:p>
    <w:p w:rsidR="00D41E02" w:rsidRPr="00983B42" w:rsidRDefault="00967C6B" w:rsidP="0008649E">
      <w:pPr>
        <w:jc w:val="both"/>
        <w:rPr>
          <w:sz w:val="22"/>
          <w:szCs w:val="22"/>
          <w:lang w:val="sr-Latn-ME"/>
        </w:rPr>
      </w:pPr>
      <w:r w:rsidRPr="00983B42">
        <w:rPr>
          <w:sz w:val="22"/>
          <w:szCs w:val="22"/>
          <w:lang w:val="sr-Latn-ME"/>
        </w:rPr>
        <w:t>Kod</w:t>
      </w:r>
      <w:r w:rsidR="00D41E02" w:rsidRPr="00983B42">
        <w:rPr>
          <w:sz w:val="22"/>
          <w:szCs w:val="22"/>
          <w:lang w:val="sr-Latn-ME"/>
        </w:rPr>
        <w:t xml:space="preserve"> pacijenata za koje se očekuje da će bit</w:t>
      </w:r>
      <w:r w:rsidR="005C2EA4" w:rsidRPr="00983B42">
        <w:rPr>
          <w:sz w:val="22"/>
          <w:szCs w:val="22"/>
          <w:lang w:val="sr-Latn-ME"/>
        </w:rPr>
        <w:t>i na dugotrajnoj terapiji, ili kod</w:t>
      </w:r>
      <w:r w:rsidR="00D41E02" w:rsidRPr="00983B42">
        <w:rPr>
          <w:sz w:val="22"/>
          <w:szCs w:val="22"/>
          <w:lang w:val="sr-Latn-ME"/>
        </w:rPr>
        <w:t xml:space="preserve"> onih koji primaju inhibitore protonske pumpe s digoksinom ili s ljekovima koji mogu </w:t>
      </w:r>
      <w:r w:rsidR="005C2EA4" w:rsidRPr="00983B42">
        <w:rPr>
          <w:sz w:val="22"/>
          <w:szCs w:val="22"/>
          <w:lang w:val="sr-Latn-ME"/>
        </w:rPr>
        <w:t>da uzrokuju</w:t>
      </w:r>
      <w:r w:rsidR="00D41E02" w:rsidRPr="00983B42">
        <w:rPr>
          <w:sz w:val="22"/>
          <w:szCs w:val="22"/>
          <w:lang w:val="sr-Latn-ME"/>
        </w:rPr>
        <w:t xml:space="preserve"> hipomagnezijemiju (npr</w:t>
      </w:r>
      <w:r w:rsidR="005C2EA4" w:rsidRPr="00983B42">
        <w:rPr>
          <w:sz w:val="22"/>
          <w:szCs w:val="22"/>
          <w:lang w:val="sr-Latn-ME"/>
        </w:rPr>
        <w:t xml:space="preserve">. diuretici), ljekari treba da </w:t>
      </w:r>
      <w:r w:rsidR="00D41E02" w:rsidRPr="00983B42">
        <w:rPr>
          <w:sz w:val="22"/>
          <w:szCs w:val="22"/>
          <w:lang w:val="sr-Latn-ME"/>
        </w:rPr>
        <w:t xml:space="preserve"> raz</w:t>
      </w:r>
      <w:r w:rsidR="005C2EA4" w:rsidRPr="00983B42">
        <w:rPr>
          <w:sz w:val="22"/>
          <w:szCs w:val="22"/>
          <w:lang w:val="sr-Latn-ME"/>
        </w:rPr>
        <w:t>motre</w:t>
      </w:r>
      <w:r w:rsidR="00333784" w:rsidRPr="00983B42">
        <w:rPr>
          <w:sz w:val="22"/>
          <w:szCs w:val="22"/>
          <w:lang w:val="sr-Latn-ME"/>
        </w:rPr>
        <w:t xml:space="preserve"> mjerenje nivoa magnezijuma</w:t>
      </w:r>
      <w:r w:rsidR="00D41E02" w:rsidRPr="00983B42">
        <w:rPr>
          <w:sz w:val="22"/>
          <w:szCs w:val="22"/>
          <w:lang w:val="sr-Latn-ME"/>
        </w:rPr>
        <w:t xml:space="preserve"> prije početka liječenja s inhibitorom protonske pumpe, kao i periodično tokom liječenja.</w:t>
      </w:r>
    </w:p>
    <w:p w:rsidR="00D41E02" w:rsidRPr="00983B42" w:rsidRDefault="00D41E02" w:rsidP="00D41E02">
      <w:pPr>
        <w:jc w:val="both"/>
        <w:rPr>
          <w:sz w:val="22"/>
          <w:szCs w:val="22"/>
          <w:lang w:val="sr-Latn-ME"/>
        </w:rPr>
      </w:pPr>
    </w:p>
    <w:p w:rsidR="00D41E02" w:rsidRPr="00983B42" w:rsidRDefault="00D41E02" w:rsidP="00D41E02">
      <w:pPr>
        <w:jc w:val="both"/>
        <w:rPr>
          <w:iCs/>
          <w:sz w:val="22"/>
          <w:szCs w:val="22"/>
          <w:u w:val="single"/>
          <w:lang w:val="sr-Latn-ME"/>
        </w:rPr>
      </w:pPr>
      <w:r w:rsidRPr="00983B42">
        <w:rPr>
          <w:iCs/>
          <w:sz w:val="22"/>
          <w:szCs w:val="22"/>
          <w:u w:val="single"/>
          <w:lang w:val="sr-Latn-ME"/>
        </w:rPr>
        <w:t>Koštane frakture</w:t>
      </w:r>
    </w:p>
    <w:p w:rsidR="00581B48" w:rsidRPr="00983B42" w:rsidRDefault="00581B48" w:rsidP="00D41E02">
      <w:pPr>
        <w:jc w:val="both"/>
        <w:rPr>
          <w:iCs/>
          <w:sz w:val="22"/>
          <w:szCs w:val="22"/>
          <w:u w:val="single"/>
          <w:lang w:val="sr-Latn-ME"/>
        </w:rPr>
      </w:pPr>
    </w:p>
    <w:p w:rsidR="00D41E02" w:rsidRPr="00983B42" w:rsidRDefault="00D41E02" w:rsidP="00D41E02">
      <w:pPr>
        <w:jc w:val="both"/>
        <w:rPr>
          <w:sz w:val="22"/>
          <w:szCs w:val="22"/>
          <w:lang w:val="sr-Latn-ME"/>
        </w:rPr>
      </w:pPr>
      <w:r w:rsidRPr="00983B42">
        <w:rPr>
          <w:sz w:val="22"/>
          <w:szCs w:val="22"/>
          <w:lang w:val="sr-Latn-ME"/>
        </w:rPr>
        <w:t xml:space="preserve">Inhibitori protonske pumpe, posebno ako se primjenjuju u visokim dozama i kroz dugi vremenski period (duže od jedne godine), mogu malo </w:t>
      </w:r>
      <w:r w:rsidR="00E46D3C" w:rsidRPr="00983B42">
        <w:rPr>
          <w:sz w:val="22"/>
          <w:szCs w:val="22"/>
          <w:lang w:val="sr-Latn-ME"/>
        </w:rPr>
        <w:t>da povećaju</w:t>
      </w:r>
      <w:r w:rsidRPr="00983B42">
        <w:rPr>
          <w:sz w:val="22"/>
          <w:szCs w:val="22"/>
          <w:lang w:val="sr-Latn-ME"/>
        </w:rPr>
        <w:t xml:space="preserve"> rizik od frakture kuka, ručnog zgloba i kičme, posebno </w:t>
      </w:r>
      <w:r w:rsidR="00581B48" w:rsidRPr="00983B42">
        <w:rPr>
          <w:sz w:val="22"/>
          <w:szCs w:val="22"/>
          <w:lang w:val="sr-Latn-ME"/>
        </w:rPr>
        <w:t xml:space="preserve">kod </w:t>
      </w:r>
      <w:r w:rsidRPr="00983B42">
        <w:rPr>
          <w:sz w:val="22"/>
          <w:szCs w:val="22"/>
          <w:lang w:val="sr-Latn-ME"/>
        </w:rPr>
        <w:t xml:space="preserve">starijih pacijenata, ili ako su prisutni drugi poznati faktori rizika. </w:t>
      </w:r>
      <w:r w:rsidR="00E46D3C" w:rsidRPr="00983B42">
        <w:rPr>
          <w:sz w:val="22"/>
          <w:szCs w:val="22"/>
          <w:lang w:val="sr-Latn-ME"/>
        </w:rPr>
        <w:t>Opservacijske studije sugerišu</w:t>
      </w:r>
      <w:r w:rsidRPr="00983B42">
        <w:rPr>
          <w:sz w:val="22"/>
          <w:szCs w:val="22"/>
          <w:lang w:val="sr-Latn-ME"/>
        </w:rPr>
        <w:t xml:space="preserve"> da inhibitori protonske pumpe mogu </w:t>
      </w:r>
      <w:r w:rsidR="00E46D3C" w:rsidRPr="00983B42">
        <w:rPr>
          <w:sz w:val="22"/>
          <w:szCs w:val="22"/>
          <w:lang w:val="sr-Latn-ME"/>
        </w:rPr>
        <w:t>da povećaju</w:t>
      </w:r>
      <w:r w:rsidRPr="00983B42">
        <w:rPr>
          <w:sz w:val="22"/>
          <w:szCs w:val="22"/>
          <w:lang w:val="sr-Latn-ME"/>
        </w:rPr>
        <w:t xml:space="preserve"> ukupni rizik od frakture za 10-40%. Je</w:t>
      </w:r>
      <w:r w:rsidR="00E46D3C" w:rsidRPr="00983B42">
        <w:rPr>
          <w:sz w:val="22"/>
          <w:szCs w:val="22"/>
          <w:lang w:val="sr-Latn-ME"/>
        </w:rPr>
        <w:t>dan dio ovog povećanja može da bude</w:t>
      </w:r>
      <w:r w:rsidRPr="00983B42">
        <w:rPr>
          <w:sz w:val="22"/>
          <w:szCs w:val="22"/>
          <w:lang w:val="sr-Latn-ME"/>
        </w:rPr>
        <w:t xml:space="preserve"> rezultat drugih faktora rizika. Pacijenti </w:t>
      </w:r>
      <w:r w:rsidR="00E46D3C" w:rsidRPr="00983B42">
        <w:rPr>
          <w:sz w:val="22"/>
          <w:szCs w:val="22"/>
          <w:lang w:val="sr-Latn-ME"/>
        </w:rPr>
        <w:t>s rizikom od osteoporoze treba da primaju njegu</w:t>
      </w:r>
      <w:r w:rsidRPr="00983B42">
        <w:rPr>
          <w:sz w:val="22"/>
          <w:szCs w:val="22"/>
          <w:lang w:val="sr-Latn-ME"/>
        </w:rPr>
        <w:t xml:space="preserve"> u skladu</w:t>
      </w:r>
      <w:r w:rsidR="00E46D3C" w:rsidRPr="00983B42">
        <w:rPr>
          <w:sz w:val="22"/>
          <w:szCs w:val="22"/>
          <w:lang w:val="sr-Latn-ME"/>
        </w:rPr>
        <w:t xml:space="preserve"> s važećim kliničkim preporukama i treba da imaju</w:t>
      </w:r>
      <w:r w:rsidRPr="00983B42">
        <w:rPr>
          <w:sz w:val="22"/>
          <w:szCs w:val="22"/>
          <w:lang w:val="sr-Latn-ME"/>
        </w:rPr>
        <w:t xml:space="preserve"> odgovar</w:t>
      </w:r>
      <w:r w:rsidR="00391D2E" w:rsidRPr="00983B42">
        <w:rPr>
          <w:sz w:val="22"/>
          <w:szCs w:val="22"/>
          <w:lang w:val="sr-Latn-ME"/>
        </w:rPr>
        <w:t>ajući unos vitamina D i kalcijuma.</w:t>
      </w:r>
    </w:p>
    <w:p w:rsidR="00D41E02" w:rsidRPr="00983B42" w:rsidRDefault="00D41E02" w:rsidP="00D41E02">
      <w:pPr>
        <w:pStyle w:val="Default"/>
        <w:rPr>
          <w:color w:val="auto"/>
          <w:sz w:val="22"/>
          <w:szCs w:val="22"/>
          <w:lang w:val="sr-Latn-ME" w:eastAsia="en-US"/>
        </w:rPr>
      </w:pPr>
    </w:p>
    <w:p w:rsidR="00D41E02" w:rsidRPr="00983B42" w:rsidRDefault="00D41E02" w:rsidP="00D41E02">
      <w:pPr>
        <w:pStyle w:val="Default"/>
        <w:rPr>
          <w:color w:val="auto"/>
          <w:sz w:val="22"/>
          <w:szCs w:val="22"/>
          <w:u w:val="single"/>
          <w:lang w:val="sr-Latn-ME"/>
        </w:rPr>
      </w:pPr>
      <w:r w:rsidRPr="00983B42">
        <w:rPr>
          <w:color w:val="auto"/>
          <w:sz w:val="22"/>
          <w:szCs w:val="22"/>
          <w:u w:val="single"/>
          <w:lang w:val="sr-Latn-ME"/>
        </w:rPr>
        <w:t xml:space="preserve">Subakutni kožni lupus eritematozus – SCLE (od engl. subacute cutaneous lupus erythematosus) </w:t>
      </w:r>
    </w:p>
    <w:p w:rsidR="00581B48" w:rsidRPr="00983B42" w:rsidRDefault="00581B48" w:rsidP="00D41E02">
      <w:pPr>
        <w:pStyle w:val="Default"/>
        <w:rPr>
          <w:color w:val="auto"/>
          <w:sz w:val="22"/>
          <w:szCs w:val="22"/>
          <w:u w:val="single"/>
          <w:lang w:val="sr-Latn-ME"/>
        </w:rPr>
      </w:pPr>
    </w:p>
    <w:p w:rsidR="00D41E02" w:rsidRPr="00983B42" w:rsidRDefault="00D41E02" w:rsidP="00D41E02">
      <w:pPr>
        <w:jc w:val="both"/>
        <w:rPr>
          <w:sz w:val="22"/>
          <w:szCs w:val="22"/>
          <w:lang w:val="sr-Latn-ME"/>
        </w:rPr>
      </w:pPr>
      <w:r w:rsidRPr="00983B42">
        <w:rPr>
          <w:sz w:val="22"/>
          <w:szCs w:val="22"/>
          <w:lang w:val="sr-Latn-ME"/>
        </w:rPr>
        <w:t>Inhibitori pr</w:t>
      </w:r>
      <w:r w:rsidR="002B0F0D" w:rsidRPr="00983B42">
        <w:rPr>
          <w:sz w:val="22"/>
          <w:szCs w:val="22"/>
          <w:lang w:val="sr-Latn-ME"/>
        </w:rPr>
        <w:t>otonske pumpe povezani su s veoma</w:t>
      </w:r>
      <w:r w:rsidRPr="00983B42">
        <w:rPr>
          <w:sz w:val="22"/>
          <w:szCs w:val="22"/>
          <w:lang w:val="sr-Latn-ME"/>
        </w:rPr>
        <w:t xml:space="preserve"> rijetkim slučajevima SCLE-a. U slučaju pojave lezija, posebno na područjima kože izloženim suncu, i ako su lezije p</w:t>
      </w:r>
      <w:r w:rsidR="00E46D3C" w:rsidRPr="00983B42">
        <w:rPr>
          <w:sz w:val="22"/>
          <w:szCs w:val="22"/>
          <w:lang w:val="sr-Latn-ME"/>
        </w:rPr>
        <w:t>r</w:t>
      </w:r>
      <w:r w:rsidRPr="00983B42">
        <w:rPr>
          <w:sz w:val="22"/>
          <w:szCs w:val="22"/>
          <w:lang w:val="sr-Latn-ME"/>
        </w:rPr>
        <w:t xml:space="preserve">opraćene artralgijom, pacijent treba odmah </w:t>
      </w:r>
      <w:r w:rsidR="00E46D3C" w:rsidRPr="00983B42">
        <w:rPr>
          <w:sz w:val="22"/>
          <w:szCs w:val="22"/>
          <w:lang w:val="sr-Latn-ME"/>
        </w:rPr>
        <w:t>da potraži</w:t>
      </w:r>
      <w:r w:rsidRPr="00983B42">
        <w:rPr>
          <w:sz w:val="22"/>
          <w:szCs w:val="22"/>
          <w:lang w:val="sr-Latn-ME"/>
        </w:rPr>
        <w:t xml:space="preserve"> medicinsku pomoć, a ljekar treba </w:t>
      </w:r>
      <w:r w:rsidR="00E46D3C" w:rsidRPr="00983B42">
        <w:rPr>
          <w:sz w:val="22"/>
          <w:szCs w:val="22"/>
          <w:lang w:val="sr-Latn-ME"/>
        </w:rPr>
        <w:t>da razmotri</w:t>
      </w:r>
      <w:r w:rsidRPr="00983B42">
        <w:rPr>
          <w:sz w:val="22"/>
          <w:szCs w:val="22"/>
          <w:lang w:val="sr-Latn-ME"/>
        </w:rPr>
        <w:t xml:space="preserve"> prekid primjene pantoprazola. Pojava SCLE-a nakon prethodnog liječenja inhibitorom protonske pumpe, može </w:t>
      </w:r>
      <w:r w:rsidR="00E46D3C" w:rsidRPr="00983B42">
        <w:rPr>
          <w:sz w:val="22"/>
          <w:szCs w:val="22"/>
          <w:lang w:val="sr-Latn-ME"/>
        </w:rPr>
        <w:t>da poveća</w:t>
      </w:r>
      <w:r w:rsidRPr="00983B42">
        <w:rPr>
          <w:sz w:val="22"/>
          <w:szCs w:val="22"/>
          <w:lang w:val="sr-Latn-ME"/>
        </w:rPr>
        <w:t xml:space="preserve"> rizik od SCLE-a i uz druge inhibitore protonske pumpe.</w:t>
      </w:r>
    </w:p>
    <w:p w:rsidR="00D41E02" w:rsidRPr="00983B42" w:rsidRDefault="00D41E02" w:rsidP="00D41E02">
      <w:pPr>
        <w:jc w:val="both"/>
        <w:rPr>
          <w:sz w:val="22"/>
          <w:szCs w:val="22"/>
          <w:lang w:val="sr-Latn-ME"/>
        </w:rPr>
      </w:pPr>
    </w:p>
    <w:p w:rsidR="00D41E02" w:rsidRPr="00983B42" w:rsidRDefault="00D41E02" w:rsidP="00D41E02">
      <w:pPr>
        <w:pStyle w:val="Default"/>
        <w:rPr>
          <w:iCs/>
          <w:color w:val="auto"/>
          <w:sz w:val="22"/>
          <w:szCs w:val="22"/>
          <w:u w:val="single"/>
          <w:lang w:val="sr-Latn-ME"/>
        </w:rPr>
      </w:pPr>
      <w:r w:rsidRPr="00983B42">
        <w:rPr>
          <w:iCs/>
          <w:color w:val="auto"/>
          <w:sz w:val="22"/>
          <w:szCs w:val="22"/>
          <w:u w:val="single"/>
          <w:lang w:val="sr-Latn-ME"/>
        </w:rPr>
        <w:t xml:space="preserve">Interferencija s laboratorijskim testovima </w:t>
      </w:r>
    </w:p>
    <w:p w:rsidR="003356A4" w:rsidRPr="00983B42" w:rsidRDefault="003356A4" w:rsidP="00D41E02">
      <w:pPr>
        <w:pStyle w:val="Default"/>
        <w:rPr>
          <w:iCs/>
          <w:color w:val="auto"/>
          <w:sz w:val="22"/>
          <w:szCs w:val="22"/>
          <w:u w:val="single"/>
          <w:lang w:val="sr-Latn-ME"/>
        </w:rPr>
      </w:pPr>
    </w:p>
    <w:p w:rsidR="00D41E02" w:rsidRPr="00983B42" w:rsidRDefault="00D41E02" w:rsidP="00D41E02">
      <w:pPr>
        <w:jc w:val="both"/>
        <w:rPr>
          <w:sz w:val="22"/>
          <w:szCs w:val="22"/>
          <w:lang w:val="sr-Latn-ME"/>
        </w:rPr>
      </w:pPr>
      <w:r w:rsidRPr="00983B42">
        <w:rPr>
          <w:sz w:val="22"/>
          <w:szCs w:val="22"/>
          <w:lang w:val="sr-Latn-ME"/>
        </w:rPr>
        <w:t xml:space="preserve">Povišen nivo hromogranina A (CgA) može </w:t>
      </w:r>
      <w:r w:rsidR="00E46D3C" w:rsidRPr="00983B42">
        <w:rPr>
          <w:sz w:val="22"/>
          <w:szCs w:val="22"/>
          <w:lang w:val="sr-Latn-ME"/>
        </w:rPr>
        <w:t>da interferira</w:t>
      </w:r>
      <w:r w:rsidRPr="00983B42">
        <w:rPr>
          <w:sz w:val="22"/>
          <w:szCs w:val="22"/>
          <w:lang w:val="sr-Latn-ME"/>
        </w:rPr>
        <w:t xml:space="preserve"> s pretragama za neuroendokrine tumore. Kako bi se izbjegla ova interferencija,</w:t>
      </w:r>
      <w:r w:rsidR="00E46D3C" w:rsidRPr="00983B42">
        <w:rPr>
          <w:sz w:val="22"/>
          <w:szCs w:val="22"/>
          <w:lang w:val="sr-Latn-ME"/>
        </w:rPr>
        <w:t xml:space="preserve"> potrebno je da se </w:t>
      </w:r>
      <w:r w:rsidRPr="00983B42">
        <w:rPr>
          <w:sz w:val="22"/>
          <w:szCs w:val="22"/>
          <w:lang w:val="sr-Latn-ME"/>
        </w:rPr>
        <w:t>lij</w:t>
      </w:r>
      <w:r w:rsidR="001222E2" w:rsidRPr="00983B42">
        <w:rPr>
          <w:sz w:val="22"/>
          <w:szCs w:val="22"/>
          <w:lang w:val="sr-Latn-ME"/>
        </w:rPr>
        <w:t>ečenje pantoprazolom</w:t>
      </w:r>
      <w:r w:rsidR="00E46D3C" w:rsidRPr="00983B42">
        <w:rPr>
          <w:sz w:val="22"/>
          <w:szCs w:val="22"/>
          <w:lang w:val="sr-Latn-ME"/>
        </w:rPr>
        <w:t xml:space="preserve"> prekine</w:t>
      </w:r>
      <w:r w:rsidRPr="00983B42">
        <w:rPr>
          <w:sz w:val="22"/>
          <w:szCs w:val="22"/>
          <w:lang w:val="sr-Latn-ME"/>
        </w:rPr>
        <w:t xml:space="preserve"> najmanje 5 dana prije mjerenja nivoa CgA (</w:t>
      </w:r>
      <w:r w:rsidR="003356A4" w:rsidRPr="00983B42">
        <w:rPr>
          <w:sz w:val="22"/>
          <w:szCs w:val="22"/>
          <w:lang w:val="sr-Latn-ME"/>
        </w:rPr>
        <w:t>pogledati</w:t>
      </w:r>
      <w:r w:rsidRPr="00983B42">
        <w:rPr>
          <w:sz w:val="22"/>
          <w:szCs w:val="22"/>
          <w:lang w:val="sr-Latn-ME"/>
        </w:rPr>
        <w:t xml:space="preserve"> dio 5.1.). Ako se nakon početnog mjerenja nivo</w:t>
      </w:r>
      <w:r w:rsidR="00E46D3C" w:rsidRPr="00983B42">
        <w:rPr>
          <w:sz w:val="22"/>
          <w:szCs w:val="22"/>
          <w:lang w:val="sr-Latn-ME"/>
        </w:rPr>
        <w:t xml:space="preserve">i CgA i </w:t>
      </w:r>
      <w:r w:rsidR="00E46D3C" w:rsidRPr="00983B42">
        <w:rPr>
          <w:sz w:val="22"/>
          <w:szCs w:val="22"/>
          <w:lang w:val="sr-Latn-ME"/>
        </w:rPr>
        <w:lastRenderedPageBreak/>
        <w:t>gastrina ne vrate u okvir</w:t>
      </w:r>
      <w:r w:rsidRPr="00983B42">
        <w:rPr>
          <w:sz w:val="22"/>
          <w:szCs w:val="22"/>
          <w:lang w:val="sr-Latn-ME"/>
        </w:rPr>
        <w:t xml:space="preserve"> raspona referentnih vrijednosti, mjerenja treba </w:t>
      </w:r>
      <w:r w:rsidR="00E46D3C" w:rsidRPr="00983B42">
        <w:rPr>
          <w:sz w:val="22"/>
          <w:szCs w:val="22"/>
          <w:lang w:val="sr-Latn-ME"/>
        </w:rPr>
        <w:t xml:space="preserve">da se </w:t>
      </w:r>
      <w:r w:rsidRPr="00983B42">
        <w:rPr>
          <w:sz w:val="22"/>
          <w:szCs w:val="22"/>
          <w:lang w:val="sr-Latn-ME"/>
        </w:rPr>
        <w:t>p</w:t>
      </w:r>
      <w:r w:rsidR="00E46D3C" w:rsidRPr="00983B42">
        <w:rPr>
          <w:sz w:val="22"/>
          <w:szCs w:val="22"/>
          <w:lang w:val="sr-Latn-ME"/>
        </w:rPr>
        <w:t>onovi</w:t>
      </w:r>
      <w:r w:rsidRPr="00983B42">
        <w:rPr>
          <w:sz w:val="22"/>
          <w:szCs w:val="22"/>
          <w:lang w:val="sr-Latn-ME"/>
        </w:rPr>
        <w:t xml:space="preserve"> 14 dana nakon prekida liječenja s inhibitorom protonske pumpe.</w:t>
      </w:r>
    </w:p>
    <w:p w:rsidR="006E7209" w:rsidRPr="00983B42" w:rsidRDefault="006E7209" w:rsidP="00D41E02">
      <w:pPr>
        <w:jc w:val="both"/>
        <w:rPr>
          <w:sz w:val="22"/>
          <w:szCs w:val="22"/>
          <w:lang w:val="sr-Latn-ME"/>
        </w:rPr>
      </w:pPr>
    </w:p>
    <w:p w:rsidR="00261884" w:rsidRPr="00983B42" w:rsidRDefault="00261884" w:rsidP="00261884">
      <w:pPr>
        <w:tabs>
          <w:tab w:val="left" w:pos="540"/>
          <w:tab w:val="left" w:pos="569"/>
        </w:tabs>
        <w:rPr>
          <w:bCs/>
          <w:sz w:val="22"/>
          <w:szCs w:val="22"/>
          <w:u w:val="single"/>
          <w:lang w:val="sr-Latn-ME"/>
        </w:rPr>
      </w:pPr>
      <w:r w:rsidRPr="00983B42">
        <w:rPr>
          <w:bCs/>
          <w:sz w:val="22"/>
          <w:szCs w:val="22"/>
          <w:u w:val="single"/>
          <w:lang w:val="sr-Latn-ME"/>
        </w:rPr>
        <w:t>Lijek FENIX  sadrži natrijum</w:t>
      </w:r>
    </w:p>
    <w:p w:rsidR="00057E35" w:rsidRPr="00983B42" w:rsidRDefault="00261884" w:rsidP="00261884">
      <w:pPr>
        <w:tabs>
          <w:tab w:val="left" w:pos="540"/>
          <w:tab w:val="left" w:pos="569"/>
        </w:tabs>
        <w:rPr>
          <w:bCs/>
          <w:sz w:val="22"/>
          <w:szCs w:val="22"/>
          <w:lang w:val="sr-Latn-ME"/>
        </w:rPr>
      </w:pPr>
      <w:r w:rsidRPr="00983B42">
        <w:rPr>
          <w:bCs/>
          <w:sz w:val="22"/>
          <w:szCs w:val="22"/>
          <w:lang w:val="sr-Latn-ME"/>
        </w:rPr>
        <w:t>Ovaj lijek sadrži natrijum, manje od 1 mmola (23 mg) po jednoj dozi, u osnovi ne sadrži natrijum.</w:t>
      </w:r>
    </w:p>
    <w:p w:rsidR="00261884" w:rsidRPr="00983B42" w:rsidRDefault="00261884" w:rsidP="00261884">
      <w:pPr>
        <w:tabs>
          <w:tab w:val="left" w:pos="540"/>
          <w:tab w:val="left" w:pos="569"/>
        </w:tabs>
        <w:rPr>
          <w:bCs/>
          <w:sz w:val="22"/>
          <w:szCs w:val="22"/>
          <w:lang w:val="sr-Latn-ME"/>
        </w:rPr>
      </w:pPr>
    </w:p>
    <w:p w:rsidR="00411B4B" w:rsidRPr="00983B42" w:rsidRDefault="00411B4B" w:rsidP="00480FB1">
      <w:pPr>
        <w:tabs>
          <w:tab w:val="left" w:pos="540"/>
          <w:tab w:val="left" w:pos="569"/>
        </w:tabs>
        <w:rPr>
          <w:b/>
          <w:bCs/>
          <w:sz w:val="22"/>
          <w:szCs w:val="22"/>
          <w:lang w:val="sr-Latn-ME"/>
        </w:rPr>
      </w:pPr>
      <w:r w:rsidRPr="00983B42">
        <w:rPr>
          <w:b/>
          <w:bCs/>
          <w:sz w:val="22"/>
          <w:szCs w:val="22"/>
          <w:lang w:val="sr-Latn-ME"/>
        </w:rPr>
        <w:t>4.5.</w:t>
      </w:r>
      <w:r w:rsidR="000D60CC" w:rsidRPr="00983B42">
        <w:rPr>
          <w:b/>
          <w:bCs/>
          <w:sz w:val="22"/>
          <w:szCs w:val="22"/>
          <w:lang w:val="sr-Latn-ME"/>
        </w:rPr>
        <w:tab/>
      </w:r>
      <w:r w:rsidRPr="00983B42">
        <w:rPr>
          <w:b/>
          <w:bCs/>
          <w:sz w:val="22"/>
          <w:szCs w:val="22"/>
          <w:lang w:val="sr-Latn-ME"/>
        </w:rPr>
        <w:t>Interakcije sa drugim ljekovima i druge vrste interakcija</w:t>
      </w:r>
    </w:p>
    <w:p w:rsidR="003477BE" w:rsidRPr="00983B42" w:rsidRDefault="003477BE" w:rsidP="00480FB1">
      <w:pPr>
        <w:tabs>
          <w:tab w:val="left" w:pos="540"/>
          <w:tab w:val="left" w:pos="569"/>
        </w:tabs>
        <w:rPr>
          <w:b/>
          <w:bCs/>
          <w:sz w:val="22"/>
          <w:szCs w:val="22"/>
          <w:lang w:val="sr-Latn-ME"/>
        </w:rPr>
      </w:pPr>
    </w:p>
    <w:p w:rsidR="00CF329D" w:rsidRPr="00983B42" w:rsidRDefault="003469BD" w:rsidP="00CF329D">
      <w:pPr>
        <w:jc w:val="both"/>
        <w:rPr>
          <w:iCs/>
          <w:sz w:val="22"/>
          <w:szCs w:val="22"/>
          <w:u w:val="single"/>
          <w:lang w:val="sr-Latn-ME"/>
        </w:rPr>
      </w:pPr>
      <w:r w:rsidRPr="00983B42">
        <w:rPr>
          <w:iCs/>
          <w:sz w:val="22"/>
          <w:szCs w:val="22"/>
          <w:u w:val="single"/>
          <w:lang w:val="sr-Latn-ME"/>
        </w:rPr>
        <w:t>L</w:t>
      </w:r>
      <w:r w:rsidR="009D3B1F" w:rsidRPr="00983B42">
        <w:rPr>
          <w:iCs/>
          <w:sz w:val="22"/>
          <w:szCs w:val="22"/>
          <w:u w:val="single"/>
          <w:lang w:val="sr-Latn-ME"/>
        </w:rPr>
        <w:t>jekovi s pH-ovisnom re</w:t>
      </w:r>
      <w:r w:rsidR="00CF329D" w:rsidRPr="00983B42">
        <w:rPr>
          <w:iCs/>
          <w:sz w:val="22"/>
          <w:szCs w:val="22"/>
          <w:u w:val="single"/>
          <w:lang w:val="sr-Latn-ME"/>
        </w:rPr>
        <w:t>sorpcijskom farmakokinetikom</w:t>
      </w:r>
    </w:p>
    <w:p w:rsidR="00E86F99" w:rsidRPr="00983B42" w:rsidRDefault="00E86F99" w:rsidP="00CF329D">
      <w:pPr>
        <w:jc w:val="both"/>
        <w:rPr>
          <w:iCs/>
          <w:sz w:val="22"/>
          <w:szCs w:val="22"/>
          <w:u w:val="single"/>
          <w:lang w:val="sr-Latn-ME"/>
        </w:rPr>
      </w:pPr>
    </w:p>
    <w:p w:rsidR="0043010D" w:rsidRPr="00983B42" w:rsidRDefault="00CF329D" w:rsidP="00CF329D">
      <w:pPr>
        <w:jc w:val="both"/>
        <w:rPr>
          <w:sz w:val="22"/>
          <w:szCs w:val="22"/>
          <w:lang w:val="sr-Latn-ME"/>
        </w:rPr>
      </w:pPr>
      <w:r w:rsidRPr="00983B42">
        <w:rPr>
          <w:sz w:val="22"/>
          <w:szCs w:val="22"/>
          <w:lang w:val="sr-Latn-ME"/>
        </w:rPr>
        <w:t>Zbog snažne i dugotr</w:t>
      </w:r>
      <w:r w:rsidR="0043010D" w:rsidRPr="00983B42">
        <w:rPr>
          <w:sz w:val="22"/>
          <w:szCs w:val="22"/>
          <w:lang w:val="sr-Latn-ME"/>
        </w:rPr>
        <w:t>ajne inhibicije sekrecije želudač</w:t>
      </w:r>
      <w:r w:rsidRPr="00983B42">
        <w:rPr>
          <w:sz w:val="22"/>
          <w:szCs w:val="22"/>
          <w:lang w:val="sr-Latn-ME"/>
        </w:rPr>
        <w:t>ne kis</w:t>
      </w:r>
      <w:r w:rsidR="0043010D" w:rsidRPr="00983B42">
        <w:rPr>
          <w:sz w:val="22"/>
          <w:szCs w:val="22"/>
          <w:lang w:val="sr-Latn-ME"/>
        </w:rPr>
        <w:t>j</w:t>
      </w:r>
      <w:r w:rsidRPr="00983B42">
        <w:rPr>
          <w:sz w:val="22"/>
          <w:szCs w:val="22"/>
          <w:lang w:val="sr-Latn-ME"/>
        </w:rPr>
        <w:t xml:space="preserve">eline, pantoprazol može </w:t>
      </w:r>
      <w:r w:rsidR="0043010D" w:rsidRPr="00983B42">
        <w:rPr>
          <w:sz w:val="22"/>
          <w:szCs w:val="22"/>
          <w:lang w:val="sr-Latn-ME"/>
        </w:rPr>
        <w:t xml:space="preserve">da </w:t>
      </w:r>
      <w:r w:rsidRPr="00983B42">
        <w:rPr>
          <w:sz w:val="22"/>
          <w:szCs w:val="22"/>
          <w:lang w:val="sr-Latn-ME"/>
        </w:rPr>
        <w:t>inter</w:t>
      </w:r>
      <w:r w:rsidR="0043010D" w:rsidRPr="00983B42">
        <w:rPr>
          <w:sz w:val="22"/>
          <w:szCs w:val="22"/>
          <w:lang w:val="sr-Latn-ME"/>
        </w:rPr>
        <w:t>ferira</w:t>
      </w:r>
      <w:r w:rsidR="00DC690B" w:rsidRPr="00983B42">
        <w:rPr>
          <w:sz w:val="22"/>
          <w:szCs w:val="22"/>
          <w:lang w:val="sr-Latn-ME"/>
        </w:rPr>
        <w:t xml:space="preserve"> s re</w:t>
      </w:r>
      <w:r w:rsidR="00A76553" w:rsidRPr="00983B42">
        <w:rPr>
          <w:sz w:val="22"/>
          <w:szCs w:val="22"/>
          <w:lang w:val="sr-Latn-ME"/>
        </w:rPr>
        <w:t>sorpcijom drugih l</w:t>
      </w:r>
      <w:r w:rsidRPr="00983B42">
        <w:rPr>
          <w:sz w:val="22"/>
          <w:szCs w:val="22"/>
          <w:lang w:val="sr-Latn-ME"/>
        </w:rPr>
        <w:t>jekova kod kojih je gastrični pH važna determinanta oralne raspoloživosti, npr. neki azolni antimikotici poput ketokonazola, itrakon</w:t>
      </w:r>
      <w:r w:rsidR="0043010D" w:rsidRPr="00983B42">
        <w:rPr>
          <w:sz w:val="22"/>
          <w:szCs w:val="22"/>
          <w:lang w:val="sr-Latn-ME"/>
        </w:rPr>
        <w:t>azola, posakonazola i</w:t>
      </w:r>
      <w:r w:rsidR="00F66BD5" w:rsidRPr="00983B42">
        <w:rPr>
          <w:sz w:val="22"/>
          <w:szCs w:val="22"/>
          <w:lang w:val="sr-Latn-ME"/>
        </w:rPr>
        <w:t xml:space="preserve"> drugi l</w:t>
      </w:r>
      <w:r w:rsidRPr="00983B42">
        <w:rPr>
          <w:sz w:val="22"/>
          <w:szCs w:val="22"/>
          <w:lang w:val="sr-Latn-ME"/>
        </w:rPr>
        <w:t>jekovi poput erlotiniba.</w:t>
      </w:r>
    </w:p>
    <w:p w:rsidR="00CF329D" w:rsidRPr="00983B42" w:rsidRDefault="00CF329D" w:rsidP="00CF329D">
      <w:pPr>
        <w:jc w:val="both"/>
        <w:rPr>
          <w:sz w:val="22"/>
          <w:szCs w:val="22"/>
          <w:lang w:val="sr-Latn-ME"/>
        </w:rPr>
      </w:pPr>
    </w:p>
    <w:p w:rsidR="00CF329D" w:rsidRPr="00983B42" w:rsidRDefault="00CF329D" w:rsidP="00CF329D">
      <w:pPr>
        <w:jc w:val="both"/>
        <w:rPr>
          <w:iCs/>
          <w:sz w:val="22"/>
          <w:szCs w:val="22"/>
          <w:u w:val="single"/>
          <w:lang w:val="sr-Latn-ME"/>
        </w:rPr>
      </w:pPr>
      <w:r w:rsidRPr="00983B42">
        <w:rPr>
          <w:iCs/>
          <w:sz w:val="22"/>
          <w:szCs w:val="22"/>
          <w:u w:val="single"/>
          <w:lang w:val="sr-Latn-ME"/>
        </w:rPr>
        <w:t xml:space="preserve">Inhibitori HIV </w:t>
      </w:r>
      <w:r w:rsidR="00E86F99" w:rsidRPr="00983B42">
        <w:rPr>
          <w:iCs/>
          <w:sz w:val="22"/>
          <w:szCs w:val="22"/>
          <w:u w:val="single"/>
          <w:lang w:val="sr-Latn-ME"/>
        </w:rPr>
        <w:t>protease</w:t>
      </w:r>
    </w:p>
    <w:p w:rsidR="00E86F99" w:rsidRPr="00983B42" w:rsidRDefault="00E86F99" w:rsidP="00CF329D">
      <w:pPr>
        <w:jc w:val="both"/>
        <w:rPr>
          <w:iCs/>
          <w:sz w:val="22"/>
          <w:szCs w:val="22"/>
          <w:u w:val="single"/>
          <w:lang w:val="sr-Latn-ME"/>
        </w:rPr>
      </w:pPr>
    </w:p>
    <w:p w:rsidR="00CF329D" w:rsidRPr="00983B42" w:rsidRDefault="00CF329D" w:rsidP="00CF329D">
      <w:pPr>
        <w:jc w:val="both"/>
        <w:rPr>
          <w:sz w:val="22"/>
          <w:szCs w:val="22"/>
          <w:lang w:val="sr-Latn-ME"/>
        </w:rPr>
      </w:pPr>
      <w:r w:rsidRPr="00983B42">
        <w:rPr>
          <w:sz w:val="22"/>
          <w:szCs w:val="22"/>
          <w:lang w:val="sr-Latn-ME"/>
        </w:rPr>
        <w:t>Ne preporučuje se istovremena primjena pantoprazola s i</w:t>
      </w:r>
      <w:r w:rsidR="00B60BC5" w:rsidRPr="00983B42">
        <w:rPr>
          <w:sz w:val="22"/>
          <w:szCs w:val="22"/>
          <w:lang w:val="sr-Latn-ME"/>
        </w:rPr>
        <w:t xml:space="preserve">nhibitorima HIV proteaze čija </w:t>
      </w:r>
      <w:r w:rsidRPr="00983B42">
        <w:rPr>
          <w:sz w:val="22"/>
          <w:szCs w:val="22"/>
          <w:lang w:val="sr-Latn-ME"/>
        </w:rPr>
        <w:t xml:space="preserve"> </w:t>
      </w:r>
      <w:r w:rsidR="00E63317" w:rsidRPr="00983B42">
        <w:rPr>
          <w:sz w:val="22"/>
          <w:szCs w:val="22"/>
          <w:lang w:val="sr-Latn-ME"/>
        </w:rPr>
        <w:t>re</w:t>
      </w:r>
      <w:r w:rsidR="00B60BC5" w:rsidRPr="00983B42">
        <w:rPr>
          <w:sz w:val="22"/>
          <w:szCs w:val="22"/>
          <w:lang w:val="sr-Latn-ME"/>
        </w:rPr>
        <w:t>sorpcija zavisi</w:t>
      </w:r>
      <w:r w:rsidRPr="00983B42">
        <w:rPr>
          <w:sz w:val="22"/>
          <w:szCs w:val="22"/>
          <w:lang w:val="sr-Latn-ME"/>
        </w:rPr>
        <w:t xml:space="preserve"> o</w:t>
      </w:r>
      <w:r w:rsidR="00B60BC5" w:rsidRPr="00983B42">
        <w:rPr>
          <w:sz w:val="22"/>
          <w:szCs w:val="22"/>
          <w:lang w:val="sr-Latn-ME"/>
        </w:rPr>
        <w:t>d kiselog intragastričnog</w:t>
      </w:r>
      <w:r w:rsidRPr="00983B42">
        <w:rPr>
          <w:sz w:val="22"/>
          <w:szCs w:val="22"/>
          <w:lang w:val="sr-Latn-ME"/>
        </w:rPr>
        <w:t xml:space="preserve"> pH, poput atazanavira, zbog značajnog smanjenja njihove bioraspoloživosti (</w:t>
      </w:r>
      <w:r w:rsidR="00E63317" w:rsidRPr="00983B42">
        <w:rPr>
          <w:sz w:val="22"/>
          <w:szCs w:val="22"/>
          <w:lang w:val="sr-Latn-ME"/>
        </w:rPr>
        <w:t>pogledati</w:t>
      </w:r>
      <w:r w:rsidRPr="00983B42">
        <w:rPr>
          <w:sz w:val="22"/>
          <w:szCs w:val="22"/>
          <w:lang w:val="sr-Latn-ME"/>
        </w:rPr>
        <w:t xml:space="preserve"> dio 4.4.).</w:t>
      </w:r>
    </w:p>
    <w:p w:rsidR="00CF329D" w:rsidRPr="00983B42" w:rsidRDefault="00CF329D" w:rsidP="00CF329D">
      <w:pPr>
        <w:jc w:val="both"/>
        <w:rPr>
          <w:sz w:val="22"/>
          <w:szCs w:val="22"/>
          <w:lang w:val="sr-Latn-ME"/>
        </w:rPr>
      </w:pPr>
    </w:p>
    <w:p w:rsidR="00CF329D" w:rsidRPr="00983B42" w:rsidRDefault="00CF329D" w:rsidP="00CF329D">
      <w:pPr>
        <w:jc w:val="both"/>
        <w:rPr>
          <w:sz w:val="22"/>
          <w:szCs w:val="22"/>
          <w:lang w:val="sr-Latn-ME"/>
        </w:rPr>
      </w:pPr>
      <w:r w:rsidRPr="00983B42">
        <w:rPr>
          <w:sz w:val="22"/>
          <w:szCs w:val="22"/>
          <w:lang w:val="sr-Latn-ME"/>
        </w:rPr>
        <w:t>Ako se prosudi da je kombinacija inhibitora HIV proteaze s inhibitorom protonske pumpe neizbježna, preporučuje se pažljivo kliničko praćenje (npr. količine virusa). Doza od 20 mg pantoprazola na dan ne smije biti prekoračena. Može biti potrebno podešavanje doze inhibitora HIV proteaze.</w:t>
      </w:r>
    </w:p>
    <w:p w:rsidR="00CF329D" w:rsidRPr="00983B42" w:rsidRDefault="00CF329D" w:rsidP="00CF329D">
      <w:pPr>
        <w:jc w:val="both"/>
        <w:rPr>
          <w:i/>
          <w:sz w:val="22"/>
          <w:szCs w:val="22"/>
          <w:lang w:val="sr-Latn-ME"/>
        </w:rPr>
      </w:pPr>
    </w:p>
    <w:p w:rsidR="00CF329D" w:rsidRPr="00983B42" w:rsidRDefault="00CF329D" w:rsidP="00CF329D">
      <w:pPr>
        <w:jc w:val="both"/>
        <w:rPr>
          <w:iCs/>
          <w:sz w:val="22"/>
          <w:szCs w:val="22"/>
          <w:u w:val="single"/>
          <w:lang w:val="sr-Latn-ME"/>
        </w:rPr>
      </w:pPr>
      <w:r w:rsidRPr="00983B42">
        <w:rPr>
          <w:iCs/>
          <w:sz w:val="22"/>
          <w:szCs w:val="22"/>
          <w:u w:val="single"/>
          <w:lang w:val="sr-Latn-ME"/>
        </w:rPr>
        <w:t xml:space="preserve">Kumarinski antikoagulansi (fenprokumon ili varfarin) </w:t>
      </w:r>
    </w:p>
    <w:p w:rsidR="00D7209C" w:rsidRPr="00983B42" w:rsidRDefault="00D7209C" w:rsidP="00CF329D">
      <w:pPr>
        <w:jc w:val="both"/>
        <w:rPr>
          <w:iCs/>
          <w:sz w:val="22"/>
          <w:szCs w:val="22"/>
          <w:u w:val="single"/>
          <w:lang w:val="sr-Latn-ME"/>
        </w:rPr>
      </w:pPr>
    </w:p>
    <w:p w:rsidR="00CF329D" w:rsidRPr="00983B42" w:rsidRDefault="00CF329D" w:rsidP="00CF329D">
      <w:pPr>
        <w:jc w:val="both"/>
        <w:rPr>
          <w:sz w:val="22"/>
          <w:szCs w:val="22"/>
          <w:lang w:val="sr-Latn-ME"/>
        </w:rPr>
      </w:pPr>
      <w:r w:rsidRPr="00983B42">
        <w:rPr>
          <w:sz w:val="22"/>
          <w:szCs w:val="22"/>
          <w:lang w:val="sr-Latn-ME"/>
        </w:rPr>
        <w:t xml:space="preserve">Istovremena primjena pantoprazola s varfarinom ili fenprokumonom nije uticala na farmakokinetiku varfarina, fenprokumona ili na INR. Međutim, bilo je izvještaja o povećanom INR-u i protrombinskom vremenu </w:t>
      </w:r>
      <w:r w:rsidR="006B4369" w:rsidRPr="00983B42">
        <w:rPr>
          <w:sz w:val="22"/>
          <w:szCs w:val="22"/>
          <w:lang w:val="sr-Latn-ME"/>
        </w:rPr>
        <w:t>kod</w:t>
      </w:r>
      <w:r w:rsidRPr="00983B42">
        <w:rPr>
          <w:sz w:val="22"/>
          <w:szCs w:val="22"/>
          <w:lang w:val="sr-Latn-ME"/>
        </w:rPr>
        <w:t xml:space="preserve"> pacijenata koji su istovremeno primali inhibitire protonske pumpe i varfarin ili fenprokumon. Povećanja INR-a i protrombinskog vremena mogu </w:t>
      </w:r>
      <w:r w:rsidR="00CF2769" w:rsidRPr="00983B42">
        <w:rPr>
          <w:sz w:val="22"/>
          <w:szCs w:val="22"/>
          <w:lang w:val="sr-Latn-ME"/>
        </w:rPr>
        <w:t>da dovedu</w:t>
      </w:r>
      <w:r w:rsidRPr="00983B42">
        <w:rPr>
          <w:sz w:val="22"/>
          <w:szCs w:val="22"/>
          <w:lang w:val="sr-Latn-ME"/>
        </w:rPr>
        <w:t xml:space="preserve"> do abnormalnog krvarenja, pa čak i do smrti. Pacijente liječene pantoprazolom i varfarinom ili fenprokumonom može biti potrebno pratiti u odnosu na povećanje INR-a i protrombinskog vremena. </w:t>
      </w:r>
    </w:p>
    <w:p w:rsidR="00CF329D" w:rsidRPr="00983B42" w:rsidRDefault="00CF329D" w:rsidP="00CF329D">
      <w:pPr>
        <w:pStyle w:val="Default"/>
        <w:jc w:val="both"/>
        <w:rPr>
          <w:color w:val="auto"/>
          <w:sz w:val="22"/>
          <w:szCs w:val="22"/>
          <w:lang w:val="sr-Latn-ME"/>
        </w:rPr>
      </w:pPr>
    </w:p>
    <w:p w:rsidR="00CF329D" w:rsidRPr="00983B42" w:rsidRDefault="00CF329D" w:rsidP="00CF329D">
      <w:pPr>
        <w:pStyle w:val="Default"/>
        <w:jc w:val="both"/>
        <w:rPr>
          <w:iCs/>
          <w:color w:val="auto"/>
          <w:sz w:val="22"/>
          <w:szCs w:val="22"/>
          <w:u w:val="single"/>
          <w:lang w:val="sr-Latn-ME"/>
        </w:rPr>
      </w:pPr>
      <w:r w:rsidRPr="00983B42">
        <w:rPr>
          <w:iCs/>
          <w:color w:val="auto"/>
          <w:sz w:val="22"/>
          <w:szCs w:val="22"/>
          <w:u w:val="single"/>
          <w:lang w:val="sr-Latn-ME"/>
        </w:rPr>
        <w:t xml:space="preserve">Metotreksat </w:t>
      </w:r>
    </w:p>
    <w:p w:rsidR="00CF329D" w:rsidRPr="00983B42" w:rsidRDefault="00CF329D" w:rsidP="00CF329D">
      <w:pPr>
        <w:jc w:val="both"/>
        <w:rPr>
          <w:sz w:val="22"/>
          <w:szCs w:val="22"/>
          <w:lang w:val="sr-Latn-ME"/>
        </w:rPr>
      </w:pPr>
      <w:r w:rsidRPr="00983B42">
        <w:rPr>
          <w:sz w:val="22"/>
          <w:szCs w:val="22"/>
          <w:lang w:val="sr-Latn-ME"/>
        </w:rPr>
        <w:t>Zabilježeno je da istovremena primjena visokih doza metotreksata (npr. 300 mg) i inhibitora protonske pumpe, može</w:t>
      </w:r>
      <w:r w:rsidR="005B3A26" w:rsidRPr="00983B42">
        <w:rPr>
          <w:sz w:val="22"/>
          <w:szCs w:val="22"/>
          <w:lang w:val="sr-Latn-ME"/>
        </w:rPr>
        <w:t xml:space="preserve"> da</w:t>
      </w:r>
      <w:r w:rsidR="00CF2769" w:rsidRPr="00983B42">
        <w:rPr>
          <w:sz w:val="22"/>
          <w:szCs w:val="22"/>
          <w:lang w:val="sr-Latn-ME"/>
        </w:rPr>
        <w:t xml:space="preserve"> povisi</w:t>
      </w:r>
      <w:r w:rsidRPr="00983B42">
        <w:rPr>
          <w:sz w:val="22"/>
          <w:szCs w:val="22"/>
          <w:lang w:val="sr-Latn-ME"/>
        </w:rPr>
        <w:t xml:space="preserve"> nivoe metotreksata </w:t>
      </w:r>
      <w:r w:rsidR="00852425" w:rsidRPr="00983B42">
        <w:rPr>
          <w:sz w:val="22"/>
          <w:szCs w:val="22"/>
          <w:lang w:val="sr-Latn-ME"/>
        </w:rPr>
        <w:t>kod</w:t>
      </w:r>
      <w:r w:rsidRPr="00983B42">
        <w:rPr>
          <w:sz w:val="22"/>
          <w:szCs w:val="22"/>
          <w:lang w:val="sr-Latn-ME"/>
        </w:rPr>
        <w:t xml:space="preserve"> nekih pacijenata. Stoga, u slučajevima gdje se primjenjuju visoke doze metotreksata, npr. kod </w:t>
      </w:r>
      <w:r w:rsidR="00CF2769" w:rsidRPr="00983B42">
        <w:rPr>
          <w:sz w:val="22"/>
          <w:szCs w:val="22"/>
          <w:lang w:val="sr-Latn-ME"/>
        </w:rPr>
        <w:t>karcinoma i psorijaze, biće</w:t>
      </w:r>
      <w:r w:rsidRPr="00983B42">
        <w:rPr>
          <w:sz w:val="22"/>
          <w:szCs w:val="22"/>
          <w:lang w:val="sr-Latn-ME"/>
        </w:rPr>
        <w:t xml:space="preserve"> potrebno </w:t>
      </w:r>
      <w:r w:rsidR="00CF2769" w:rsidRPr="00983B42">
        <w:rPr>
          <w:sz w:val="22"/>
          <w:szCs w:val="22"/>
          <w:lang w:val="sr-Latn-ME"/>
        </w:rPr>
        <w:t>da se razmotri</w:t>
      </w:r>
      <w:r w:rsidRPr="00983B42">
        <w:rPr>
          <w:sz w:val="22"/>
          <w:szCs w:val="22"/>
          <w:lang w:val="sr-Latn-ME"/>
        </w:rPr>
        <w:t xml:space="preserve"> privremeni prekid primjene pantoprazola.</w:t>
      </w:r>
    </w:p>
    <w:p w:rsidR="00CF329D" w:rsidRPr="00983B42" w:rsidRDefault="00CF329D" w:rsidP="00CF329D">
      <w:pPr>
        <w:jc w:val="both"/>
        <w:rPr>
          <w:sz w:val="22"/>
          <w:szCs w:val="22"/>
          <w:lang w:val="sr-Latn-ME"/>
        </w:rPr>
      </w:pPr>
    </w:p>
    <w:p w:rsidR="00CF329D" w:rsidRPr="00983B42" w:rsidRDefault="00CF329D" w:rsidP="00CF329D">
      <w:pPr>
        <w:jc w:val="both"/>
        <w:rPr>
          <w:iCs/>
          <w:sz w:val="22"/>
          <w:szCs w:val="22"/>
          <w:u w:val="single"/>
          <w:lang w:val="sr-Latn-ME"/>
        </w:rPr>
      </w:pPr>
      <w:r w:rsidRPr="00983B42">
        <w:rPr>
          <w:iCs/>
          <w:sz w:val="22"/>
          <w:szCs w:val="22"/>
          <w:u w:val="single"/>
          <w:lang w:val="sr-Latn-ME"/>
        </w:rPr>
        <w:t>Druge studije interakcija</w:t>
      </w:r>
    </w:p>
    <w:p w:rsidR="00755D66" w:rsidRPr="00983B42" w:rsidRDefault="00755D66" w:rsidP="00CF329D">
      <w:pPr>
        <w:jc w:val="both"/>
        <w:rPr>
          <w:iCs/>
          <w:sz w:val="22"/>
          <w:szCs w:val="22"/>
          <w:u w:val="single"/>
          <w:lang w:val="sr-Latn-ME"/>
        </w:rPr>
      </w:pPr>
    </w:p>
    <w:p w:rsidR="00CF329D" w:rsidRPr="00983B42" w:rsidRDefault="00CF329D" w:rsidP="00CF329D">
      <w:pPr>
        <w:jc w:val="both"/>
        <w:rPr>
          <w:sz w:val="22"/>
          <w:szCs w:val="22"/>
          <w:lang w:val="sr-Latn-ME"/>
        </w:rPr>
      </w:pPr>
      <w:r w:rsidRPr="00983B42">
        <w:rPr>
          <w:sz w:val="22"/>
          <w:szCs w:val="22"/>
          <w:lang w:val="sr-Latn-ME"/>
        </w:rPr>
        <w:t xml:space="preserve">Pantoprazol se </w:t>
      </w:r>
      <w:r w:rsidR="001D45B3" w:rsidRPr="00983B42">
        <w:rPr>
          <w:sz w:val="22"/>
          <w:szCs w:val="22"/>
          <w:lang w:val="sr-Latn-ME"/>
        </w:rPr>
        <w:t>opsežno metabolizuje</w:t>
      </w:r>
      <w:r w:rsidRPr="00983B42">
        <w:rPr>
          <w:sz w:val="22"/>
          <w:szCs w:val="22"/>
          <w:lang w:val="sr-Latn-ME"/>
        </w:rPr>
        <w:t xml:space="preserve"> u jetri posredstvom citohrom P450 enzimskog sistema. Glavni metabolički put je demetilacija putem CYP2C19, a ostali metabolički putevi uključuju oksidaciju putem CYP3A4.</w:t>
      </w:r>
    </w:p>
    <w:p w:rsidR="00CF329D" w:rsidRPr="00983B42" w:rsidRDefault="00CF329D" w:rsidP="00CF329D">
      <w:pPr>
        <w:jc w:val="both"/>
        <w:rPr>
          <w:sz w:val="22"/>
          <w:szCs w:val="22"/>
          <w:lang w:val="sr-Latn-ME"/>
        </w:rPr>
      </w:pPr>
    </w:p>
    <w:p w:rsidR="00CF329D" w:rsidRPr="00983B42" w:rsidRDefault="00B64B77" w:rsidP="00CF329D">
      <w:pPr>
        <w:jc w:val="both"/>
        <w:rPr>
          <w:sz w:val="22"/>
          <w:szCs w:val="22"/>
          <w:lang w:val="sr-Latn-ME"/>
        </w:rPr>
      </w:pPr>
      <w:r w:rsidRPr="00983B42">
        <w:rPr>
          <w:sz w:val="22"/>
          <w:szCs w:val="22"/>
          <w:lang w:val="sr-Latn-ME"/>
        </w:rPr>
        <w:t>Studije interakcija s l</w:t>
      </w:r>
      <w:r w:rsidR="001D45B3" w:rsidRPr="00983B42">
        <w:rPr>
          <w:sz w:val="22"/>
          <w:szCs w:val="22"/>
          <w:lang w:val="sr-Latn-ME"/>
        </w:rPr>
        <w:t>jekovima koji se takođe metabolizuju</w:t>
      </w:r>
      <w:r w:rsidR="00CF329D" w:rsidRPr="00983B42">
        <w:rPr>
          <w:sz w:val="22"/>
          <w:szCs w:val="22"/>
          <w:lang w:val="sr-Latn-ME"/>
        </w:rPr>
        <w:t xml:space="preserve"> na ovaj način, poput karbamazepina, diazepama, glibenklamida, nifedipina i oralnih kontraceptiva koji sadrže levonorgestrel i etinilestradiol, nisu otkrile klinički značajne interakcije. </w:t>
      </w:r>
    </w:p>
    <w:p w:rsidR="00CF329D" w:rsidRPr="00983B42" w:rsidRDefault="00CF329D" w:rsidP="00CF329D">
      <w:pPr>
        <w:jc w:val="both"/>
        <w:rPr>
          <w:sz w:val="22"/>
          <w:szCs w:val="22"/>
          <w:lang w:val="sr-Latn-ME"/>
        </w:rPr>
      </w:pPr>
    </w:p>
    <w:p w:rsidR="00CF329D" w:rsidRPr="00983B42" w:rsidRDefault="00CF329D" w:rsidP="00CF329D">
      <w:pPr>
        <w:jc w:val="both"/>
        <w:rPr>
          <w:sz w:val="22"/>
          <w:szCs w:val="22"/>
          <w:lang w:val="sr-Latn-ME"/>
        </w:rPr>
      </w:pPr>
      <w:r w:rsidRPr="00983B42">
        <w:rPr>
          <w:sz w:val="22"/>
          <w:szCs w:val="22"/>
          <w:lang w:val="sr-Latn-ME"/>
        </w:rPr>
        <w:t xml:space="preserve">Ne može </w:t>
      </w:r>
      <w:r w:rsidR="00450AF8" w:rsidRPr="00983B42">
        <w:rPr>
          <w:sz w:val="22"/>
          <w:szCs w:val="22"/>
          <w:lang w:val="sr-Latn-ME"/>
        </w:rPr>
        <w:t>d</w:t>
      </w:r>
      <w:r w:rsidR="001D45B3" w:rsidRPr="00983B42">
        <w:rPr>
          <w:sz w:val="22"/>
          <w:szCs w:val="22"/>
          <w:lang w:val="sr-Latn-ME"/>
        </w:rPr>
        <w:t>a se isključi</w:t>
      </w:r>
      <w:r w:rsidRPr="00983B42">
        <w:rPr>
          <w:sz w:val="22"/>
          <w:szCs w:val="22"/>
          <w:lang w:val="sr-Latn-ME"/>
        </w:rPr>
        <w:t xml:space="preserve"> inte</w:t>
      </w:r>
      <w:r w:rsidR="004212AE" w:rsidRPr="00983B42">
        <w:rPr>
          <w:sz w:val="22"/>
          <w:szCs w:val="22"/>
          <w:lang w:val="sr-Latn-ME"/>
        </w:rPr>
        <w:t>rakcija pantoprazola s drugim l</w:t>
      </w:r>
      <w:r w:rsidRPr="00983B42">
        <w:rPr>
          <w:sz w:val="22"/>
          <w:szCs w:val="22"/>
          <w:lang w:val="sr-Latn-ME"/>
        </w:rPr>
        <w:t xml:space="preserve">jekovima ili </w:t>
      </w:r>
      <w:r w:rsidR="001D45B3" w:rsidRPr="00983B42">
        <w:rPr>
          <w:sz w:val="22"/>
          <w:szCs w:val="22"/>
          <w:lang w:val="sr-Latn-ME"/>
        </w:rPr>
        <w:t>spojevima koji se metabolizuju</w:t>
      </w:r>
      <w:r w:rsidRPr="00983B42">
        <w:rPr>
          <w:sz w:val="22"/>
          <w:szCs w:val="22"/>
          <w:lang w:val="sr-Latn-ME"/>
        </w:rPr>
        <w:t xml:space="preserve"> putem istog enzimskog sistema.</w:t>
      </w:r>
    </w:p>
    <w:p w:rsidR="00CF329D" w:rsidRPr="00983B42" w:rsidRDefault="00CF329D" w:rsidP="00CF329D">
      <w:pPr>
        <w:jc w:val="both"/>
        <w:rPr>
          <w:sz w:val="22"/>
          <w:szCs w:val="22"/>
          <w:lang w:val="sr-Latn-ME"/>
        </w:rPr>
      </w:pPr>
    </w:p>
    <w:p w:rsidR="00CF329D" w:rsidRPr="00983B42" w:rsidRDefault="00CF329D" w:rsidP="00CF329D">
      <w:pPr>
        <w:jc w:val="both"/>
        <w:rPr>
          <w:sz w:val="22"/>
          <w:szCs w:val="22"/>
          <w:lang w:val="sr-Latn-ME"/>
        </w:rPr>
      </w:pPr>
      <w:r w:rsidRPr="00983B42">
        <w:rPr>
          <w:sz w:val="22"/>
          <w:szCs w:val="22"/>
          <w:lang w:val="sr-Latn-ME"/>
        </w:rPr>
        <w:t xml:space="preserve">Rezultati brojnih studija interakcija pokazuju da pantoprazol ne utiče na metabolizam aktivnih </w:t>
      </w:r>
      <w:r w:rsidR="001D45B3" w:rsidRPr="00983B42">
        <w:rPr>
          <w:sz w:val="22"/>
          <w:szCs w:val="22"/>
          <w:lang w:val="sr-Latn-ME"/>
        </w:rPr>
        <w:t>supstanci koje se metabolizuju</w:t>
      </w:r>
      <w:r w:rsidRPr="00983B42">
        <w:rPr>
          <w:sz w:val="22"/>
          <w:szCs w:val="22"/>
          <w:lang w:val="sr-Latn-ME"/>
        </w:rPr>
        <w:t xml:space="preserve"> putem enzima CYP1A2 (kao što su kofein, teofilin), CYP2C9 (kao što su piroksikam, diklofenak, naproksen), CYP2D6 (kao što je metoprolol), CYP2E1 (kao što j</w:t>
      </w:r>
      <w:r w:rsidR="00BA4CD5" w:rsidRPr="00983B42">
        <w:rPr>
          <w:sz w:val="22"/>
          <w:szCs w:val="22"/>
          <w:lang w:val="sr-Latn-ME"/>
        </w:rPr>
        <w:t>e etanol), niti interferira s re</w:t>
      </w:r>
      <w:r w:rsidRPr="00983B42">
        <w:rPr>
          <w:sz w:val="22"/>
          <w:szCs w:val="22"/>
          <w:lang w:val="sr-Latn-ME"/>
        </w:rPr>
        <w:t>sorpcijom digoksina povezanom s p-glikoproteinom.</w:t>
      </w:r>
    </w:p>
    <w:p w:rsidR="00CF329D" w:rsidRPr="00983B42" w:rsidRDefault="00CF329D" w:rsidP="00CF329D">
      <w:pPr>
        <w:jc w:val="both"/>
        <w:rPr>
          <w:sz w:val="22"/>
          <w:szCs w:val="22"/>
          <w:lang w:val="sr-Latn-ME"/>
        </w:rPr>
      </w:pPr>
      <w:r w:rsidRPr="00983B42">
        <w:rPr>
          <w:sz w:val="22"/>
          <w:szCs w:val="22"/>
          <w:lang w:val="sr-Latn-ME"/>
        </w:rPr>
        <w:lastRenderedPageBreak/>
        <w:t>Nisu zabilježene interakcije s istovremeno primijenjenim antacidima.</w:t>
      </w:r>
    </w:p>
    <w:p w:rsidR="00CF329D" w:rsidRPr="00983B42" w:rsidRDefault="00CF329D" w:rsidP="00CF329D">
      <w:pPr>
        <w:jc w:val="both"/>
        <w:rPr>
          <w:sz w:val="22"/>
          <w:szCs w:val="22"/>
          <w:lang w:val="sr-Latn-ME"/>
        </w:rPr>
      </w:pPr>
    </w:p>
    <w:p w:rsidR="00CF329D" w:rsidRPr="00983B42" w:rsidRDefault="00CF329D" w:rsidP="00CF329D">
      <w:pPr>
        <w:jc w:val="both"/>
        <w:rPr>
          <w:sz w:val="22"/>
          <w:szCs w:val="22"/>
          <w:lang w:val="sr-Latn-ME"/>
        </w:rPr>
      </w:pPr>
      <w:r w:rsidRPr="00983B42">
        <w:rPr>
          <w:sz w:val="22"/>
          <w:szCs w:val="22"/>
          <w:lang w:val="sr-Latn-ME"/>
        </w:rPr>
        <w:t xml:space="preserve">Studije </w:t>
      </w:r>
      <w:r w:rsidR="001D45B3" w:rsidRPr="00983B42">
        <w:rPr>
          <w:sz w:val="22"/>
          <w:szCs w:val="22"/>
          <w:lang w:val="sr-Latn-ME"/>
        </w:rPr>
        <w:t>interakcija takođe</w:t>
      </w:r>
      <w:r w:rsidRPr="00983B42">
        <w:rPr>
          <w:sz w:val="22"/>
          <w:szCs w:val="22"/>
          <w:lang w:val="sr-Latn-ME"/>
        </w:rPr>
        <w:t xml:space="preserve"> su </w:t>
      </w:r>
      <w:r w:rsidR="001D45B3" w:rsidRPr="00983B42">
        <w:rPr>
          <w:sz w:val="22"/>
          <w:szCs w:val="22"/>
          <w:lang w:val="sr-Latn-ME"/>
        </w:rPr>
        <w:t>s</w:t>
      </w:r>
      <w:r w:rsidRPr="00983B42">
        <w:rPr>
          <w:sz w:val="22"/>
          <w:szCs w:val="22"/>
          <w:lang w:val="sr-Latn-ME"/>
        </w:rPr>
        <w:t>provedene tokom istovremene primjene pantoprazola s odgovarajućim antibioticima (klaritromicin, metronidazol, amoksicilin). Nisu ustanovljene nikakve klinički značajne interakcije.</w:t>
      </w:r>
    </w:p>
    <w:p w:rsidR="00CF329D" w:rsidRPr="00983B42" w:rsidRDefault="00CF329D" w:rsidP="00CF329D">
      <w:pPr>
        <w:jc w:val="both"/>
        <w:rPr>
          <w:sz w:val="22"/>
          <w:szCs w:val="22"/>
          <w:lang w:val="sr-Latn-ME"/>
        </w:rPr>
      </w:pPr>
    </w:p>
    <w:p w:rsidR="00CF329D" w:rsidRPr="00983B42" w:rsidRDefault="00431294" w:rsidP="00CF329D">
      <w:pPr>
        <w:jc w:val="both"/>
        <w:rPr>
          <w:sz w:val="22"/>
          <w:szCs w:val="22"/>
          <w:lang w:val="sr-Latn-ME"/>
        </w:rPr>
      </w:pPr>
      <w:r w:rsidRPr="00983B42">
        <w:rPr>
          <w:i/>
          <w:iCs/>
          <w:sz w:val="22"/>
          <w:szCs w:val="22"/>
          <w:lang w:val="sr-Latn-ME"/>
        </w:rPr>
        <w:t>L</w:t>
      </w:r>
      <w:r w:rsidR="00CF329D" w:rsidRPr="00983B42">
        <w:rPr>
          <w:i/>
          <w:iCs/>
          <w:sz w:val="22"/>
          <w:szCs w:val="22"/>
          <w:lang w:val="sr-Latn-ME"/>
        </w:rPr>
        <w:t>jekov</w:t>
      </w:r>
      <w:r w:rsidR="005B00DA" w:rsidRPr="00983B42">
        <w:rPr>
          <w:i/>
          <w:iCs/>
          <w:sz w:val="22"/>
          <w:szCs w:val="22"/>
          <w:lang w:val="sr-Latn-ME"/>
        </w:rPr>
        <w:t>i koji inhibiraju ili indukuju</w:t>
      </w:r>
      <w:r w:rsidR="00CF329D" w:rsidRPr="00983B42">
        <w:rPr>
          <w:i/>
          <w:iCs/>
          <w:sz w:val="22"/>
          <w:szCs w:val="22"/>
          <w:lang w:val="sr-Latn-ME"/>
        </w:rPr>
        <w:t xml:space="preserve"> CYP2C19</w:t>
      </w:r>
      <w:r w:rsidR="00CF329D" w:rsidRPr="00983B42">
        <w:rPr>
          <w:sz w:val="22"/>
          <w:szCs w:val="22"/>
          <w:lang w:val="sr-Latn-ME"/>
        </w:rPr>
        <w:t>:</w:t>
      </w:r>
    </w:p>
    <w:p w:rsidR="00CF329D" w:rsidRPr="00983B42" w:rsidRDefault="00CF329D" w:rsidP="00CF329D">
      <w:pPr>
        <w:jc w:val="both"/>
        <w:rPr>
          <w:sz w:val="22"/>
          <w:szCs w:val="22"/>
          <w:lang w:val="sr-Latn-ME"/>
        </w:rPr>
      </w:pPr>
    </w:p>
    <w:p w:rsidR="00CF329D" w:rsidRPr="00983B42" w:rsidRDefault="00CF329D" w:rsidP="00CF329D">
      <w:pPr>
        <w:jc w:val="both"/>
        <w:rPr>
          <w:sz w:val="22"/>
          <w:szCs w:val="22"/>
          <w:lang w:val="sr-Latn-ME"/>
        </w:rPr>
      </w:pPr>
      <w:r w:rsidRPr="00983B42">
        <w:rPr>
          <w:sz w:val="22"/>
          <w:szCs w:val="22"/>
          <w:lang w:val="sr-Latn-ME"/>
        </w:rPr>
        <w:t xml:space="preserve">Inhibitori CYP2C19, poput fluvoksamina, mogu </w:t>
      </w:r>
      <w:r w:rsidR="005B00DA" w:rsidRPr="00983B42">
        <w:rPr>
          <w:sz w:val="22"/>
          <w:szCs w:val="22"/>
          <w:lang w:val="sr-Latn-ME"/>
        </w:rPr>
        <w:t>da povećaju</w:t>
      </w:r>
      <w:r w:rsidRPr="00983B42">
        <w:rPr>
          <w:sz w:val="22"/>
          <w:szCs w:val="22"/>
          <w:lang w:val="sr-Latn-ME"/>
        </w:rPr>
        <w:t xml:space="preserve"> sistemsku ekspoziciju pantoprazola. Smanjenje doze može </w:t>
      </w:r>
      <w:r w:rsidR="005B00DA" w:rsidRPr="00983B42">
        <w:rPr>
          <w:sz w:val="22"/>
          <w:szCs w:val="22"/>
          <w:lang w:val="sr-Latn-ME"/>
        </w:rPr>
        <w:t>da se razmotri</w:t>
      </w:r>
      <w:r w:rsidRPr="00983B42">
        <w:rPr>
          <w:sz w:val="22"/>
          <w:szCs w:val="22"/>
          <w:lang w:val="sr-Latn-ME"/>
        </w:rPr>
        <w:t xml:space="preserve"> za pacijente koji se dugotrajno liječe visokim dozama pantopra</w:t>
      </w:r>
      <w:r w:rsidR="005B00DA" w:rsidRPr="00983B42">
        <w:rPr>
          <w:sz w:val="22"/>
          <w:szCs w:val="22"/>
          <w:lang w:val="sr-Latn-ME"/>
        </w:rPr>
        <w:t>zola ili za pacijente s oštećenjem jetre.</w:t>
      </w:r>
    </w:p>
    <w:p w:rsidR="00CF329D" w:rsidRPr="00983B42" w:rsidRDefault="00CF329D" w:rsidP="00CF329D">
      <w:pPr>
        <w:jc w:val="both"/>
        <w:rPr>
          <w:sz w:val="22"/>
          <w:szCs w:val="22"/>
          <w:lang w:val="sr-Latn-ME"/>
        </w:rPr>
      </w:pPr>
    </w:p>
    <w:p w:rsidR="00CF329D" w:rsidRPr="00983B42" w:rsidRDefault="00CF329D" w:rsidP="00CF329D">
      <w:pPr>
        <w:jc w:val="both"/>
        <w:rPr>
          <w:sz w:val="22"/>
          <w:szCs w:val="22"/>
          <w:lang w:val="sr-Latn-ME"/>
        </w:rPr>
      </w:pPr>
      <w:r w:rsidRPr="00983B42">
        <w:rPr>
          <w:sz w:val="22"/>
          <w:szCs w:val="22"/>
          <w:lang w:val="sr-Latn-ME"/>
        </w:rPr>
        <w:t>Induktori enzima koji utiču na CYP2C19 i CYP3A4, poput rifampicina i kantariona (</w:t>
      </w:r>
      <w:r w:rsidRPr="00983B42">
        <w:rPr>
          <w:i/>
          <w:sz w:val="22"/>
          <w:szCs w:val="22"/>
          <w:lang w:val="sr-Latn-ME"/>
        </w:rPr>
        <w:t>Hypericum perforatum</w:t>
      </w:r>
      <w:r w:rsidRPr="00983B42">
        <w:rPr>
          <w:sz w:val="22"/>
          <w:szCs w:val="22"/>
          <w:lang w:val="sr-Latn-ME"/>
        </w:rPr>
        <w:t xml:space="preserve">), mogu </w:t>
      </w:r>
      <w:r w:rsidR="005B00DA" w:rsidRPr="00983B42">
        <w:rPr>
          <w:sz w:val="22"/>
          <w:szCs w:val="22"/>
          <w:lang w:val="sr-Latn-ME"/>
        </w:rPr>
        <w:t>da smanje</w:t>
      </w:r>
      <w:r w:rsidRPr="00983B42">
        <w:rPr>
          <w:sz w:val="22"/>
          <w:szCs w:val="22"/>
          <w:lang w:val="sr-Latn-ME"/>
        </w:rPr>
        <w:t xml:space="preserve"> plazmatske koncentracije inhibtora proton</w:t>
      </w:r>
      <w:r w:rsidR="005B00DA" w:rsidRPr="00983B42">
        <w:rPr>
          <w:sz w:val="22"/>
          <w:szCs w:val="22"/>
          <w:lang w:val="sr-Latn-ME"/>
        </w:rPr>
        <w:t>ske pumpe koji se metabolizuju</w:t>
      </w:r>
      <w:r w:rsidRPr="00983B42">
        <w:rPr>
          <w:sz w:val="22"/>
          <w:szCs w:val="22"/>
          <w:lang w:val="sr-Latn-ME"/>
        </w:rPr>
        <w:t xml:space="preserve"> putem ovih enzimskih sistema.</w:t>
      </w:r>
    </w:p>
    <w:p w:rsidR="0072020E" w:rsidRPr="00983B42" w:rsidRDefault="0072020E" w:rsidP="00480FB1">
      <w:pPr>
        <w:tabs>
          <w:tab w:val="left" w:pos="540"/>
          <w:tab w:val="left" w:pos="569"/>
        </w:tabs>
        <w:rPr>
          <w:bCs/>
          <w:sz w:val="22"/>
          <w:szCs w:val="22"/>
          <w:lang w:val="sr-Latn-ME"/>
        </w:rPr>
      </w:pPr>
    </w:p>
    <w:p w:rsidR="0072020E" w:rsidRPr="00983B42" w:rsidRDefault="0072020E" w:rsidP="00480FB1">
      <w:pPr>
        <w:tabs>
          <w:tab w:val="left" w:pos="540"/>
          <w:tab w:val="left" w:pos="569"/>
        </w:tabs>
        <w:rPr>
          <w:b/>
          <w:sz w:val="22"/>
          <w:szCs w:val="22"/>
          <w:lang w:val="sr-Latn-ME"/>
        </w:rPr>
      </w:pPr>
      <w:r w:rsidRPr="00983B42">
        <w:rPr>
          <w:b/>
          <w:bCs/>
          <w:sz w:val="22"/>
          <w:szCs w:val="22"/>
          <w:lang w:val="sr-Latn-ME"/>
        </w:rPr>
        <w:t xml:space="preserve">4.6. </w:t>
      </w:r>
      <w:r w:rsidR="00480FB1" w:rsidRPr="00983B42">
        <w:rPr>
          <w:b/>
          <w:bCs/>
          <w:sz w:val="22"/>
          <w:szCs w:val="22"/>
          <w:lang w:val="sr-Latn-ME"/>
        </w:rPr>
        <w:tab/>
      </w:r>
      <w:r w:rsidR="006D20A5" w:rsidRPr="00983B42">
        <w:rPr>
          <w:b/>
          <w:sz w:val="22"/>
          <w:szCs w:val="22"/>
          <w:lang w:val="sr-Latn-ME"/>
        </w:rPr>
        <w:t>Plodnost, trudnoća i dojenje</w:t>
      </w:r>
    </w:p>
    <w:p w:rsidR="00882CDA" w:rsidRPr="00983B42" w:rsidRDefault="00882CDA" w:rsidP="00480FB1">
      <w:pPr>
        <w:tabs>
          <w:tab w:val="left" w:pos="540"/>
          <w:tab w:val="left" w:pos="569"/>
        </w:tabs>
        <w:rPr>
          <w:b/>
          <w:sz w:val="22"/>
          <w:szCs w:val="22"/>
          <w:lang w:val="sr-Latn-ME"/>
        </w:rPr>
      </w:pPr>
    </w:p>
    <w:p w:rsidR="00882CDA" w:rsidRPr="00983B42" w:rsidRDefault="00882CDA" w:rsidP="00882CDA">
      <w:pPr>
        <w:jc w:val="both"/>
        <w:rPr>
          <w:iCs/>
          <w:sz w:val="22"/>
          <w:szCs w:val="22"/>
          <w:u w:val="single"/>
          <w:lang w:val="sr-Latn-ME"/>
        </w:rPr>
      </w:pPr>
      <w:r w:rsidRPr="00983B42">
        <w:rPr>
          <w:iCs/>
          <w:sz w:val="22"/>
          <w:szCs w:val="22"/>
          <w:u w:val="single"/>
          <w:lang w:val="sr-Latn-ME"/>
        </w:rPr>
        <w:t>Trudnoća</w:t>
      </w:r>
    </w:p>
    <w:p w:rsidR="00882CDA" w:rsidRPr="00983B42" w:rsidRDefault="00882CDA" w:rsidP="00882CDA">
      <w:pPr>
        <w:jc w:val="both"/>
        <w:rPr>
          <w:sz w:val="22"/>
          <w:szCs w:val="22"/>
          <w:lang w:val="sr-Latn-ME"/>
        </w:rPr>
      </w:pPr>
      <w:r w:rsidRPr="00983B42">
        <w:rPr>
          <w:sz w:val="22"/>
          <w:szCs w:val="22"/>
          <w:lang w:val="sr-Latn-ME"/>
        </w:rPr>
        <w:t>Umjerena količina podataka koji se odnose na trudnice (između 300 i 1000 ishoda trudnoće), ne upućuje na postojanje malformativne ili feto/neonatalne toksičnosti pantoprazola.</w:t>
      </w:r>
    </w:p>
    <w:p w:rsidR="00882CDA" w:rsidRPr="00983B42" w:rsidRDefault="00882CDA" w:rsidP="00882CDA">
      <w:pPr>
        <w:jc w:val="both"/>
        <w:rPr>
          <w:sz w:val="22"/>
          <w:szCs w:val="22"/>
          <w:lang w:val="sr-Latn-ME"/>
        </w:rPr>
      </w:pPr>
    </w:p>
    <w:p w:rsidR="00882CDA" w:rsidRPr="00983B42" w:rsidRDefault="00882CDA" w:rsidP="00882CDA">
      <w:pPr>
        <w:jc w:val="both"/>
        <w:rPr>
          <w:sz w:val="22"/>
          <w:szCs w:val="22"/>
          <w:lang w:val="sr-Latn-ME"/>
        </w:rPr>
      </w:pPr>
      <w:r w:rsidRPr="00983B42">
        <w:rPr>
          <w:sz w:val="22"/>
          <w:szCs w:val="22"/>
          <w:lang w:val="sr-Latn-ME"/>
        </w:rPr>
        <w:t>Studije na životinjama otkrile su reproduktivnu toksičnost (</w:t>
      </w:r>
      <w:r w:rsidR="00B21E55" w:rsidRPr="00983B42">
        <w:rPr>
          <w:sz w:val="22"/>
          <w:szCs w:val="22"/>
          <w:lang w:val="sr-Latn-ME"/>
        </w:rPr>
        <w:t>pogledati</w:t>
      </w:r>
      <w:r w:rsidRPr="00983B42">
        <w:rPr>
          <w:sz w:val="22"/>
          <w:szCs w:val="22"/>
          <w:lang w:val="sr-Latn-ME"/>
        </w:rPr>
        <w:t xml:space="preserve"> dio 5.3.).</w:t>
      </w:r>
    </w:p>
    <w:p w:rsidR="00882CDA" w:rsidRPr="00983B42" w:rsidRDefault="00882CDA" w:rsidP="00882CDA">
      <w:pPr>
        <w:jc w:val="both"/>
        <w:rPr>
          <w:sz w:val="22"/>
          <w:szCs w:val="22"/>
          <w:lang w:val="sr-Latn-ME"/>
        </w:rPr>
      </w:pPr>
    </w:p>
    <w:p w:rsidR="00882CDA" w:rsidRPr="00983B42" w:rsidRDefault="00882CDA" w:rsidP="00882CDA">
      <w:pPr>
        <w:jc w:val="both"/>
        <w:rPr>
          <w:sz w:val="22"/>
          <w:szCs w:val="22"/>
          <w:lang w:val="sr-Latn-ME"/>
        </w:rPr>
      </w:pPr>
      <w:r w:rsidRPr="00983B42">
        <w:rPr>
          <w:sz w:val="22"/>
          <w:szCs w:val="22"/>
          <w:lang w:val="sr-Latn-ME"/>
        </w:rPr>
        <w:t>Kao mjera o</w:t>
      </w:r>
      <w:r w:rsidR="005B00DA" w:rsidRPr="00983B42">
        <w:rPr>
          <w:sz w:val="22"/>
          <w:szCs w:val="22"/>
          <w:lang w:val="sr-Latn-ME"/>
        </w:rPr>
        <w:t>preza, preferira se izbjegavanje primjene</w:t>
      </w:r>
      <w:r w:rsidR="007547DE" w:rsidRPr="00983B42">
        <w:rPr>
          <w:sz w:val="22"/>
          <w:szCs w:val="22"/>
          <w:lang w:val="sr-Latn-ME"/>
        </w:rPr>
        <w:t xml:space="preserve"> </w:t>
      </w:r>
      <w:r w:rsidR="00954977" w:rsidRPr="00983B42">
        <w:rPr>
          <w:sz w:val="22"/>
          <w:szCs w:val="22"/>
          <w:lang w:val="sr-Latn-ME"/>
        </w:rPr>
        <w:t xml:space="preserve">lijeka </w:t>
      </w:r>
      <w:r w:rsidRPr="00983B42">
        <w:rPr>
          <w:sz w:val="22"/>
          <w:szCs w:val="22"/>
          <w:lang w:val="sr-Latn-ME"/>
        </w:rPr>
        <w:t xml:space="preserve"> FENIX tokom trudnoće.</w:t>
      </w:r>
    </w:p>
    <w:p w:rsidR="00882CDA" w:rsidRPr="00983B42" w:rsidRDefault="00882CDA" w:rsidP="00882CDA">
      <w:pPr>
        <w:jc w:val="both"/>
        <w:rPr>
          <w:i/>
          <w:sz w:val="22"/>
          <w:szCs w:val="22"/>
          <w:lang w:val="sr-Latn-ME"/>
        </w:rPr>
      </w:pPr>
    </w:p>
    <w:p w:rsidR="00707A4E" w:rsidRPr="00983B42" w:rsidRDefault="00882CDA" w:rsidP="00882CDA">
      <w:pPr>
        <w:jc w:val="both"/>
        <w:rPr>
          <w:iCs/>
          <w:sz w:val="22"/>
          <w:szCs w:val="22"/>
          <w:u w:val="single"/>
          <w:lang w:val="sr-Latn-ME"/>
        </w:rPr>
      </w:pPr>
      <w:r w:rsidRPr="00983B42">
        <w:rPr>
          <w:iCs/>
          <w:sz w:val="22"/>
          <w:szCs w:val="22"/>
          <w:u w:val="single"/>
          <w:lang w:val="sr-Latn-ME"/>
        </w:rPr>
        <w:t>Dojenje</w:t>
      </w:r>
    </w:p>
    <w:p w:rsidR="00882CDA" w:rsidRPr="00983B42" w:rsidRDefault="00882CDA" w:rsidP="006D1371">
      <w:pPr>
        <w:jc w:val="both"/>
        <w:rPr>
          <w:sz w:val="22"/>
          <w:szCs w:val="22"/>
          <w:lang w:val="sr-Latn-ME"/>
        </w:rPr>
      </w:pPr>
      <w:r w:rsidRPr="00983B42">
        <w:rPr>
          <w:sz w:val="22"/>
          <w:szCs w:val="22"/>
          <w:lang w:val="sr-Latn-ME"/>
        </w:rPr>
        <w:t>St</w:t>
      </w:r>
      <w:r w:rsidR="005B00DA" w:rsidRPr="00983B42">
        <w:rPr>
          <w:sz w:val="22"/>
          <w:szCs w:val="22"/>
          <w:lang w:val="sr-Latn-ME"/>
        </w:rPr>
        <w:t>udije na životinjama su pokazale</w:t>
      </w:r>
      <w:r w:rsidRPr="00983B42">
        <w:rPr>
          <w:sz w:val="22"/>
          <w:szCs w:val="22"/>
          <w:lang w:val="sr-Latn-ME"/>
        </w:rPr>
        <w:t xml:space="preserve"> da se pantoprazol izlučuje u majčino mlijeko. Nema dovoljno podataka o izlučivanju pantoprazola u humano majčino mlijeko, ali je ono zabilježeno. Ne može </w:t>
      </w:r>
      <w:r w:rsidR="005B00DA" w:rsidRPr="00983B42">
        <w:rPr>
          <w:sz w:val="22"/>
          <w:szCs w:val="22"/>
          <w:lang w:val="sr-Latn-ME"/>
        </w:rPr>
        <w:t>da se isključi</w:t>
      </w:r>
      <w:r w:rsidRPr="00983B42">
        <w:rPr>
          <w:sz w:val="22"/>
          <w:szCs w:val="22"/>
          <w:lang w:val="sr-Latn-ME"/>
        </w:rPr>
        <w:t xml:space="preserve"> rizik za novorođenčad/dojenčad. Stoga, pri donošenju odluke o eventualnom prekidu dojenja ili prekidu terapije</w:t>
      </w:r>
      <w:r w:rsidR="0041106D" w:rsidRPr="00983B42">
        <w:rPr>
          <w:sz w:val="22"/>
          <w:szCs w:val="22"/>
          <w:lang w:val="sr-Latn-ME"/>
        </w:rPr>
        <w:t xml:space="preserve"> lijekom </w:t>
      </w:r>
      <w:r w:rsidRPr="00983B42">
        <w:rPr>
          <w:sz w:val="22"/>
          <w:szCs w:val="22"/>
          <w:lang w:val="sr-Latn-ME"/>
        </w:rPr>
        <w:t xml:space="preserve">FENIX, treba uzeti u obzir dobrobit dojenja za dijete i dobrobit liječenja </w:t>
      </w:r>
      <w:r w:rsidR="00E327AC" w:rsidRPr="00983B42">
        <w:rPr>
          <w:sz w:val="22"/>
          <w:szCs w:val="22"/>
          <w:lang w:val="sr-Latn-ME"/>
        </w:rPr>
        <w:t xml:space="preserve">lijekom </w:t>
      </w:r>
      <w:r w:rsidRPr="00983B42">
        <w:rPr>
          <w:sz w:val="22"/>
          <w:szCs w:val="22"/>
          <w:lang w:val="sr-Latn-ME"/>
        </w:rPr>
        <w:t>FENIX za majku.</w:t>
      </w:r>
    </w:p>
    <w:p w:rsidR="00882CDA" w:rsidRPr="00983B42" w:rsidRDefault="00882CDA" w:rsidP="00882CDA">
      <w:pPr>
        <w:jc w:val="both"/>
        <w:rPr>
          <w:sz w:val="22"/>
          <w:szCs w:val="22"/>
          <w:lang w:val="sr-Latn-ME"/>
        </w:rPr>
      </w:pPr>
    </w:p>
    <w:p w:rsidR="00882CDA" w:rsidRPr="00983B42" w:rsidRDefault="00882CDA" w:rsidP="00882CDA">
      <w:pPr>
        <w:jc w:val="both"/>
        <w:rPr>
          <w:iCs/>
          <w:sz w:val="22"/>
          <w:szCs w:val="22"/>
          <w:u w:val="single"/>
          <w:lang w:val="sr-Latn-ME"/>
        </w:rPr>
      </w:pPr>
      <w:r w:rsidRPr="00983B42">
        <w:rPr>
          <w:iCs/>
          <w:sz w:val="22"/>
          <w:szCs w:val="22"/>
          <w:u w:val="single"/>
          <w:lang w:val="sr-Latn-ME"/>
        </w:rPr>
        <w:t>Plodnost</w:t>
      </w:r>
    </w:p>
    <w:p w:rsidR="00882CDA" w:rsidRPr="00983B42" w:rsidRDefault="00882CDA" w:rsidP="00882CDA">
      <w:pPr>
        <w:jc w:val="both"/>
        <w:rPr>
          <w:sz w:val="22"/>
          <w:szCs w:val="22"/>
          <w:lang w:val="sr-Latn-ME"/>
        </w:rPr>
      </w:pPr>
      <w:r w:rsidRPr="00983B42">
        <w:rPr>
          <w:sz w:val="22"/>
          <w:szCs w:val="22"/>
          <w:lang w:val="sr-Latn-ME"/>
        </w:rPr>
        <w:t>U studijama na životinjama nije bilo dokaza o oštećenoj plodnosti nakon primjene pantoprazola (</w:t>
      </w:r>
      <w:r w:rsidR="00E327AC" w:rsidRPr="00983B42">
        <w:rPr>
          <w:sz w:val="22"/>
          <w:szCs w:val="22"/>
          <w:lang w:val="sr-Latn-ME"/>
        </w:rPr>
        <w:t xml:space="preserve">pogledati </w:t>
      </w:r>
      <w:r w:rsidRPr="00983B42">
        <w:rPr>
          <w:sz w:val="22"/>
          <w:szCs w:val="22"/>
          <w:lang w:val="sr-Latn-ME"/>
        </w:rPr>
        <w:t>dio 5.3.).</w:t>
      </w:r>
    </w:p>
    <w:p w:rsidR="002031B3" w:rsidRPr="00983B42" w:rsidRDefault="002031B3" w:rsidP="00882CDA">
      <w:pPr>
        <w:tabs>
          <w:tab w:val="left" w:pos="540"/>
          <w:tab w:val="left" w:pos="569"/>
        </w:tabs>
        <w:jc w:val="both"/>
        <w:rPr>
          <w:sz w:val="22"/>
          <w:szCs w:val="22"/>
          <w:u w:val="single"/>
          <w:lang w:val="sr-Latn-ME"/>
        </w:rPr>
      </w:pPr>
    </w:p>
    <w:p w:rsidR="0072020E" w:rsidRPr="00983B42" w:rsidRDefault="0072020E" w:rsidP="00396DFD">
      <w:pPr>
        <w:tabs>
          <w:tab w:val="left" w:pos="540"/>
          <w:tab w:val="left" w:pos="569"/>
        </w:tabs>
        <w:ind w:left="540" w:hanging="540"/>
        <w:rPr>
          <w:b/>
          <w:bCs/>
          <w:sz w:val="22"/>
          <w:szCs w:val="22"/>
          <w:lang w:val="sr-Latn-ME"/>
        </w:rPr>
      </w:pPr>
      <w:r w:rsidRPr="00983B42">
        <w:rPr>
          <w:b/>
          <w:bCs/>
          <w:sz w:val="22"/>
          <w:szCs w:val="22"/>
          <w:lang w:val="sr-Latn-ME"/>
        </w:rPr>
        <w:t xml:space="preserve">4.7. </w:t>
      </w:r>
      <w:r w:rsidR="00480FB1" w:rsidRPr="00983B42">
        <w:rPr>
          <w:b/>
          <w:bCs/>
          <w:sz w:val="22"/>
          <w:szCs w:val="22"/>
          <w:lang w:val="sr-Latn-ME"/>
        </w:rPr>
        <w:tab/>
      </w:r>
      <w:r w:rsidRPr="00983B42">
        <w:rPr>
          <w:b/>
          <w:bCs/>
          <w:sz w:val="22"/>
          <w:szCs w:val="22"/>
          <w:lang w:val="sr-Latn-ME"/>
        </w:rPr>
        <w:t xml:space="preserve">Uticaj na </w:t>
      </w:r>
      <w:r w:rsidR="002031B3" w:rsidRPr="00983B42">
        <w:rPr>
          <w:b/>
          <w:bCs/>
          <w:sz w:val="22"/>
          <w:szCs w:val="22"/>
          <w:lang w:val="sr-Latn-ME"/>
        </w:rPr>
        <w:t xml:space="preserve">sposobnost </w:t>
      </w:r>
      <w:r w:rsidR="00F34554" w:rsidRPr="00983B42">
        <w:rPr>
          <w:b/>
          <w:bCs/>
          <w:sz w:val="22"/>
          <w:szCs w:val="22"/>
          <w:lang w:val="sr-Latn-ME"/>
        </w:rPr>
        <w:t>upravljanja vozili</w:t>
      </w:r>
      <w:r w:rsidRPr="00983B42">
        <w:rPr>
          <w:b/>
          <w:bCs/>
          <w:sz w:val="22"/>
          <w:szCs w:val="22"/>
          <w:lang w:val="sr-Latn-ME"/>
        </w:rPr>
        <w:t>m</w:t>
      </w:r>
      <w:r w:rsidR="00F34554" w:rsidRPr="00983B42">
        <w:rPr>
          <w:b/>
          <w:bCs/>
          <w:sz w:val="22"/>
          <w:szCs w:val="22"/>
          <w:lang w:val="sr-Latn-ME"/>
        </w:rPr>
        <w:t>a</w:t>
      </w:r>
      <w:r w:rsidRPr="00983B42">
        <w:rPr>
          <w:b/>
          <w:bCs/>
          <w:sz w:val="22"/>
          <w:szCs w:val="22"/>
          <w:lang w:val="sr-Latn-ME"/>
        </w:rPr>
        <w:t xml:space="preserve"> i </w:t>
      </w:r>
      <w:r w:rsidR="000D3449" w:rsidRPr="00983B42">
        <w:rPr>
          <w:b/>
          <w:bCs/>
          <w:sz w:val="22"/>
          <w:szCs w:val="22"/>
          <w:lang w:val="sr-Latn-ME"/>
        </w:rPr>
        <w:t xml:space="preserve">rukovanje </w:t>
      </w:r>
      <w:r w:rsidRPr="00983B42">
        <w:rPr>
          <w:b/>
          <w:bCs/>
          <w:sz w:val="22"/>
          <w:szCs w:val="22"/>
          <w:lang w:val="sr-Latn-ME"/>
        </w:rPr>
        <w:t>mašinama</w:t>
      </w:r>
    </w:p>
    <w:p w:rsidR="0072020E" w:rsidRPr="00983B42" w:rsidRDefault="0072020E" w:rsidP="00480FB1">
      <w:pPr>
        <w:tabs>
          <w:tab w:val="left" w:pos="540"/>
          <w:tab w:val="left" w:pos="569"/>
        </w:tabs>
        <w:rPr>
          <w:b/>
          <w:bCs/>
          <w:sz w:val="22"/>
          <w:szCs w:val="22"/>
          <w:lang w:val="sr-Latn-ME"/>
        </w:rPr>
      </w:pPr>
    </w:p>
    <w:p w:rsidR="00882CDA" w:rsidRPr="00983B42" w:rsidRDefault="00882CDA" w:rsidP="00882CDA">
      <w:pPr>
        <w:jc w:val="both"/>
        <w:rPr>
          <w:sz w:val="22"/>
          <w:szCs w:val="22"/>
          <w:lang w:val="sr-Latn-ME"/>
        </w:rPr>
      </w:pPr>
      <w:r w:rsidRPr="00983B42">
        <w:rPr>
          <w:sz w:val="22"/>
          <w:szCs w:val="22"/>
          <w:lang w:val="sr-Latn-ME"/>
        </w:rPr>
        <w:t>Pantoprazol ne utiče ili ima zanemariv uticaj na sposobnost upravljanja vozilima i rada na mašinama.</w:t>
      </w:r>
    </w:p>
    <w:p w:rsidR="00882CDA" w:rsidRPr="00983B42" w:rsidRDefault="00882CDA" w:rsidP="00882CDA">
      <w:pPr>
        <w:jc w:val="both"/>
        <w:rPr>
          <w:sz w:val="22"/>
          <w:szCs w:val="22"/>
          <w:lang w:val="sr-Latn-ME"/>
        </w:rPr>
      </w:pPr>
    </w:p>
    <w:p w:rsidR="00882CDA" w:rsidRPr="00983B42" w:rsidRDefault="00882CDA" w:rsidP="00882CDA">
      <w:pPr>
        <w:jc w:val="both"/>
        <w:rPr>
          <w:sz w:val="22"/>
          <w:szCs w:val="22"/>
          <w:lang w:val="sr-Latn-ME"/>
        </w:rPr>
      </w:pPr>
      <w:r w:rsidRPr="00983B42">
        <w:rPr>
          <w:sz w:val="22"/>
          <w:szCs w:val="22"/>
          <w:lang w:val="sr-Latn-ME"/>
        </w:rPr>
        <w:t xml:space="preserve">Mogu </w:t>
      </w:r>
      <w:r w:rsidR="003E6752" w:rsidRPr="00983B42">
        <w:rPr>
          <w:sz w:val="22"/>
          <w:szCs w:val="22"/>
          <w:lang w:val="sr-Latn-ME"/>
        </w:rPr>
        <w:t>da se jave</w:t>
      </w:r>
      <w:r w:rsidRPr="00983B42">
        <w:rPr>
          <w:sz w:val="22"/>
          <w:szCs w:val="22"/>
          <w:lang w:val="sr-Latn-ME"/>
        </w:rPr>
        <w:t xml:space="preserve"> neželjene reakcije poput </w:t>
      </w:r>
      <w:r w:rsidR="00F83D2F" w:rsidRPr="00983B42">
        <w:rPr>
          <w:sz w:val="22"/>
          <w:szCs w:val="22"/>
          <w:lang w:val="sr-Latn-ME"/>
        </w:rPr>
        <w:t>omaglice i smetnji vida (pogledati</w:t>
      </w:r>
      <w:r w:rsidRPr="00983B42">
        <w:rPr>
          <w:sz w:val="22"/>
          <w:szCs w:val="22"/>
          <w:lang w:val="sr-Latn-ME"/>
        </w:rPr>
        <w:t xml:space="preserve"> dio 4.8.). U takvim slučajevima, pacijenti ne bi trebali </w:t>
      </w:r>
      <w:r w:rsidR="003E6752" w:rsidRPr="00983B42">
        <w:rPr>
          <w:sz w:val="22"/>
          <w:szCs w:val="22"/>
          <w:lang w:val="sr-Latn-ME"/>
        </w:rPr>
        <w:t>da upravljaju</w:t>
      </w:r>
      <w:r w:rsidRPr="00983B42">
        <w:rPr>
          <w:sz w:val="22"/>
          <w:szCs w:val="22"/>
          <w:lang w:val="sr-Latn-ME"/>
        </w:rPr>
        <w:t xml:space="preserve"> vozilima i </w:t>
      </w:r>
      <w:r w:rsidR="003E6752" w:rsidRPr="00983B42">
        <w:rPr>
          <w:sz w:val="22"/>
          <w:szCs w:val="22"/>
          <w:lang w:val="sr-Latn-ME"/>
        </w:rPr>
        <w:t>da rade</w:t>
      </w:r>
      <w:r w:rsidRPr="00983B42">
        <w:rPr>
          <w:sz w:val="22"/>
          <w:szCs w:val="22"/>
          <w:lang w:val="sr-Latn-ME"/>
        </w:rPr>
        <w:t xml:space="preserve"> na mašinama.</w:t>
      </w:r>
    </w:p>
    <w:p w:rsidR="00882CDA" w:rsidRPr="00983B42" w:rsidRDefault="00882CDA" w:rsidP="00882CDA">
      <w:pPr>
        <w:jc w:val="both"/>
        <w:rPr>
          <w:sz w:val="22"/>
          <w:szCs w:val="22"/>
          <w:lang w:val="sr-Latn-ME"/>
        </w:rPr>
      </w:pPr>
    </w:p>
    <w:p w:rsidR="0072020E"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4.8. </w:t>
      </w:r>
      <w:r w:rsidR="00480FB1" w:rsidRPr="00983B42">
        <w:rPr>
          <w:b/>
          <w:bCs/>
          <w:sz w:val="22"/>
          <w:szCs w:val="22"/>
          <w:lang w:val="sr-Latn-ME"/>
        </w:rPr>
        <w:tab/>
      </w:r>
      <w:r w:rsidRPr="00983B42">
        <w:rPr>
          <w:b/>
          <w:bCs/>
          <w:sz w:val="22"/>
          <w:szCs w:val="22"/>
          <w:lang w:val="sr-Latn-ME"/>
        </w:rPr>
        <w:t>Neželjena dejstva</w:t>
      </w:r>
    </w:p>
    <w:p w:rsidR="004E70AD" w:rsidRPr="00983B42" w:rsidRDefault="004E70AD" w:rsidP="00480FB1">
      <w:pPr>
        <w:tabs>
          <w:tab w:val="left" w:pos="540"/>
          <w:tab w:val="left" w:pos="569"/>
        </w:tabs>
        <w:rPr>
          <w:b/>
          <w:bCs/>
          <w:sz w:val="22"/>
          <w:szCs w:val="22"/>
          <w:lang w:val="sr-Latn-ME"/>
        </w:rPr>
      </w:pPr>
    </w:p>
    <w:p w:rsidR="00B85740" w:rsidRPr="00983B42" w:rsidRDefault="00B218DF" w:rsidP="00B85740">
      <w:pPr>
        <w:autoSpaceDE w:val="0"/>
        <w:autoSpaceDN w:val="0"/>
        <w:adjustRightInd w:val="0"/>
        <w:jc w:val="both"/>
        <w:rPr>
          <w:sz w:val="22"/>
          <w:szCs w:val="22"/>
          <w:lang w:val="sr-Latn-ME"/>
        </w:rPr>
      </w:pPr>
      <w:r w:rsidRPr="00983B42">
        <w:rPr>
          <w:sz w:val="22"/>
          <w:szCs w:val="22"/>
          <w:lang w:val="sr-Latn-ME"/>
        </w:rPr>
        <w:t>Kod</w:t>
      </w:r>
      <w:r w:rsidR="007D2525" w:rsidRPr="00983B42">
        <w:rPr>
          <w:sz w:val="22"/>
          <w:szCs w:val="22"/>
          <w:lang w:val="sr-Latn-ME"/>
        </w:rPr>
        <w:t xml:space="preserve"> otprilike 5% pacijenata očekuje se pojava neželjenih reakcija. </w:t>
      </w:r>
    </w:p>
    <w:p w:rsidR="00B85740" w:rsidRPr="00983B42" w:rsidRDefault="00B85740" w:rsidP="00B85740">
      <w:pPr>
        <w:autoSpaceDE w:val="0"/>
        <w:autoSpaceDN w:val="0"/>
        <w:adjustRightInd w:val="0"/>
        <w:jc w:val="both"/>
        <w:rPr>
          <w:sz w:val="22"/>
          <w:szCs w:val="22"/>
          <w:lang w:val="sr-Latn-ME"/>
        </w:rPr>
      </w:pPr>
    </w:p>
    <w:p w:rsidR="007D2525" w:rsidRPr="00983B42" w:rsidRDefault="007D2525" w:rsidP="00B85740">
      <w:pPr>
        <w:autoSpaceDE w:val="0"/>
        <w:autoSpaceDN w:val="0"/>
        <w:adjustRightInd w:val="0"/>
        <w:jc w:val="both"/>
        <w:rPr>
          <w:sz w:val="22"/>
          <w:szCs w:val="22"/>
          <w:lang w:val="sr-Latn-ME"/>
        </w:rPr>
      </w:pPr>
      <w:r w:rsidRPr="00983B42">
        <w:rPr>
          <w:sz w:val="22"/>
          <w:szCs w:val="22"/>
          <w:lang w:val="sr-Latn-ME"/>
        </w:rPr>
        <w:t>U ispod navedenoj tabeli naznačene su neželjene reakci</w:t>
      </w:r>
      <w:r w:rsidR="003E6752" w:rsidRPr="00983B42">
        <w:rPr>
          <w:sz w:val="22"/>
          <w:szCs w:val="22"/>
          <w:lang w:val="sr-Latn-ME"/>
        </w:rPr>
        <w:t>je na pantoprazol, klasifikovane</w:t>
      </w:r>
      <w:r w:rsidRPr="00983B42">
        <w:rPr>
          <w:sz w:val="22"/>
          <w:szCs w:val="22"/>
          <w:lang w:val="sr-Latn-ME"/>
        </w:rPr>
        <w:t xml:space="preserve"> prema učestalosti javljanja na sljedeći način: v</w:t>
      </w:r>
      <w:r w:rsidR="00CA434A" w:rsidRPr="00983B42">
        <w:rPr>
          <w:sz w:val="22"/>
          <w:szCs w:val="22"/>
          <w:lang w:val="sr-Latn-ME"/>
        </w:rPr>
        <w:t>eoma</w:t>
      </w:r>
      <w:r w:rsidRPr="00983B42">
        <w:rPr>
          <w:sz w:val="22"/>
          <w:szCs w:val="22"/>
          <w:lang w:val="sr-Latn-ME"/>
        </w:rPr>
        <w:t xml:space="preserve"> česte (≥1/10), česte (≥1/100 do &lt;1/10), </w:t>
      </w:r>
      <w:r w:rsidR="00CA434A" w:rsidRPr="00983B42">
        <w:rPr>
          <w:sz w:val="22"/>
          <w:szCs w:val="22"/>
          <w:lang w:val="sr-Latn-ME"/>
        </w:rPr>
        <w:t>povremene</w:t>
      </w:r>
      <w:r w:rsidRPr="00983B42">
        <w:rPr>
          <w:sz w:val="22"/>
          <w:szCs w:val="22"/>
          <w:lang w:val="sr-Latn-ME"/>
        </w:rPr>
        <w:t xml:space="preserve"> (≥1/1.000 do &lt;1/100), rijetke (≥1/10.000 do &lt;1/1.000), v</w:t>
      </w:r>
      <w:r w:rsidR="00CA434A" w:rsidRPr="00983B42">
        <w:rPr>
          <w:sz w:val="22"/>
          <w:szCs w:val="22"/>
          <w:lang w:val="sr-Latn-ME"/>
        </w:rPr>
        <w:t>eoma</w:t>
      </w:r>
      <w:r w:rsidRPr="00983B42">
        <w:rPr>
          <w:sz w:val="22"/>
          <w:szCs w:val="22"/>
          <w:lang w:val="sr-Latn-ME"/>
        </w:rPr>
        <w:t xml:space="preserve"> rijetke (&lt;1/1</w:t>
      </w:r>
      <w:r w:rsidR="003E6752" w:rsidRPr="00983B42">
        <w:rPr>
          <w:sz w:val="22"/>
          <w:szCs w:val="22"/>
          <w:lang w:val="sr-Latn-ME"/>
        </w:rPr>
        <w:t xml:space="preserve">0.000), nepoznate (učestalost </w:t>
      </w:r>
      <w:r w:rsidRPr="00983B42">
        <w:rPr>
          <w:sz w:val="22"/>
          <w:szCs w:val="22"/>
          <w:lang w:val="sr-Latn-ME"/>
        </w:rPr>
        <w:t xml:space="preserve"> ne može </w:t>
      </w:r>
      <w:r w:rsidR="003E6752" w:rsidRPr="00983B42">
        <w:rPr>
          <w:sz w:val="22"/>
          <w:szCs w:val="22"/>
          <w:lang w:val="sr-Latn-ME"/>
        </w:rPr>
        <w:t>da se procijeni na osnovu</w:t>
      </w:r>
      <w:r w:rsidRPr="00983B42">
        <w:rPr>
          <w:sz w:val="22"/>
          <w:szCs w:val="22"/>
          <w:lang w:val="sr-Latn-ME"/>
        </w:rPr>
        <w:t xml:space="preserve"> raspoloživih podataka). </w:t>
      </w:r>
    </w:p>
    <w:p w:rsidR="007D2525" w:rsidRPr="00983B42" w:rsidRDefault="007D2525" w:rsidP="007D2525">
      <w:pPr>
        <w:autoSpaceDE w:val="0"/>
        <w:autoSpaceDN w:val="0"/>
        <w:adjustRightInd w:val="0"/>
        <w:jc w:val="both"/>
        <w:rPr>
          <w:sz w:val="22"/>
          <w:szCs w:val="22"/>
          <w:lang w:val="sr-Latn-ME"/>
        </w:rPr>
      </w:pPr>
    </w:p>
    <w:p w:rsidR="007D2525" w:rsidRPr="00983B42" w:rsidRDefault="007D2525" w:rsidP="007D2525">
      <w:pPr>
        <w:autoSpaceDE w:val="0"/>
        <w:autoSpaceDN w:val="0"/>
        <w:adjustRightInd w:val="0"/>
        <w:jc w:val="both"/>
        <w:rPr>
          <w:sz w:val="22"/>
          <w:szCs w:val="22"/>
          <w:lang w:val="sr-Latn-ME"/>
        </w:rPr>
      </w:pPr>
      <w:r w:rsidRPr="00983B42">
        <w:rPr>
          <w:sz w:val="22"/>
          <w:szCs w:val="22"/>
          <w:lang w:val="sr-Latn-ME"/>
        </w:rPr>
        <w:t xml:space="preserve">Za sve neželjene reakcije koje su prijavljene nakon stavljanja lijeka u promet nije moguće </w:t>
      </w:r>
      <w:r w:rsidR="00AC285A" w:rsidRPr="00983B42">
        <w:rPr>
          <w:sz w:val="22"/>
          <w:szCs w:val="22"/>
          <w:lang w:val="sr-Latn-ME"/>
        </w:rPr>
        <w:t>da se odredi</w:t>
      </w:r>
      <w:r w:rsidRPr="00983B42">
        <w:rPr>
          <w:sz w:val="22"/>
          <w:szCs w:val="22"/>
          <w:lang w:val="sr-Latn-ME"/>
        </w:rPr>
        <w:t xml:space="preserve"> u</w:t>
      </w:r>
      <w:r w:rsidR="00ED7AB2" w:rsidRPr="00983B42">
        <w:rPr>
          <w:sz w:val="22"/>
          <w:szCs w:val="22"/>
          <w:lang w:val="sr-Latn-ME"/>
        </w:rPr>
        <w:t>čestalost javljanja i</w:t>
      </w:r>
      <w:r w:rsidR="00AC285A" w:rsidRPr="00983B42">
        <w:rPr>
          <w:sz w:val="22"/>
          <w:szCs w:val="22"/>
          <w:lang w:val="sr-Latn-ME"/>
        </w:rPr>
        <w:t xml:space="preserve"> zato su</w:t>
      </w:r>
      <w:r w:rsidRPr="00983B42">
        <w:rPr>
          <w:sz w:val="22"/>
          <w:szCs w:val="22"/>
          <w:lang w:val="sr-Latn-ME"/>
        </w:rPr>
        <w:t xml:space="preserve"> navedene kao „ nepoznate“.</w:t>
      </w:r>
    </w:p>
    <w:p w:rsidR="007D2525" w:rsidRPr="00983B42" w:rsidRDefault="007D2525" w:rsidP="007D2525">
      <w:pPr>
        <w:autoSpaceDE w:val="0"/>
        <w:autoSpaceDN w:val="0"/>
        <w:adjustRightInd w:val="0"/>
        <w:jc w:val="both"/>
        <w:rPr>
          <w:sz w:val="22"/>
          <w:szCs w:val="22"/>
          <w:lang w:val="sr-Latn-ME"/>
        </w:rPr>
      </w:pPr>
    </w:p>
    <w:p w:rsidR="007D2525" w:rsidRPr="00983B42" w:rsidRDefault="00AC285A" w:rsidP="007D2525">
      <w:pPr>
        <w:autoSpaceDE w:val="0"/>
        <w:autoSpaceDN w:val="0"/>
        <w:adjustRightInd w:val="0"/>
        <w:jc w:val="both"/>
        <w:rPr>
          <w:sz w:val="22"/>
          <w:szCs w:val="22"/>
          <w:lang w:val="sr-Latn-ME"/>
        </w:rPr>
      </w:pPr>
      <w:r w:rsidRPr="00983B42">
        <w:rPr>
          <w:sz w:val="22"/>
          <w:szCs w:val="22"/>
          <w:lang w:val="sr-Latn-ME"/>
        </w:rPr>
        <w:lastRenderedPageBreak/>
        <w:t>U okviru</w:t>
      </w:r>
      <w:r w:rsidR="007D2525" w:rsidRPr="00983B42">
        <w:rPr>
          <w:sz w:val="22"/>
          <w:szCs w:val="22"/>
          <w:lang w:val="sr-Latn-ME"/>
        </w:rPr>
        <w:t xml:space="preserve"> svake grupe učestalosti, neželjene reakcije su prikazane u padajućem nizu u odnosu na stepen njihove ozbiljnosti.</w:t>
      </w:r>
    </w:p>
    <w:p w:rsidR="00280C9A" w:rsidRPr="00983B42" w:rsidRDefault="00280C9A" w:rsidP="00280C9A">
      <w:pPr>
        <w:autoSpaceDE w:val="0"/>
        <w:autoSpaceDN w:val="0"/>
        <w:adjustRightInd w:val="0"/>
        <w:jc w:val="both"/>
        <w:rPr>
          <w:sz w:val="22"/>
          <w:szCs w:val="22"/>
          <w:lang w:val="sr-Latn-ME"/>
        </w:rPr>
      </w:pPr>
    </w:p>
    <w:p w:rsidR="00280C9A" w:rsidRPr="00983B42" w:rsidRDefault="00280C9A" w:rsidP="00280C9A">
      <w:pPr>
        <w:autoSpaceDE w:val="0"/>
        <w:autoSpaceDN w:val="0"/>
        <w:adjustRightInd w:val="0"/>
        <w:jc w:val="both"/>
        <w:rPr>
          <w:sz w:val="22"/>
          <w:szCs w:val="22"/>
          <w:lang w:val="sr-Latn-ME"/>
        </w:rPr>
      </w:pPr>
      <w:r w:rsidRPr="00983B42">
        <w:rPr>
          <w:sz w:val="22"/>
          <w:szCs w:val="22"/>
          <w:lang w:val="sr-Latn-ME"/>
        </w:rPr>
        <w:t xml:space="preserve">Tabela 1. Neželjene reakcije na pantoprazol iz kliničkih ispitivanja i postmarketinškog iskustva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511"/>
        <w:gridCol w:w="1369"/>
        <w:gridCol w:w="1652"/>
        <w:gridCol w:w="1750"/>
        <w:gridCol w:w="1842"/>
      </w:tblGrid>
      <w:tr w:rsidR="00280C9A" w:rsidRPr="00983B42" w:rsidTr="003D04E4">
        <w:tc>
          <w:tcPr>
            <w:tcW w:w="1510" w:type="dxa"/>
            <w:vMerge w:val="restart"/>
          </w:tcPr>
          <w:p w:rsidR="00280C9A" w:rsidRPr="00983B42" w:rsidRDefault="00280C9A" w:rsidP="003D04E4">
            <w:pPr>
              <w:autoSpaceDE w:val="0"/>
              <w:autoSpaceDN w:val="0"/>
              <w:adjustRightInd w:val="0"/>
              <w:jc w:val="both"/>
              <w:rPr>
                <w:b/>
                <w:sz w:val="22"/>
                <w:szCs w:val="22"/>
                <w:lang w:val="sr-Latn-ME"/>
              </w:rPr>
            </w:pPr>
            <w:r w:rsidRPr="00983B42">
              <w:rPr>
                <w:b/>
                <w:sz w:val="22"/>
                <w:szCs w:val="22"/>
                <w:lang w:val="sr-Latn-ME"/>
              </w:rPr>
              <w:t>Učestalost/</w:t>
            </w:r>
          </w:p>
          <w:p w:rsidR="00280C9A" w:rsidRPr="00983B42" w:rsidRDefault="00280C9A" w:rsidP="003D04E4">
            <w:pPr>
              <w:autoSpaceDE w:val="0"/>
              <w:autoSpaceDN w:val="0"/>
              <w:adjustRightInd w:val="0"/>
              <w:jc w:val="both"/>
              <w:rPr>
                <w:b/>
                <w:sz w:val="22"/>
                <w:szCs w:val="22"/>
                <w:lang w:val="sr-Latn-ME"/>
              </w:rPr>
            </w:pPr>
            <w:r w:rsidRPr="00983B42">
              <w:rPr>
                <w:b/>
                <w:sz w:val="22"/>
                <w:szCs w:val="22"/>
                <w:lang w:val="sr-Latn-ME"/>
              </w:rPr>
              <w:t>Organski sistem</w:t>
            </w:r>
          </w:p>
        </w:tc>
        <w:tc>
          <w:tcPr>
            <w:tcW w:w="1511" w:type="dxa"/>
            <w:tcBorders>
              <w:bottom w:val="nil"/>
            </w:tcBorders>
          </w:tcPr>
          <w:p w:rsidR="00280C9A" w:rsidRPr="00983B42" w:rsidRDefault="00280C9A" w:rsidP="003D04E4">
            <w:pPr>
              <w:autoSpaceDE w:val="0"/>
              <w:autoSpaceDN w:val="0"/>
              <w:adjustRightInd w:val="0"/>
              <w:jc w:val="both"/>
              <w:rPr>
                <w:b/>
                <w:sz w:val="22"/>
                <w:szCs w:val="22"/>
                <w:lang w:val="sr-Latn-ME"/>
              </w:rPr>
            </w:pPr>
            <w:r w:rsidRPr="00983B42">
              <w:rPr>
                <w:b/>
                <w:sz w:val="22"/>
                <w:szCs w:val="22"/>
                <w:lang w:val="sr-Latn-ME"/>
              </w:rPr>
              <w:t>Česte</w:t>
            </w:r>
          </w:p>
        </w:tc>
        <w:tc>
          <w:tcPr>
            <w:tcW w:w="1369" w:type="dxa"/>
            <w:vMerge w:val="restart"/>
          </w:tcPr>
          <w:p w:rsidR="00280C9A" w:rsidRPr="00983B42" w:rsidRDefault="00280C9A" w:rsidP="003D04E4">
            <w:pPr>
              <w:autoSpaceDE w:val="0"/>
              <w:autoSpaceDN w:val="0"/>
              <w:adjustRightInd w:val="0"/>
              <w:jc w:val="both"/>
              <w:rPr>
                <w:b/>
                <w:sz w:val="22"/>
                <w:szCs w:val="22"/>
                <w:lang w:val="sr-Latn-ME"/>
              </w:rPr>
            </w:pPr>
            <w:r w:rsidRPr="00983B42">
              <w:rPr>
                <w:b/>
                <w:sz w:val="22"/>
                <w:szCs w:val="22"/>
                <w:lang w:val="sr-Latn-ME"/>
              </w:rPr>
              <w:t>Povremene</w:t>
            </w:r>
          </w:p>
        </w:tc>
        <w:tc>
          <w:tcPr>
            <w:tcW w:w="1652" w:type="dxa"/>
            <w:vMerge w:val="restart"/>
          </w:tcPr>
          <w:p w:rsidR="00280C9A" w:rsidRPr="00983B42" w:rsidRDefault="00280C9A" w:rsidP="003D04E4">
            <w:pPr>
              <w:autoSpaceDE w:val="0"/>
              <w:autoSpaceDN w:val="0"/>
              <w:adjustRightInd w:val="0"/>
              <w:jc w:val="both"/>
              <w:rPr>
                <w:b/>
                <w:sz w:val="22"/>
                <w:szCs w:val="22"/>
                <w:lang w:val="sr-Latn-ME"/>
              </w:rPr>
            </w:pPr>
            <w:r w:rsidRPr="00983B42">
              <w:rPr>
                <w:b/>
                <w:sz w:val="22"/>
                <w:szCs w:val="22"/>
                <w:lang w:val="sr-Latn-ME"/>
              </w:rPr>
              <w:t>Rijetke</w:t>
            </w:r>
          </w:p>
        </w:tc>
        <w:tc>
          <w:tcPr>
            <w:tcW w:w="1750" w:type="dxa"/>
            <w:vMerge w:val="restart"/>
          </w:tcPr>
          <w:p w:rsidR="00280C9A" w:rsidRPr="00983B42" w:rsidRDefault="00F662B2" w:rsidP="003D04E4">
            <w:pPr>
              <w:autoSpaceDE w:val="0"/>
              <w:autoSpaceDN w:val="0"/>
              <w:adjustRightInd w:val="0"/>
              <w:jc w:val="both"/>
              <w:rPr>
                <w:b/>
                <w:sz w:val="22"/>
                <w:szCs w:val="22"/>
                <w:lang w:val="sr-Latn-ME"/>
              </w:rPr>
            </w:pPr>
            <w:r w:rsidRPr="00983B42">
              <w:rPr>
                <w:b/>
                <w:sz w:val="22"/>
                <w:szCs w:val="22"/>
                <w:lang w:val="sr-Latn-ME"/>
              </w:rPr>
              <w:t>Veoma</w:t>
            </w:r>
            <w:r w:rsidR="00280C9A" w:rsidRPr="00983B42">
              <w:rPr>
                <w:b/>
                <w:sz w:val="22"/>
                <w:szCs w:val="22"/>
                <w:lang w:val="sr-Latn-ME"/>
              </w:rPr>
              <w:t xml:space="preserve"> rijetke</w:t>
            </w:r>
          </w:p>
        </w:tc>
        <w:tc>
          <w:tcPr>
            <w:tcW w:w="1842" w:type="dxa"/>
            <w:vMerge w:val="restart"/>
          </w:tcPr>
          <w:p w:rsidR="00280C9A" w:rsidRPr="00983B42" w:rsidRDefault="00280C9A" w:rsidP="003D04E4">
            <w:pPr>
              <w:autoSpaceDE w:val="0"/>
              <w:autoSpaceDN w:val="0"/>
              <w:adjustRightInd w:val="0"/>
              <w:jc w:val="both"/>
              <w:rPr>
                <w:b/>
                <w:sz w:val="22"/>
                <w:szCs w:val="22"/>
                <w:lang w:val="sr-Latn-ME"/>
              </w:rPr>
            </w:pPr>
            <w:r w:rsidRPr="00983B42">
              <w:rPr>
                <w:b/>
                <w:sz w:val="22"/>
                <w:szCs w:val="22"/>
                <w:lang w:val="sr-Latn-ME"/>
              </w:rPr>
              <w:t xml:space="preserve">Nepoznate </w:t>
            </w:r>
          </w:p>
        </w:tc>
      </w:tr>
      <w:tr w:rsidR="00280C9A" w:rsidRPr="00983B42" w:rsidTr="003D04E4">
        <w:tc>
          <w:tcPr>
            <w:tcW w:w="1510" w:type="dxa"/>
            <w:vMerge/>
          </w:tcPr>
          <w:p w:rsidR="00280C9A" w:rsidRPr="00983B42" w:rsidRDefault="00280C9A" w:rsidP="003D04E4">
            <w:pPr>
              <w:autoSpaceDE w:val="0"/>
              <w:autoSpaceDN w:val="0"/>
              <w:adjustRightInd w:val="0"/>
              <w:jc w:val="both"/>
              <w:rPr>
                <w:b/>
                <w:sz w:val="22"/>
                <w:szCs w:val="22"/>
                <w:lang w:val="sr-Latn-ME"/>
              </w:rPr>
            </w:pPr>
          </w:p>
        </w:tc>
        <w:tc>
          <w:tcPr>
            <w:tcW w:w="1511" w:type="dxa"/>
            <w:tcBorders>
              <w:top w:val="nil"/>
            </w:tcBorders>
          </w:tcPr>
          <w:p w:rsidR="00280C9A" w:rsidRPr="00983B42" w:rsidRDefault="00280C9A" w:rsidP="003D04E4">
            <w:pPr>
              <w:autoSpaceDE w:val="0"/>
              <w:autoSpaceDN w:val="0"/>
              <w:adjustRightInd w:val="0"/>
              <w:jc w:val="both"/>
              <w:rPr>
                <w:sz w:val="22"/>
                <w:szCs w:val="22"/>
                <w:lang w:val="sr-Latn-ME"/>
              </w:rPr>
            </w:pPr>
          </w:p>
        </w:tc>
        <w:tc>
          <w:tcPr>
            <w:tcW w:w="1369" w:type="dxa"/>
            <w:vMerge/>
          </w:tcPr>
          <w:p w:rsidR="00280C9A" w:rsidRPr="00983B42" w:rsidRDefault="00280C9A" w:rsidP="003D04E4">
            <w:pPr>
              <w:autoSpaceDE w:val="0"/>
              <w:autoSpaceDN w:val="0"/>
              <w:adjustRightInd w:val="0"/>
              <w:jc w:val="both"/>
              <w:rPr>
                <w:sz w:val="22"/>
                <w:szCs w:val="22"/>
                <w:lang w:val="sr-Latn-ME"/>
              </w:rPr>
            </w:pPr>
          </w:p>
        </w:tc>
        <w:tc>
          <w:tcPr>
            <w:tcW w:w="1652" w:type="dxa"/>
            <w:vMerge/>
          </w:tcPr>
          <w:p w:rsidR="00280C9A" w:rsidRPr="00983B42" w:rsidRDefault="00280C9A" w:rsidP="003D04E4">
            <w:pPr>
              <w:autoSpaceDE w:val="0"/>
              <w:autoSpaceDN w:val="0"/>
              <w:adjustRightInd w:val="0"/>
              <w:jc w:val="both"/>
              <w:rPr>
                <w:sz w:val="22"/>
                <w:szCs w:val="22"/>
                <w:lang w:val="sr-Latn-ME"/>
              </w:rPr>
            </w:pPr>
          </w:p>
        </w:tc>
        <w:tc>
          <w:tcPr>
            <w:tcW w:w="1750" w:type="dxa"/>
            <w:vMerge/>
          </w:tcPr>
          <w:p w:rsidR="00280C9A" w:rsidRPr="00983B42" w:rsidRDefault="00280C9A" w:rsidP="003D04E4">
            <w:pPr>
              <w:autoSpaceDE w:val="0"/>
              <w:autoSpaceDN w:val="0"/>
              <w:adjustRightInd w:val="0"/>
              <w:jc w:val="both"/>
              <w:rPr>
                <w:sz w:val="22"/>
                <w:szCs w:val="22"/>
                <w:lang w:val="sr-Latn-ME"/>
              </w:rPr>
            </w:pPr>
          </w:p>
        </w:tc>
        <w:tc>
          <w:tcPr>
            <w:tcW w:w="1842" w:type="dxa"/>
            <w:vMerge/>
          </w:tcPr>
          <w:p w:rsidR="00280C9A" w:rsidRPr="00983B42" w:rsidRDefault="00280C9A" w:rsidP="003D04E4">
            <w:pPr>
              <w:autoSpaceDE w:val="0"/>
              <w:autoSpaceDN w:val="0"/>
              <w:adjustRightInd w:val="0"/>
              <w:jc w:val="both"/>
              <w:rPr>
                <w:sz w:val="22"/>
                <w:szCs w:val="22"/>
                <w:lang w:val="sr-Latn-ME"/>
              </w:rPr>
            </w:pPr>
          </w:p>
        </w:tc>
      </w:tr>
      <w:tr w:rsidR="00280C9A" w:rsidRPr="00983B42" w:rsidTr="003D04E4">
        <w:tc>
          <w:tcPr>
            <w:tcW w:w="1510"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Poremećaji krvi i limfnog sistema</w:t>
            </w:r>
          </w:p>
        </w:tc>
        <w:tc>
          <w:tcPr>
            <w:tcW w:w="1511" w:type="dxa"/>
          </w:tcPr>
          <w:p w:rsidR="00280C9A" w:rsidRPr="00983B42" w:rsidRDefault="00280C9A" w:rsidP="003D04E4">
            <w:pPr>
              <w:autoSpaceDE w:val="0"/>
              <w:autoSpaceDN w:val="0"/>
              <w:adjustRightInd w:val="0"/>
              <w:jc w:val="both"/>
              <w:rPr>
                <w:sz w:val="22"/>
                <w:szCs w:val="22"/>
                <w:lang w:val="sr-Latn-ME"/>
              </w:rPr>
            </w:pPr>
          </w:p>
        </w:tc>
        <w:tc>
          <w:tcPr>
            <w:tcW w:w="1369" w:type="dxa"/>
          </w:tcPr>
          <w:p w:rsidR="00280C9A" w:rsidRPr="00983B42" w:rsidRDefault="00280C9A" w:rsidP="003D04E4">
            <w:pPr>
              <w:autoSpaceDE w:val="0"/>
              <w:autoSpaceDN w:val="0"/>
              <w:adjustRightInd w:val="0"/>
              <w:jc w:val="both"/>
              <w:rPr>
                <w:sz w:val="22"/>
                <w:szCs w:val="22"/>
                <w:lang w:val="sr-Latn-ME"/>
              </w:rPr>
            </w:pPr>
          </w:p>
        </w:tc>
        <w:tc>
          <w:tcPr>
            <w:tcW w:w="1652"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Agranulocitoza</w:t>
            </w:r>
          </w:p>
        </w:tc>
        <w:tc>
          <w:tcPr>
            <w:tcW w:w="1750"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Trombocitopenija, Leukopenija, Pancitopenija</w:t>
            </w:r>
          </w:p>
        </w:tc>
        <w:tc>
          <w:tcPr>
            <w:tcW w:w="1842" w:type="dxa"/>
          </w:tcPr>
          <w:p w:rsidR="00280C9A" w:rsidRPr="00983B42" w:rsidRDefault="00280C9A" w:rsidP="003D04E4">
            <w:pPr>
              <w:autoSpaceDE w:val="0"/>
              <w:autoSpaceDN w:val="0"/>
              <w:adjustRightInd w:val="0"/>
              <w:jc w:val="both"/>
              <w:rPr>
                <w:sz w:val="22"/>
                <w:szCs w:val="22"/>
                <w:lang w:val="sr-Latn-ME"/>
              </w:rPr>
            </w:pPr>
          </w:p>
        </w:tc>
      </w:tr>
      <w:tr w:rsidR="00280C9A" w:rsidRPr="00983B42" w:rsidTr="003D04E4">
        <w:tc>
          <w:tcPr>
            <w:tcW w:w="1510"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Poremećaji imunološkog sistema</w:t>
            </w:r>
          </w:p>
        </w:tc>
        <w:tc>
          <w:tcPr>
            <w:tcW w:w="1511" w:type="dxa"/>
          </w:tcPr>
          <w:p w:rsidR="00280C9A" w:rsidRPr="00983B42" w:rsidRDefault="00280C9A" w:rsidP="003D04E4">
            <w:pPr>
              <w:autoSpaceDE w:val="0"/>
              <w:autoSpaceDN w:val="0"/>
              <w:adjustRightInd w:val="0"/>
              <w:jc w:val="both"/>
              <w:rPr>
                <w:sz w:val="22"/>
                <w:szCs w:val="22"/>
                <w:lang w:val="sr-Latn-ME"/>
              </w:rPr>
            </w:pPr>
          </w:p>
        </w:tc>
        <w:tc>
          <w:tcPr>
            <w:tcW w:w="1369" w:type="dxa"/>
          </w:tcPr>
          <w:p w:rsidR="00280C9A" w:rsidRPr="00983B42" w:rsidRDefault="00280C9A" w:rsidP="003D04E4">
            <w:pPr>
              <w:autoSpaceDE w:val="0"/>
              <w:autoSpaceDN w:val="0"/>
              <w:adjustRightInd w:val="0"/>
              <w:jc w:val="both"/>
              <w:rPr>
                <w:sz w:val="22"/>
                <w:szCs w:val="22"/>
                <w:lang w:val="sr-Latn-ME"/>
              </w:rPr>
            </w:pPr>
          </w:p>
        </w:tc>
        <w:tc>
          <w:tcPr>
            <w:tcW w:w="1652"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Preosjetljivost (uključujući i anafilaktičke reakcije i anafilaktički šok)</w:t>
            </w:r>
          </w:p>
        </w:tc>
        <w:tc>
          <w:tcPr>
            <w:tcW w:w="1750" w:type="dxa"/>
          </w:tcPr>
          <w:p w:rsidR="00280C9A" w:rsidRPr="00983B42" w:rsidRDefault="00280C9A" w:rsidP="003D04E4">
            <w:pPr>
              <w:autoSpaceDE w:val="0"/>
              <w:autoSpaceDN w:val="0"/>
              <w:adjustRightInd w:val="0"/>
              <w:jc w:val="both"/>
              <w:rPr>
                <w:sz w:val="22"/>
                <w:szCs w:val="22"/>
                <w:lang w:val="sr-Latn-ME"/>
              </w:rPr>
            </w:pPr>
          </w:p>
        </w:tc>
        <w:tc>
          <w:tcPr>
            <w:tcW w:w="1842" w:type="dxa"/>
          </w:tcPr>
          <w:p w:rsidR="00280C9A" w:rsidRPr="00983B42" w:rsidRDefault="00280C9A" w:rsidP="003D04E4">
            <w:pPr>
              <w:autoSpaceDE w:val="0"/>
              <w:autoSpaceDN w:val="0"/>
              <w:adjustRightInd w:val="0"/>
              <w:jc w:val="both"/>
              <w:rPr>
                <w:sz w:val="22"/>
                <w:szCs w:val="22"/>
                <w:lang w:val="sr-Latn-ME"/>
              </w:rPr>
            </w:pPr>
          </w:p>
        </w:tc>
      </w:tr>
      <w:tr w:rsidR="00280C9A" w:rsidRPr="00983B42" w:rsidTr="003D04E4">
        <w:tc>
          <w:tcPr>
            <w:tcW w:w="1510"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Poremećaji metabolizma i prehrane</w:t>
            </w:r>
          </w:p>
        </w:tc>
        <w:tc>
          <w:tcPr>
            <w:tcW w:w="1511" w:type="dxa"/>
          </w:tcPr>
          <w:p w:rsidR="00280C9A" w:rsidRPr="00983B42" w:rsidRDefault="00280C9A" w:rsidP="003D04E4">
            <w:pPr>
              <w:autoSpaceDE w:val="0"/>
              <w:autoSpaceDN w:val="0"/>
              <w:adjustRightInd w:val="0"/>
              <w:jc w:val="both"/>
              <w:rPr>
                <w:sz w:val="22"/>
                <w:szCs w:val="22"/>
                <w:lang w:val="sr-Latn-ME"/>
              </w:rPr>
            </w:pPr>
          </w:p>
        </w:tc>
        <w:tc>
          <w:tcPr>
            <w:tcW w:w="1369" w:type="dxa"/>
          </w:tcPr>
          <w:p w:rsidR="00280C9A" w:rsidRPr="00983B42" w:rsidRDefault="00280C9A" w:rsidP="003D04E4">
            <w:pPr>
              <w:autoSpaceDE w:val="0"/>
              <w:autoSpaceDN w:val="0"/>
              <w:adjustRightInd w:val="0"/>
              <w:jc w:val="both"/>
              <w:rPr>
                <w:sz w:val="22"/>
                <w:szCs w:val="22"/>
                <w:lang w:val="sr-Latn-ME"/>
              </w:rPr>
            </w:pPr>
          </w:p>
        </w:tc>
        <w:tc>
          <w:tcPr>
            <w:tcW w:w="1652"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Hiperlipidemije i povećanja lipida (trigliceridi, holesterol),</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Promjene tjelesne težine</w:t>
            </w:r>
          </w:p>
        </w:tc>
        <w:tc>
          <w:tcPr>
            <w:tcW w:w="1750" w:type="dxa"/>
          </w:tcPr>
          <w:p w:rsidR="00280C9A" w:rsidRPr="00983B42" w:rsidRDefault="00280C9A" w:rsidP="003D04E4">
            <w:pPr>
              <w:autoSpaceDE w:val="0"/>
              <w:autoSpaceDN w:val="0"/>
              <w:adjustRightInd w:val="0"/>
              <w:jc w:val="both"/>
              <w:rPr>
                <w:sz w:val="22"/>
                <w:szCs w:val="22"/>
                <w:lang w:val="sr-Latn-ME"/>
              </w:rPr>
            </w:pPr>
          </w:p>
        </w:tc>
        <w:tc>
          <w:tcPr>
            <w:tcW w:w="1842"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Hiponatrijemija,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Hipomagnezijemija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(pogledati dio 4.4.),</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Hipokalcijemija</w:t>
            </w:r>
            <w:r w:rsidRPr="00983B42">
              <w:rPr>
                <w:sz w:val="22"/>
                <w:szCs w:val="22"/>
                <w:vertAlign w:val="superscript"/>
                <w:lang w:val="sr-Latn-ME"/>
              </w:rPr>
              <w:t>(1)</w:t>
            </w:r>
            <w:r w:rsidRPr="00983B42">
              <w:rPr>
                <w:sz w:val="22"/>
                <w:szCs w:val="22"/>
                <w:lang w:val="sr-Latn-ME"/>
              </w:rPr>
              <w:t>,</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Hipokalijemija</w:t>
            </w:r>
            <w:r w:rsidRPr="00983B42">
              <w:rPr>
                <w:sz w:val="22"/>
                <w:szCs w:val="22"/>
                <w:vertAlign w:val="superscript"/>
                <w:lang w:val="sr-Latn-ME"/>
              </w:rPr>
              <w:t>(1)</w:t>
            </w:r>
          </w:p>
        </w:tc>
      </w:tr>
      <w:tr w:rsidR="00280C9A" w:rsidRPr="00983B42" w:rsidTr="003D04E4">
        <w:tc>
          <w:tcPr>
            <w:tcW w:w="1510"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Psihijatrijski poremećaji</w:t>
            </w:r>
          </w:p>
        </w:tc>
        <w:tc>
          <w:tcPr>
            <w:tcW w:w="1511" w:type="dxa"/>
          </w:tcPr>
          <w:p w:rsidR="00280C9A" w:rsidRPr="00983B42" w:rsidRDefault="00280C9A" w:rsidP="003D04E4">
            <w:pPr>
              <w:autoSpaceDE w:val="0"/>
              <w:autoSpaceDN w:val="0"/>
              <w:adjustRightInd w:val="0"/>
              <w:jc w:val="both"/>
              <w:rPr>
                <w:sz w:val="22"/>
                <w:szCs w:val="22"/>
                <w:lang w:val="sr-Latn-ME"/>
              </w:rPr>
            </w:pPr>
          </w:p>
        </w:tc>
        <w:tc>
          <w:tcPr>
            <w:tcW w:w="1369"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Poremećaji sna</w:t>
            </w:r>
          </w:p>
        </w:tc>
        <w:tc>
          <w:tcPr>
            <w:tcW w:w="1652"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Depresija (i sva pogoršanja)</w:t>
            </w:r>
          </w:p>
        </w:tc>
        <w:tc>
          <w:tcPr>
            <w:tcW w:w="1750"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Dezorijentacija (i sva pogoršanja)</w:t>
            </w:r>
          </w:p>
        </w:tc>
        <w:tc>
          <w:tcPr>
            <w:tcW w:w="1842"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Halucinacije,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Konfuzija </w:t>
            </w:r>
          </w:p>
          <w:p w:rsidR="00280C9A" w:rsidRPr="00983B42" w:rsidRDefault="008D5BA1" w:rsidP="003D04E4">
            <w:pPr>
              <w:autoSpaceDE w:val="0"/>
              <w:autoSpaceDN w:val="0"/>
              <w:adjustRightInd w:val="0"/>
              <w:jc w:val="both"/>
              <w:rPr>
                <w:sz w:val="22"/>
                <w:szCs w:val="22"/>
                <w:lang w:val="sr-Latn-ME"/>
              </w:rPr>
            </w:pPr>
            <w:r w:rsidRPr="00983B42">
              <w:rPr>
                <w:sz w:val="22"/>
                <w:szCs w:val="22"/>
                <w:lang w:val="sr-Latn-ME"/>
              </w:rPr>
              <w:t>(posebno kod</w:t>
            </w:r>
            <w:r w:rsidR="00280C9A" w:rsidRPr="00983B42">
              <w:rPr>
                <w:sz w:val="22"/>
                <w:szCs w:val="22"/>
                <w:lang w:val="sr-Latn-ME"/>
              </w:rPr>
              <w:t xml:space="preserve">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predisponiranih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pacijenata,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kao i pogoršanje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tih simptoma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ako su već bili prisutni)</w:t>
            </w:r>
          </w:p>
        </w:tc>
      </w:tr>
      <w:tr w:rsidR="00280C9A" w:rsidRPr="00983B42" w:rsidTr="003D04E4">
        <w:tc>
          <w:tcPr>
            <w:tcW w:w="1510"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Poremećaji nervnog sistema</w:t>
            </w:r>
          </w:p>
        </w:tc>
        <w:tc>
          <w:tcPr>
            <w:tcW w:w="1511" w:type="dxa"/>
          </w:tcPr>
          <w:p w:rsidR="00280C9A" w:rsidRPr="00983B42" w:rsidRDefault="00280C9A" w:rsidP="003D04E4">
            <w:pPr>
              <w:autoSpaceDE w:val="0"/>
              <w:autoSpaceDN w:val="0"/>
              <w:adjustRightInd w:val="0"/>
              <w:jc w:val="both"/>
              <w:rPr>
                <w:sz w:val="22"/>
                <w:szCs w:val="22"/>
                <w:lang w:val="sr-Latn-ME"/>
              </w:rPr>
            </w:pPr>
          </w:p>
        </w:tc>
        <w:tc>
          <w:tcPr>
            <w:tcW w:w="1369"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Glavobolja, Omaglica</w:t>
            </w:r>
          </w:p>
          <w:p w:rsidR="00280C9A" w:rsidRPr="00983B42" w:rsidRDefault="00280C9A" w:rsidP="003D04E4">
            <w:pPr>
              <w:autoSpaceDE w:val="0"/>
              <w:autoSpaceDN w:val="0"/>
              <w:adjustRightInd w:val="0"/>
              <w:jc w:val="both"/>
              <w:rPr>
                <w:sz w:val="22"/>
                <w:szCs w:val="22"/>
                <w:lang w:val="sr-Latn-ME"/>
              </w:rPr>
            </w:pPr>
          </w:p>
        </w:tc>
        <w:tc>
          <w:tcPr>
            <w:tcW w:w="1652" w:type="dxa"/>
          </w:tcPr>
          <w:p w:rsidR="00280C9A" w:rsidRPr="00983B42" w:rsidRDefault="008D5BA1" w:rsidP="003D04E4">
            <w:pPr>
              <w:autoSpaceDE w:val="0"/>
              <w:autoSpaceDN w:val="0"/>
              <w:adjustRightInd w:val="0"/>
              <w:jc w:val="both"/>
              <w:rPr>
                <w:sz w:val="22"/>
                <w:szCs w:val="22"/>
                <w:lang w:val="sr-Latn-ME"/>
              </w:rPr>
            </w:pPr>
            <w:r w:rsidRPr="00983B42">
              <w:rPr>
                <w:sz w:val="22"/>
                <w:szCs w:val="22"/>
                <w:lang w:val="sr-Latn-ME"/>
              </w:rPr>
              <w:t>Poremećaji u</w:t>
            </w:r>
            <w:r w:rsidR="00280C9A" w:rsidRPr="00983B42">
              <w:rPr>
                <w:sz w:val="22"/>
                <w:szCs w:val="22"/>
                <w:lang w:val="sr-Latn-ME"/>
              </w:rPr>
              <w:t>kusa</w:t>
            </w:r>
          </w:p>
        </w:tc>
        <w:tc>
          <w:tcPr>
            <w:tcW w:w="1750" w:type="dxa"/>
          </w:tcPr>
          <w:p w:rsidR="00280C9A" w:rsidRPr="00983B42" w:rsidRDefault="00280C9A" w:rsidP="003D04E4">
            <w:pPr>
              <w:autoSpaceDE w:val="0"/>
              <w:autoSpaceDN w:val="0"/>
              <w:adjustRightInd w:val="0"/>
              <w:jc w:val="both"/>
              <w:rPr>
                <w:sz w:val="22"/>
                <w:szCs w:val="22"/>
                <w:lang w:val="sr-Latn-ME"/>
              </w:rPr>
            </w:pPr>
          </w:p>
        </w:tc>
        <w:tc>
          <w:tcPr>
            <w:tcW w:w="1842"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Parestezija</w:t>
            </w:r>
          </w:p>
        </w:tc>
      </w:tr>
      <w:tr w:rsidR="00280C9A" w:rsidRPr="00983B42" w:rsidTr="003D04E4">
        <w:tc>
          <w:tcPr>
            <w:tcW w:w="1510"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Poremećaji oka</w:t>
            </w:r>
          </w:p>
        </w:tc>
        <w:tc>
          <w:tcPr>
            <w:tcW w:w="1511" w:type="dxa"/>
          </w:tcPr>
          <w:p w:rsidR="00280C9A" w:rsidRPr="00983B42" w:rsidRDefault="00280C9A" w:rsidP="003D04E4">
            <w:pPr>
              <w:autoSpaceDE w:val="0"/>
              <w:autoSpaceDN w:val="0"/>
              <w:adjustRightInd w:val="0"/>
              <w:jc w:val="both"/>
              <w:rPr>
                <w:sz w:val="22"/>
                <w:szCs w:val="22"/>
                <w:lang w:val="sr-Latn-ME"/>
              </w:rPr>
            </w:pPr>
          </w:p>
        </w:tc>
        <w:tc>
          <w:tcPr>
            <w:tcW w:w="1369" w:type="dxa"/>
          </w:tcPr>
          <w:p w:rsidR="00280C9A" w:rsidRPr="00983B42" w:rsidRDefault="00280C9A" w:rsidP="003D04E4">
            <w:pPr>
              <w:autoSpaceDE w:val="0"/>
              <w:autoSpaceDN w:val="0"/>
              <w:adjustRightInd w:val="0"/>
              <w:jc w:val="both"/>
              <w:rPr>
                <w:sz w:val="22"/>
                <w:szCs w:val="22"/>
                <w:lang w:val="sr-Latn-ME"/>
              </w:rPr>
            </w:pPr>
          </w:p>
        </w:tc>
        <w:tc>
          <w:tcPr>
            <w:tcW w:w="1652"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Smetnje vida/zamućen vid</w:t>
            </w:r>
          </w:p>
        </w:tc>
        <w:tc>
          <w:tcPr>
            <w:tcW w:w="1750" w:type="dxa"/>
          </w:tcPr>
          <w:p w:rsidR="00280C9A" w:rsidRPr="00983B42" w:rsidRDefault="00280C9A" w:rsidP="003D04E4">
            <w:pPr>
              <w:autoSpaceDE w:val="0"/>
              <w:autoSpaceDN w:val="0"/>
              <w:adjustRightInd w:val="0"/>
              <w:jc w:val="both"/>
              <w:rPr>
                <w:sz w:val="22"/>
                <w:szCs w:val="22"/>
                <w:lang w:val="sr-Latn-ME"/>
              </w:rPr>
            </w:pPr>
          </w:p>
        </w:tc>
        <w:tc>
          <w:tcPr>
            <w:tcW w:w="1842" w:type="dxa"/>
          </w:tcPr>
          <w:p w:rsidR="00280C9A" w:rsidRPr="00983B42" w:rsidRDefault="00280C9A" w:rsidP="003D04E4">
            <w:pPr>
              <w:autoSpaceDE w:val="0"/>
              <w:autoSpaceDN w:val="0"/>
              <w:adjustRightInd w:val="0"/>
              <w:jc w:val="both"/>
              <w:rPr>
                <w:sz w:val="22"/>
                <w:szCs w:val="22"/>
                <w:lang w:val="sr-Latn-ME"/>
              </w:rPr>
            </w:pPr>
          </w:p>
        </w:tc>
      </w:tr>
      <w:tr w:rsidR="00280C9A" w:rsidRPr="00983B42" w:rsidTr="003D04E4">
        <w:tc>
          <w:tcPr>
            <w:tcW w:w="1510"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Gastrointestinalni poremećaji</w:t>
            </w:r>
          </w:p>
        </w:tc>
        <w:tc>
          <w:tcPr>
            <w:tcW w:w="1511" w:type="dxa"/>
          </w:tcPr>
          <w:p w:rsidR="00280C9A" w:rsidRPr="00983B42" w:rsidRDefault="00280C9A" w:rsidP="003D04E4">
            <w:pPr>
              <w:pStyle w:val="Default"/>
              <w:jc w:val="both"/>
              <w:rPr>
                <w:color w:val="auto"/>
                <w:sz w:val="22"/>
                <w:szCs w:val="22"/>
                <w:lang w:val="sr-Latn-ME"/>
              </w:rPr>
            </w:pPr>
            <w:r w:rsidRPr="00983B42">
              <w:rPr>
                <w:color w:val="auto"/>
                <w:sz w:val="22"/>
                <w:szCs w:val="22"/>
                <w:lang w:val="sr-Latn-ME"/>
              </w:rPr>
              <w:t>Polipi fundus</w:t>
            </w:r>
          </w:p>
          <w:p w:rsidR="00280C9A" w:rsidRPr="00983B42" w:rsidRDefault="00280C9A" w:rsidP="003D04E4">
            <w:pPr>
              <w:pStyle w:val="Default"/>
              <w:jc w:val="both"/>
              <w:rPr>
                <w:color w:val="auto"/>
                <w:sz w:val="22"/>
                <w:szCs w:val="22"/>
                <w:lang w:val="sr-Latn-ME"/>
              </w:rPr>
            </w:pPr>
            <w:r w:rsidRPr="00983B42">
              <w:rPr>
                <w:color w:val="auto"/>
                <w:sz w:val="22"/>
                <w:szCs w:val="22"/>
                <w:lang w:val="sr-Latn-ME"/>
              </w:rPr>
              <w:t>nih žlijezda</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(dobroćudni) </w:t>
            </w:r>
          </w:p>
        </w:tc>
        <w:tc>
          <w:tcPr>
            <w:tcW w:w="1369"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Dijareja, Mučnina/povraćanje, Abdominalna distenzija i nadutost, Konstipacija, Suva usta, Bol i nelagoda u abdomenu</w:t>
            </w:r>
          </w:p>
        </w:tc>
        <w:tc>
          <w:tcPr>
            <w:tcW w:w="1652" w:type="dxa"/>
          </w:tcPr>
          <w:p w:rsidR="00280C9A" w:rsidRPr="00983B42" w:rsidRDefault="00280C9A" w:rsidP="003D04E4">
            <w:pPr>
              <w:autoSpaceDE w:val="0"/>
              <w:autoSpaceDN w:val="0"/>
              <w:adjustRightInd w:val="0"/>
              <w:jc w:val="both"/>
              <w:rPr>
                <w:sz w:val="22"/>
                <w:szCs w:val="22"/>
                <w:lang w:val="sr-Latn-ME"/>
              </w:rPr>
            </w:pPr>
          </w:p>
        </w:tc>
        <w:tc>
          <w:tcPr>
            <w:tcW w:w="1750" w:type="dxa"/>
          </w:tcPr>
          <w:p w:rsidR="00280C9A" w:rsidRPr="00983B42" w:rsidRDefault="00280C9A" w:rsidP="003D04E4">
            <w:pPr>
              <w:autoSpaceDE w:val="0"/>
              <w:autoSpaceDN w:val="0"/>
              <w:adjustRightInd w:val="0"/>
              <w:jc w:val="both"/>
              <w:rPr>
                <w:sz w:val="22"/>
                <w:szCs w:val="22"/>
                <w:lang w:val="sr-Latn-ME"/>
              </w:rPr>
            </w:pPr>
          </w:p>
        </w:tc>
        <w:tc>
          <w:tcPr>
            <w:tcW w:w="1842" w:type="dxa"/>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Mikroskopski kolitis</w:t>
            </w:r>
          </w:p>
        </w:tc>
      </w:tr>
      <w:tr w:rsidR="00280C9A" w:rsidRPr="00983B42" w:rsidTr="003D04E4">
        <w:tc>
          <w:tcPr>
            <w:tcW w:w="1510"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Hepatobilijarni poremećaji</w:t>
            </w:r>
          </w:p>
        </w:tc>
        <w:tc>
          <w:tcPr>
            <w:tcW w:w="1511"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369"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Povećani jetreni enzimi (transaminaze, γ-GT)</w:t>
            </w:r>
          </w:p>
        </w:tc>
        <w:tc>
          <w:tcPr>
            <w:tcW w:w="1652"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Povećan bilirubin</w:t>
            </w:r>
          </w:p>
        </w:tc>
        <w:tc>
          <w:tcPr>
            <w:tcW w:w="1750"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Hepatocelularno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oštećenje,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Žutica, </w:t>
            </w:r>
          </w:p>
          <w:p w:rsidR="00280C9A" w:rsidRPr="00983B42" w:rsidRDefault="00F55354" w:rsidP="003D04E4">
            <w:pPr>
              <w:autoSpaceDE w:val="0"/>
              <w:autoSpaceDN w:val="0"/>
              <w:adjustRightInd w:val="0"/>
              <w:jc w:val="both"/>
              <w:rPr>
                <w:sz w:val="22"/>
                <w:szCs w:val="22"/>
                <w:lang w:val="sr-Latn-ME"/>
              </w:rPr>
            </w:pPr>
            <w:r w:rsidRPr="00983B42">
              <w:rPr>
                <w:sz w:val="22"/>
                <w:szCs w:val="22"/>
                <w:lang w:val="sr-Latn-ME"/>
              </w:rPr>
              <w:t>Hepatocelularni</w:t>
            </w:r>
            <w:r w:rsidR="00280C9A" w:rsidRPr="00983B42">
              <w:rPr>
                <w:sz w:val="22"/>
                <w:szCs w:val="22"/>
                <w:lang w:val="sr-Latn-ME"/>
              </w:rPr>
              <w:t xml:space="preserve">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za</w:t>
            </w:r>
            <w:r w:rsidR="00F55354" w:rsidRPr="00983B42">
              <w:rPr>
                <w:sz w:val="22"/>
                <w:szCs w:val="22"/>
                <w:lang w:val="sr-Latn-ME"/>
              </w:rPr>
              <w:t>stoj</w:t>
            </w:r>
          </w:p>
        </w:tc>
      </w:tr>
      <w:tr w:rsidR="00280C9A" w:rsidRPr="00983B42" w:rsidTr="003D04E4">
        <w:tc>
          <w:tcPr>
            <w:tcW w:w="1510"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Poremećaji </w:t>
            </w:r>
            <w:r w:rsidRPr="00983B42">
              <w:rPr>
                <w:sz w:val="22"/>
                <w:szCs w:val="22"/>
                <w:lang w:val="sr-Latn-ME"/>
              </w:rPr>
              <w:lastRenderedPageBreak/>
              <w:t>kože i potkožnog tkiva</w:t>
            </w:r>
          </w:p>
        </w:tc>
        <w:tc>
          <w:tcPr>
            <w:tcW w:w="1511"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369"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Osip/</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lastRenderedPageBreak/>
              <w:t>egzantem/</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erupacija,</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Pruritus</w:t>
            </w:r>
          </w:p>
          <w:p w:rsidR="00280C9A" w:rsidRPr="00983B42" w:rsidRDefault="00280C9A" w:rsidP="003D04E4">
            <w:pPr>
              <w:autoSpaceDE w:val="0"/>
              <w:autoSpaceDN w:val="0"/>
              <w:adjustRightInd w:val="0"/>
              <w:jc w:val="both"/>
              <w:rPr>
                <w:sz w:val="22"/>
                <w:szCs w:val="22"/>
                <w:lang w:val="sr-Latn-ME"/>
              </w:rPr>
            </w:pPr>
          </w:p>
        </w:tc>
        <w:tc>
          <w:tcPr>
            <w:tcW w:w="1652"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lastRenderedPageBreak/>
              <w:t xml:space="preserve">Urtikarija, </w:t>
            </w:r>
            <w:r w:rsidRPr="00983B42">
              <w:rPr>
                <w:sz w:val="22"/>
                <w:szCs w:val="22"/>
                <w:lang w:val="sr-Latn-ME"/>
              </w:rPr>
              <w:lastRenderedPageBreak/>
              <w:t>Angioedem</w:t>
            </w:r>
          </w:p>
        </w:tc>
        <w:tc>
          <w:tcPr>
            <w:tcW w:w="1750"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Stevens-</w:t>
            </w:r>
            <w:r w:rsidRPr="00983B42">
              <w:rPr>
                <w:sz w:val="22"/>
                <w:szCs w:val="22"/>
                <w:lang w:val="sr-Latn-ME"/>
              </w:rPr>
              <w:lastRenderedPageBreak/>
              <w:t>Johnsonov</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sindrom,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Lyellov sindrom,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Multiformni eritem,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Fotosenzitivnost,</w:t>
            </w:r>
          </w:p>
          <w:p w:rsidR="00280C9A" w:rsidRPr="00983B42" w:rsidRDefault="00280C9A" w:rsidP="003D04E4">
            <w:pPr>
              <w:autoSpaceDE w:val="0"/>
              <w:autoSpaceDN w:val="0"/>
              <w:adjustRightInd w:val="0"/>
              <w:jc w:val="both"/>
              <w:rPr>
                <w:iCs/>
                <w:sz w:val="22"/>
                <w:szCs w:val="22"/>
                <w:lang w:val="sr-Latn-ME"/>
              </w:rPr>
            </w:pPr>
            <w:r w:rsidRPr="00983B42">
              <w:rPr>
                <w:iCs/>
                <w:sz w:val="22"/>
                <w:szCs w:val="22"/>
                <w:lang w:val="sr-Latn-ME"/>
              </w:rPr>
              <w:t xml:space="preserve">Subakutni </w:t>
            </w:r>
          </w:p>
          <w:p w:rsidR="00280C9A" w:rsidRPr="00983B42" w:rsidRDefault="00280C9A" w:rsidP="003D04E4">
            <w:pPr>
              <w:autoSpaceDE w:val="0"/>
              <w:autoSpaceDN w:val="0"/>
              <w:adjustRightInd w:val="0"/>
              <w:jc w:val="both"/>
              <w:rPr>
                <w:iCs/>
                <w:sz w:val="22"/>
                <w:szCs w:val="22"/>
                <w:lang w:val="sr-Latn-ME"/>
              </w:rPr>
            </w:pPr>
            <w:r w:rsidRPr="00983B42">
              <w:rPr>
                <w:iCs/>
                <w:sz w:val="22"/>
                <w:szCs w:val="22"/>
                <w:lang w:val="sr-Latn-ME"/>
              </w:rPr>
              <w:t xml:space="preserve">kožni </w:t>
            </w:r>
          </w:p>
          <w:p w:rsidR="00280C9A" w:rsidRPr="00983B42" w:rsidRDefault="00280C9A" w:rsidP="003D04E4">
            <w:pPr>
              <w:autoSpaceDE w:val="0"/>
              <w:autoSpaceDN w:val="0"/>
              <w:adjustRightInd w:val="0"/>
              <w:jc w:val="both"/>
              <w:rPr>
                <w:iCs/>
                <w:sz w:val="22"/>
                <w:szCs w:val="22"/>
                <w:lang w:val="sr-Latn-ME"/>
              </w:rPr>
            </w:pPr>
            <w:r w:rsidRPr="00983B42">
              <w:rPr>
                <w:iCs/>
                <w:sz w:val="22"/>
                <w:szCs w:val="22"/>
                <w:lang w:val="sr-Latn-ME"/>
              </w:rPr>
              <w:t>lupus eritematozus</w:t>
            </w:r>
          </w:p>
          <w:p w:rsidR="00280C9A" w:rsidRPr="00983B42" w:rsidRDefault="00280C9A" w:rsidP="003D04E4">
            <w:pPr>
              <w:autoSpaceDE w:val="0"/>
              <w:autoSpaceDN w:val="0"/>
              <w:adjustRightInd w:val="0"/>
              <w:jc w:val="both"/>
              <w:rPr>
                <w:iCs/>
                <w:sz w:val="22"/>
                <w:szCs w:val="22"/>
                <w:lang w:val="sr-Latn-ME"/>
              </w:rPr>
            </w:pPr>
            <w:r w:rsidRPr="00983B42">
              <w:rPr>
                <w:iCs/>
                <w:sz w:val="22"/>
                <w:szCs w:val="22"/>
                <w:lang w:val="sr-Latn-ME"/>
              </w:rPr>
              <w:t>(pogledati dio 4.4.)</w:t>
            </w:r>
          </w:p>
          <w:p w:rsidR="00280C9A" w:rsidRPr="00983B42" w:rsidRDefault="00280C9A" w:rsidP="003D04E4">
            <w:pPr>
              <w:autoSpaceDE w:val="0"/>
              <w:autoSpaceDN w:val="0"/>
              <w:adjustRightInd w:val="0"/>
              <w:jc w:val="both"/>
              <w:rPr>
                <w:rFonts w:eastAsia="TimesNewRoman"/>
                <w:noProof/>
                <w:sz w:val="22"/>
                <w:szCs w:val="22"/>
                <w:lang w:val="sr-Latn-ME" w:eastAsia="bs-Latn-BA"/>
              </w:rPr>
            </w:pPr>
            <w:r w:rsidRPr="00983B42">
              <w:rPr>
                <w:rFonts w:eastAsia="TimesNewRoman"/>
                <w:noProof/>
                <w:sz w:val="22"/>
                <w:szCs w:val="22"/>
                <w:lang w:val="sr-Latn-ME" w:eastAsia="bs-Latn-BA"/>
              </w:rPr>
              <w:t>Reakcija na lijek s</w:t>
            </w:r>
          </w:p>
          <w:p w:rsidR="00280C9A" w:rsidRPr="00983B42" w:rsidRDefault="00280C9A" w:rsidP="003D04E4">
            <w:pPr>
              <w:autoSpaceDE w:val="0"/>
              <w:autoSpaceDN w:val="0"/>
              <w:adjustRightInd w:val="0"/>
              <w:jc w:val="both"/>
              <w:rPr>
                <w:rFonts w:eastAsia="TimesNewRoman"/>
                <w:noProof/>
                <w:sz w:val="22"/>
                <w:szCs w:val="22"/>
                <w:lang w:val="sr-Latn-ME" w:eastAsia="bs-Latn-BA"/>
              </w:rPr>
            </w:pPr>
            <w:r w:rsidRPr="00983B42">
              <w:rPr>
                <w:rFonts w:eastAsia="TimesNewRoman"/>
                <w:noProof/>
                <w:sz w:val="22"/>
                <w:szCs w:val="22"/>
                <w:lang w:val="sr-Latn-ME" w:eastAsia="bs-Latn-BA"/>
              </w:rPr>
              <w:t>eozinofilijom i</w:t>
            </w:r>
          </w:p>
          <w:p w:rsidR="00280C9A" w:rsidRPr="00983B42" w:rsidRDefault="00280C9A" w:rsidP="003D04E4">
            <w:pPr>
              <w:autoSpaceDE w:val="0"/>
              <w:autoSpaceDN w:val="0"/>
              <w:adjustRightInd w:val="0"/>
              <w:jc w:val="both"/>
              <w:rPr>
                <w:rFonts w:eastAsia="TimesNewRoman"/>
                <w:noProof/>
                <w:sz w:val="22"/>
                <w:szCs w:val="22"/>
                <w:lang w:val="sr-Latn-ME" w:eastAsia="bs-Latn-BA"/>
              </w:rPr>
            </w:pPr>
            <w:r w:rsidRPr="00983B42">
              <w:rPr>
                <w:rFonts w:eastAsia="TimesNewRoman"/>
                <w:noProof/>
                <w:sz w:val="22"/>
                <w:szCs w:val="22"/>
                <w:lang w:val="sr-Latn-ME" w:eastAsia="bs-Latn-BA"/>
              </w:rPr>
              <w:t>sistemskim</w:t>
            </w:r>
          </w:p>
          <w:p w:rsidR="00280C9A" w:rsidRPr="00983B42" w:rsidRDefault="00280C9A" w:rsidP="003D04E4">
            <w:pPr>
              <w:autoSpaceDE w:val="0"/>
              <w:autoSpaceDN w:val="0"/>
              <w:adjustRightInd w:val="0"/>
              <w:jc w:val="both"/>
              <w:rPr>
                <w:rFonts w:eastAsia="TimesNewRoman"/>
                <w:noProof/>
                <w:sz w:val="22"/>
                <w:szCs w:val="22"/>
                <w:lang w:val="sr-Latn-ME" w:eastAsia="bs-Latn-BA"/>
              </w:rPr>
            </w:pPr>
            <w:r w:rsidRPr="00983B42">
              <w:rPr>
                <w:rFonts w:eastAsia="TimesNewRoman"/>
                <w:noProof/>
                <w:sz w:val="22"/>
                <w:szCs w:val="22"/>
                <w:lang w:val="sr-Latn-ME" w:eastAsia="bs-Latn-BA"/>
              </w:rPr>
              <w:t>simptomima</w:t>
            </w:r>
          </w:p>
          <w:p w:rsidR="00280C9A" w:rsidRPr="00983B42" w:rsidRDefault="00280C9A" w:rsidP="003D04E4">
            <w:pPr>
              <w:autoSpaceDE w:val="0"/>
              <w:autoSpaceDN w:val="0"/>
              <w:adjustRightInd w:val="0"/>
              <w:jc w:val="both"/>
              <w:rPr>
                <w:rFonts w:eastAsia="TimesNewRoman"/>
                <w:noProof/>
                <w:sz w:val="22"/>
                <w:szCs w:val="22"/>
                <w:lang w:val="sr-Latn-ME" w:eastAsia="bs-Latn-BA"/>
              </w:rPr>
            </w:pPr>
            <w:r w:rsidRPr="00983B42">
              <w:rPr>
                <w:rFonts w:eastAsia="TimesNewRoman"/>
                <w:noProof/>
                <w:sz w:val="22"/>
                <w:szCs w:val="22"/>
                <w:lang w:val="sr-Latn-ME" w:eastAsia="bs-Latn-BA"/>
              </w:rPr>
              <w:t>(DRESS)</w:t>
            </w:r>
          </w:p>
        </w:tc>
      </w:tr>
      <w:tr w:rsidR="00280C9A" w:rsidRPr="00983B42" w:rsidTr="003D04E4">
        <w:tc>
          <w:tcPr>
            <w:tcW w:w="1510"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iCs/>
                <w:sz w:val="22"/>
                <w:szCs w:val="22"/>
                <w:lang w:val="sr-Latn-ME" w:eastAsia="bs-Latn-BA"/>
              </w:rPr>
              <w:lastRenderedPageBreak/>
              <w:t>Poremećaji mišićno-koštanog i vezivnog tkiva</w:t>
            </w:r>
          </w:p>
        </w:tc>
        <w:tc>
          <w:tcPr>
            <w:tcW w:w="1511"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369"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Fraktura kuka, ručnog zgloba ili kičme (pogledati dio 4.4.)</w:t>
            </w:r>
          </w:p>
        </w:tc>
        <w:tc>
          <w:tcPr>
            <w:tcW w:w="1652"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Artralgija,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Mialgija</w:t>
            </w:r>
          </w:p>
        </w:tc>
        <w:tc>
          <w:tcPr>
            <w:tcW w:w="1750"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vertAlign w:val="superscript"/>
                <w:lang w:val="sr-Latn-ME"/>
              </w:rPr>
            </w:pPr>
            <w:r w:rsidRPr="00983B42">
              <w:rPr>
                <w:sz w:val="22"/>
                <w:szCs w:val="22"/>
                <w:lang w:val="sr-Latn-ME"/>
              </w:rPr>
              <w:t>Mišićni spazam</w:t>
            </w:r>
            <w:r w:rsidRPr="00983B42">
              <w:rPr>
                <w:sz w:val="22"/>
                <w:szCs w:val="22"/>
                <w:vertAlign w:val="superscript"/>
                <w:lang w:val="sr-Latn-ME"/>
              </w:rPr>
              <w:t>(2)</w:t>
            </w:r>
          </w:p>
        </w:tc>
      </w:tr>
      <w:tr w:rsidR="00280C9A" w:rsidRPr="00983B42" w:rsidTr="003D04E4">
        <w:tc>
          <w:tcPr>
            <w:tcW w:w="1510"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iCs/>
                <w:sz w:val="22"/>
                <w:szCs w:val="22"/>
                <w:lang w:val="sr-Latn-ME" w:eastAsia="bs-Latn-BA"/>
              </w:rPr>
            </w:pPr>
            <w:r w:rsidRPr="00983B42">
              <w:rPr>
                <w:iCs/>
                <w:sz w:val="22"/>
                <w:szCs w:val="22"/>
                <w:lang w:val="sr-Latn-ME" w:eastAsia="bs-Latn-BA"/>
              </w:rPr>
              <w:t>Poremećaji bubrega i mokraćnog sistema</w:t>
            </w:r>
          </w:p>
        </w:tc>
        <w:tc>
          <w:tcPr>
            <w:tcW w:w="1511"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369"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652"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750"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Tubulontersticijski</w:t>
            </w:r>
          </w:p>
          <w:p w:rsidR="00280C9A" w:rsidRPr="00983B42" w:rsidRDefault="00AB7933" w:rsidP="003D04E4">
            <w:pPr>
              <w:autoSpaceDE w:val="0"/>
              <w:autoSpaceDN w:val="0"/>
              <w:adjustRightInd w:val="0"/>
              <w:jc w:val="both"/>
              <w:rPr>
                <w:sz w:val="22"/>
                <w:szCs w:val="22"/>
                <w:lang w:val="sr-Latn-ME"/>
              </w:rPr>
            </w:pPr>
            <w:r w:rsidRPr="00983B42">
              <w:rPr>
                <w:sz w:val="22"/>
                <w:szCs w:val="22"/>
                <w:lang w:val="sr-Latn-ME"/>
              </w:rPr>
              <w:t>n</w:t>
            </w:r>
            <w:r w:rsidR="00280C9A" w:rsidRPr="00983B42">
              <w:rPr>
                <w:sz w:val="22"/>
                <w:szCs w:val="22"/>
                <w:lang w:val="sr-Latn-ME"/>
              </w:rPr>
              <w:t xml:space="preserve">efritis (TIN) (s mogućnošću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 xml:space="preserve">progresije </w:t>
            </w:r>
          </w:p>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do bubrežnog</w:t>
            </w:r>
          </w:p>
          <w:p w:rsidR="00280C9A" w:rsidRPr="00983B42" w:rsidRDefault="00F55354" w:rsidP="003D04E4">
            <w:pPr>
              <w:autoSpaceDE w:val="0"/>
              <w:autoSpaceDN w:val="0"/>
              <w:adjustRightInd w:val="0"/>
              <w:jc w:val="both"/>
              <w:rPr>
                <w:sz w:val="22"/>
                <w:szCs w:val="22"/>
                <w:lang w:val="sr-Latn-ME"/>
              </w:rPr>
            </w:pPr>
            <w:r w:rsidRPr="00983B42">
              <w:rPr>
                <w:sz w:val="22"/>
                <w:szCs w:val="22"/>
                <w:lang w:val="sr-Latn-ME"/>
              </w:rPr>
              <w:t>zastoja</w:t>
            </w:r>
            <w:r w:rsidR="00280C9A" w:rsidRPr="00983B42">
              <w:rPr>
                <w:sz w:val="22"/>
                <w:szCs w:val="22"/>
                <w:lang w:val="sr-Latn-ME"/>
              </w:rPr>
              <w:t xml:space="preserve">) </w:t>
            </w:r>
          </w:p>
        </w:tc>
      </w:tr>
      <w:tr w:rsidR="00280C9A" w:rsidRPr="00983B42" w:rsidTr="003D04E4">
        <w:tc>
          <w:tcPr>
            <w:tcW w:w="1510"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iCs/>
                <w:sz w:val="22"/>
                <w:szCs w:val="22"/>
                <w:lang w:val="sr-Latn-ME" w:eastAsia="bs-Latn-BA"/>
              </w:rPr>
            </w:pPr>
            <w:r w:rsidRPr="00983B42">
              <w:rPr>
                <w:iCs/>
                <w:sz w:val="22"/>
                <w:szCs w:val="22"/>
                <w:lang w:val="sr-Latn-ME" w:eastAsia="bs-Latn-BA"/>
              </w:rPr>
              <w:t>Poremećaji reproduktivnog sistema i dojki</w:t>
            </w:r>
          </w:p>
        </w:tc>
        <w:tc>
          <w:tcPr>
            <w:tcW w:w="1511"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369"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652"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Ginekomastija</w:t>
            </w:r>
          </w:p>
        </w:tc>
        <w:tc>
          <w:tcPr>
            <w:tcW w:w="1750"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r>
      <w:tr w:rsidR="00280C9A" w:rsidRPr="00983B42" w:rsidTr="003D04E4">
        <w:tc>
          <w:tcPr>
            <w:tcW w:w="1510" w:type="dxa"/>
            <w:tcBorders>
              <w:top w:val="single" w:sz="4" w:space="0" w:color="auto"/>
              <w:left w:val="single" w:sz="4" w:space="0" w:color="auto"/>
              <w:bottom w:val="single" w:sz="4" w:space="0" w:color="auto"/>
              <w:right w:val="single" w:sz="4" w:space="0" w:color="auto"/>
            </w:tcBorders>
          </w:tcPr>
          <w:p w:rsidR="00280C9A" w:rsidRPr="00983B42" w:rsidRDefault="00F55354" w:rsidP="003D04E4">
            <w:pPr>
              <w:autoSpaceDE w:val="0"/>
              <w:autoSpaceDN w:val="0"/>
              <w:adjustRightInd w:val="0"/>
              <w:jc w:val="both"/>
              <w:rPr>
                <w:iCs/>
                <w:sz w:val="22"/>
                <w:szCs w:val="22"/>
                <w:lang w:val="sr-Latn-ME" w:eastAsia="bs-Latn-BA"/>
              </w:rPr>
            </w:pPr>
            <w:r w:rsidRPr="00983B42">
              <w:rPr>
                <w:iCs/>
                <w:sz w:val="22"/>
                <w:szCs w:val="22"/>
                <w:lang w:val="sr-Latn-ME" w:eastAsia="bs-Latn-BA"/>
              </w:rPr>
              <w:t>Opšt</w:t>
            </w:r>
            <w:r w:rsidR="00280C9A" w:rsidRPr="00983B42">
              <w:rPr>
                <w:iCs/>
                <w:sz w:val="22"/>
                <w:szCs w:val="22"/>
                <w:lang w:val="sr-Latn-ME" w:eastAsia="bs-Latn-BA"/>
              </w:rPr>
              <w:t>i poremećaji i stanja na mjestu primjene</w:t>
            </w:r>
          </w:p>
        </w:tc>
        <w:tc>
          <w:tcPr>
            <w:tcW w:w="1511"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369" w:type="dxa"/>
            <w:tcBorders>
              <w:top w:val="single" w:sz="4" w:space="0" w:color="auto"/>
              <w:left w:val="single" w:sz="4" w:space="0" w:color="auto"/>
              <w:bottom w:val="single" w:sz="4" w:space="0" w:color="auto"/>
              <w:right w:val="single" w:sz="4" w:space="0" w:color="auto"/>
            </w:tcBorders>
          </w:tcPr>
          <w:p w:rsidR="00280C9A" w:rsidRPr="00983B42" w:rsidRDefault="00F55354" w:rsidP="003D04E4">
            <w:pPr>
              <w:autoSpaceDE w:val="0"/>
              <w:autoSpaceDN w:val="0"/>
              <w:adjustRightInd w:val="0"/>
              <w:jc w:val="both"/>
              <w:rPr>
                <w:sz w:val="22"/>
                <w:szCs w:val="22"/>
                <w:lang w:val="sr-Latn-ME"/>
              </w:rPr>
            </w:pPr>
            <w:r w:rsidRPr="00983B42">
              <w:rPr>
                <w:sz w:val="22"/>
                <w:szCs w:val="22"/>
                <w:lang w:val="sr-Latn-ME"/>
              </w:rPr>
              <w:t>Opšt</w:t>
            </w:r>
            <w:r w:rsidR="00280C9A" w:rsidRPr="00983B42">
              <w:rPr>
                <w:sz w:val="22"/>
                <w:szCs w:val="22"/>
                <w:lang w:val="sr-Latn-ME"/>
              </w:rPr>
              <w:t>a slabost, umor i malaksalost</w:t>
            </w:r>
          </w:p>
        </w:tc>
        <w:tc>
          <w:tcPr>
            <w:tcW w:w="1652"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r w:rsidRPr="00983B42">
              <w:rPr>
                <w:sz w:val="22"/>
                <w:szCs w:val="22"/>
                <w:lang w:val="sr-Latn-ME"/>
              </w:rPr>
              <w:t>Povišena tjelesna temperatura, Periferni edem</w:t>
            </w:r>
          </w:p>
        </w:tc>
        <w:tc>
          <w:tcPr>
            <w:tcW w:w="1750"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c>
          <w:tcPr>
            <w:tcW w:w="1842" w:type="dxa"/>
            <w:tcBorders>
              <w:top w:val="single" w:sz="4" w:space="0" w:color="auto"/>
              <w:left w:val="single" w:sz="4" w:space="0" w:color="auto"/>
              <w:bottom w:val="single" w:sz="4" w:space="0" w:color="auto"/>
              <w:right w:val="single" w:sz="4" w:space="0" w:color="auto"/>
            </w:tcBorders>
          </w:tcPr>
          <w:p w:rsidR="00280C9A" w:rsidRPr="00983B42" w:rsidRDefault="00280C9A" w:rsidP="003D04E4">
            <w:pPr>
              <w:autoSpaceDE w:val="0"/>
              <w:autoSpaceDN w:val="0"/>
              <w:adjustRightInd w:val="0"/>
              <w:jc w:val="both"/>
              <w:rPr>
                <w:sz w:val="22"/>
                <w:szCs w:val="22"/>
                <w:lang w:val="sr-Latn-ME"/>
              </w:rPr>
            </w:pPr>
          </w:p>
        </w:tc>
      </w:tr>
    </w:tbl>
    <w:p w:rsidR="00280C9A" w:rsidRPr="00983B42" w:rsidRDefault="00280C9A" w:rsidP="00280C9A">
      <w:pPr>
        <w:jc w:val="both"/>
        <w:rPr>
          <w:sz w:val="22"/>
          <w:szCs w:val="22"/>
          <w:lang w:val="sr-Latn-ME" w:eastAsia="hr-HR"/>
        </w:rPr>
      </w:pPr>
      <w:r w:rsidRPr="00983B42">
        <w:rPr>
          <w:sz w:val="22"/>
          <w:szCs w:val="22"/>
          <w:vertAlign w:val="superscript"/>
          <w:lang w:val="sr-Latn-ME" w:eastAsia="hr-HR"/>
        </w:rPr>
        <w:t xml:space="preserve">1. </w:t>
      </w:r>
      <w:r w:rsidRPr="00983B42">
        <w:rPr>
          <w:noProof/>
          <w:sz w:val="22"/>
          <w:szCs w:val="22"/>
          <w:lang w:val="sr-Latn-ME" w:eastAsia="bs-Latn-BA"/>
        </w:rPr>
        <w:t>Hipokalcijemija i/ili hipokalemija mogu biti povezane s pojavom hipomagnezijeme (pogledati dio 4.4)</w:t>
      </w:r>
    </w:p>
    <w:p w:rsidR="00280C9A" w:rsidRPr="00983B42" w:rsidRDefault="00280C9A" w:rsidP="00280C9A">
      <w:pPr>
        <w:jc w:val="both"/>
        <w:rPr>
          <w:sz w:val="22"/>
          <w:szCs w:val="22"/>
          <w:lang w:val="sr-Latn-ME" w:eastAsia="hr-HR"/>
        </w:rPr>
      </w:pPr>
      <w:r w:rsidRPr="00983B42">
        <w:rPr>
          <w:sz w:val="22"/>
          <w:szCs w:val="22"/>
          <w:vertAlign w:val="superscript"/>
          <w:lang w:val="sr-Latn-ME" w:eastAsia="hr-HR"/>
        </w:rPr>
        <w:t xml:space="preserve">2. </w:t>
      </w:r>
      <w:r w:rsidRPr="00983B42">
        <w:rPr>
          <w:sz w:val="22"/>
          <w:szCs w:val="22"/>
          <w:lang w:val="sr-Latn-ME" w:eastAsia="hr-HR"/>
        </w:rPr>
        <w:t>Mišićni spazam kao posljedica poremećaja elektrolita.</w:t>
      </w:r>
    </w:p>
    <w:p w:rsidR="00E82C3D" w:rsidRPr="00983B42" w:rsidRDefault="00E82C3D" w:rsidP="00E82C3D">
      <w:pPr>
        <w:rPr>
          <w:sz w:val="22"/>
          <w:szCs w:val="22"/>
          <w:lang w:val="sr-Latn-ME" w:eastAsia="hr-HR"/>
        </w:rPr>
      </w:pPr>
    </w:p>
    <w:p w:rsidR="005A23D2" w:rsidRPr="00983B42" w:rsidRDefault="005A23D2" w:rsidP="00A46C9A">
      <w:pPr>
        <w:spacing w:after="200" w:line="276" w:lineRule="auto"/>
        <w:rPr>
          <w:rFonts w:eastAsia="Calibri"/>
          <w:sz w:val="22"/>
          <w:szCs w:val="22"/>
          <w:u w:val="single"/>
          <w:lang w:val="sr-Latn-ME"/>
        </w:rPr>
      </w:pPr>
      <w:r w:rsidRPr="00983B42">
        <w:rPr>
          <w:rFonts w:eastAsia="Calibri"/>
          <w:sz w:val="22"/>
          <w:szCs w:val="22"/>
          <w:u w:val="single"/>
          <w:lang w:val="sr-Latn-ME"/>
        </w:rPr>
        <w:t>Prijavljivanje sumnji na neželjena dejstva</w:t>
      </w:r>
    </w:p>
    <w:p w:rsidR="005A23D2" w:rsidRPr="00983B42" w:rsidRDefault="005A23D2" w:rsidP="00A46C9A">
      <w:pPr>
        <w:spacing w:after="200"/>
        <w:jc w:val="both"/>
        <w:rPr>
          <w:rFonts w:eastAsia="Calibri"/>
          <w:sz w:val="22"/>
          <w:szCs w:val="22"/>
          <w:lang w:val="sr-Latn-ME"/>
        </w:rPr>
      </w:pPr>
      <w:r w:rsidRPr="00983B42">
        <w:rPr>
          <w:rFonts w:eastAsia="Calibri"/>
          <w:sz w:val="22"/>
          <w:szCs w:val="22"/>
          <w:lang w:val="sr-Latn-ME"/>
        </w:rPr>
        <w:t>Prijavljivanje neželjenih dejstava nakon dobijanja dozvole je od velikog značaja jer obezbjeđuje kont</w:t>
      </w:r>
      <w:r w:rsidR="00EA5765" w:rsidRPr="00983B42">
        <w:rPr>
          <w:rFonts w:eastAsia="Calibri"/>
          <w:sz w:val="22"/>
          <w:szCs w:val="22"/>
          <w:lang w:val="sr-Latn-ME"/>
        </w:rPr>
        <w:t>inuirano praćenje odnosa korist</w:t>
      </w:r>
      <w:r w:rsidRPr="00983B42">
        <w:rPr>
          <w:rFonts w:eastAsia="Calibri"/>
          <w:sz w:val="22"/>
          <w:szCs w:val="22"/>
          <w:lang w:val="sr-Latn-ME"/>
        </w:rPr>
        <w:t>/rizik primjene lijeka. Zdravstveni radnici treba da prijave svaku sumnju na neželjeno</w:t>
      </w:r>
      <w:r w:rsidR="009B062A" w:rsidRPr="00983B42">
        <w:rPr>
          <w:rFonts w:eastAsia="Calibri"/>
          <w:sz w:val="22"/>
          <w:szCs w:val="22"/>
          <w:lang w:val="sr-Latn-ME"/>
        </w:rPr>
        <w:t xml:space="preserve"> </w:t>
      </w:r>
      <w:r w:rsidRPr="00983B42">
        <w:rPr>
          <w:rFonts w:eastAsia="Calibri"/>
          <w:sz w:val="22"/>
          <w:szCs w:val="22"/>
          <w:lang w:val="sr-Latn-ME"/>
        </w:rPr>
        <w:t xml:space="preserve">dejstvo ovog lijeka </w:t>
      </w:r>
      <w:r w:rsidR="004E70AD" w:rsidRPr="00983B42">
        <w:rPr>
          <w:rFonts w:eastAsia="Calibri"/>
          <w:sz w:val="22"/>
          <w:szCs w:val="22"/>
          <w:lang w:val="sr-Latn-ME"/>
        </w:rPr>
        <w:t>Institutu</w:t>
      </w:r>
      <w:r w:rsidRPr="00983B42">
        <w:rPr>
          <w:rFonts w:eastAsia="Calibri"/>
          <w:sz w:val="22"/>
          <w:szCs w:val="22"/>
          <w:lang w:val="sr-Latn-ME"/>
        </w:rPr>
        <w:t xml:space="preserve"> za ljekove i medicinska sredstva</w:t>
      </w:r>
      <w:r w:rsidR="004E70AD" w:rsidRPr="00983B42">
        <w:rPr>
          <w:rFonts w:eastAsia="Calibri"/>
          <w:sz w:val="22"/>
          <w:szCs w:val="22"/>
          <w:lang w:val="sr-Latn-ME"/>
        </w:rPr>
        <w:t xml:space="preserve"> </w:t>
      </w:r>
      <w:r w:rsidRPr="00983B42">
        <w:rPr>
          <w:rFonts w:eastAsia="Calibri"/>
          <w:sz w:val="22"/>
          <w:szCs w:val="22"/>
          <w:lang w:val="sr-Latn-ME"/>
        </w:rPr>
        <w:t>(</w:t>
      </w:r>
      <w:r w:rsidR="004E70AD" w:rsidRPr="00983B42">
        <w:rPr>
          <w:rFonts w:eastAsia="Calibri"/>
          <w:sz w:val="22"/>
          <w:szCs w:val="22"/>
          <w:lang w:val="sr-Latn-ME"/>
        </w:rPr>
        <w:t>CInMED</w:t>
      </w:r>
      <w:r w:rsidRPr="00983B42">
        <w:rPr>
          <w:rFonts w:eastAsia="Calibri"/>
          <w:sz w:val="22"/>
          <w:szCs w:val="22"/>
          <w:lang w:val="sr-Latn-ME"/>
        </w:rPr>
        <w:t>):</w:t>
      </w:r>
    </w:p>
    <w:p w:rsidR="005A23D2" w:rsidRPr="00983B42" w:rsidRDefault="004E70AD" w:rsidP="00A46C9A">
      <w:pPr>
        <w:pStyle w:val="NoSpacing"/>
        <w:jc w:val="both"/>
        <w:rPr>
          <w:rFonts w:eastAsia="Calibri"/>
          <w:sz w:val="22"/>
          <w:szCs w:val="22"/>
          <w:lang w:val="sr-Latn-ME"/>
        </w:rPr>
      </w:pPr>
      <w:r w:rsidRPr="00983B42">
        <w:rPr>
          <w:rFonts w:eastAsia="Calibri"/>
          <w:sz w:val="22"/>
          <w:szCs w:val="22"/>
          <w:lang w:val="sr-Latn-ME"/>
        </w:rPr>
        <w:t xml:space="preserve">Institut </w:t>
      </w:r>
      <w:r w:rsidR="005A23D2" w:rsidRPr="00983B42">
        <w:rPr>
          <w:rFonts w:eastAsia="Calibri"/>
          <w:sz w:val="22"/>
          <w:szCs w:val="22"/>
          <w:lang w:val="sr-Latn-ME"/>
        </w:rPr>
        <w:t xml:space="preserve">za ljekove i medicinska sredstva </w:t>
      </w:r>
    </w:p>
    <w:p w:rsidR="005A23D2" w:rsidRPr="00983B42" w:rsidRDefault="005A23D2" w:rsidP="00A46C9A">
      <w:pPr>
        <w:pStyle w:val="NoSpacing"/>
        <w:jc w:val="both"/>
        <w:rPr>
          <w:rFonts w:eastAsia="Calibri"/>
          <w:sz w:val="22"/>
          <w:szCs w:val="22"/>
          <w:lang w:val="sr-Latn-ME"/>
        </w:rPr>
      </w:pPr>
      <w:r w:rsidRPr="00983B42">
        <w:rPr>
          <w:rFonts w:eastAsia="Calibri"/>
          <w:sz w:val="22"/>
          <w:szCs w:val="22"/>
          <w:lang w:val="sr-Latn-ME"/>
        </w:rPr>
        <w:t>Odjeljenje za farmakovigilancu</w:t>
      </w:r>
    </w:p>
    <w:p w:rsidR="00EA5765" w:rsidRPr="00983B42" w:rsidRDefault="005A23D2" w:rsidP="00A46C9A">
      <w:pPr>
        <w:pStyle w:val="NoSpacing"/>
        <w:jc w:val="both"/>
        <w:rPr>
          <w:rFonts w:eastAsia="Calibri"/>
          <w:sz w:val="22"/>
          <w:szCs w:val="22"/>
          <w:lang w:val="sr-Latn-ME"/>
        </w:rPr>
      </w:pPr>
      <w:r w:rsidRPr="00983B42">
        <w:rPr>
          <w:rFonts w:eastAsia="Calibri"/>
          <w:sz w:val="22"/>
          <w:szCs w:val="22"/>
          <w:lang w:val="sr-Latn-ME"/>
        </w:rPr>
        <w:t>Bulevar Ivana Crnojevića 64a, 81000 Podgorica</w:t>
      </w:r>
    </w:p>
    <w:p w:rsidR="00EA5765" w:rsidRPr="00983B42" w:rsidRDefault="00EA5765" w:rsidP="00A46C9A">
      <w:pPr>
        <w:pStyle w:val="NoSpacing"/>
        <w:rPr>
          <w:rFonts w:eastAsia="Calibri"/>
          <w:sz w:val="22"/>
          <w:szCs w:val="22"/>
          <w:lang w:val="sr-Latn-ME"/>
        </w:rPr>
      </w:pPr>
    </w:p>
    <w:p w:rsidR="005A23D2" w:rsidRPr="00983B42" w:rsidRDefault="005A23D2" w:rsidP="00A46C9A">
      <w:pPr>
        <w:pStyle w:val="NoSpacing"/>
        <w:jc w:val="both"/>
        <w:rPr>
          <w:rFonts w:eastAsia="Calibri"/>
          <w:sz w:val="22"/>
          <w:szCs w:val="22"/>
          <w:lang w:val="sr-Latn-ME"/>
        </w:rPr>
      </w:pPr>
      <w:r w:rsidRPr="00983B42">
        <w:rPr>
          <w:rFonts w:eastAsia="Calibri"/>
          <w:sz w:val="22"/>
          <w:szCs w:val="22"/>
          <w:lang w:val="sr-Latn-ME"/>
        </w:rPr>
        <w:t>tel: +382 (0) 20 310 280</w:t>
      </w:r>
    </w:p>
    <w:p w:rsidR="00EA5765" w:rsidRPr="00983B42" w:rsidRDefault="005A23D2" w:rsidP="00A46C9A">
      <w:pPr>
        <w:pStyle w:val="NoSpacing"/>
        <w:jc w:val="both"/>
        <w:rPr>
          <w:rFonts w:eastAsia="Calibri"/>
          <w:sz w:val="22"/>
          <w:szCs w:val="22"/>
          <w:lang w:val="sr-Latn-ME"/>
        </w:rPr>
      </w:pPr>
      <w:r w:rsidRPr="00983B42">
        <w:rPr>
          <w:rFonts w:eastAsia="Calibri"/>
          <w:sz w:val="22"/>
          <w:szCs w:val="22"/>
          <w:lang w:val="sr-Latn-ME"/>
        </w:rPr>
        <w:t>fax:</w:t>
      </w:r>
      <w:r w:rsidR="00EA5765" w:rsidRPr="00983B42">
        <w:rPr>
          <w:rFonts w:eastAsia="Calibri"/>
          <w:sz w:val="22"/>
          <w:szCs w:val="22"/>
          <w:lang w:val="sr-Latn-ME"/>
        </w:rPr>
        <w:t xml:space="preserve"> </w:t>
      </w:r>
      <w:r w:rsidRPr="00983B42">
        <w:rPr>
          <w:rFonts w:eastAsia="Calibri"/>
          <w:sz w:val="22"/>
          <w:szCs w:val="22"/>
          <w:lang w:val="sr-Latn-ME"/>
        </w:rPr>
        <w:t>+382 (0) 20 310 581</w:t>
      </w:r>
    </w:p>
    <w:p w:rsidR="005A23D2" w:rsidRPr="00983B42" w:rsidRDefault="004C032B" w:rsidP="00A46C9A">
      <w:pPr>
        <w:pStyle w:val="NoSpacing"/>
        <w:jc w:val="both"/>
        <w:rPr>
          <w:rFonts w:eastAsia="Calibri"/>
          <w:sz w:val="22"/>
          <w:szCs w:val="22"/>
          <w:lang w:val="sr-Latn-ME"/>
        </w:rPr>
      </w:pPr>
      <w:hyperlink r:id="rId8" w:history="1">
        <w:r w:rsidR="004E70AD" w:rsidRPr="00983B42">
          <w:rPr>
            <w:rStyle w:val="Hyperlink"/>
            <w:rFonts w:eastAsia="Calibri"/>
            <w:sz w:val="22"/>
            <w:szCs w:val="22"/>
            <w:lang w:val="sr-Latn-ME"/>
          </w:rPr>
          <w:t>www.cinmed.me</w:t>
        </w:r>
      </w:hyperlink>
    </w:p>
    <w:p w:rsidR="00EA5765" w:rsidRPr="00983B42" w:rsidRDefault="004C032B" w:rsidP="00A46C9A">
      <w:pPr>
        <w:pStyle w:val="NoSpacing"/>
        <w:jc w:val="both"/>
        <w:rPr>
          <w:rFonts w:eastAsia="Calibri"/>
          <w:color w:val="0000FF"/>
          <w:sz w:val="22"/>
          <w:szCs w:val="22"/>
          <w:u w:val="single"/>
          <w:lang w:val="sr-Latn-ME"/>
        </w:rPr>
      </w:pPr>
      <w:hyperlink r:id="rId9" w:history="1">
        <w:r w:rsidR="004E70AD" w:rsidRPr="00983B42">
          <w:rPr>
            <w:rStyle w:val="Hyperlink"/>
            <w:rFonts w:eastAsia="Calibri"/>
            <w:sz w:val="22"/>
            <w:szCs w:val="22"/>
            <w:lang w:val="sr-Latn-ME"/>
          </w:rPr>
          <w:t>nezeljenadejstva@cinmed.me</w:t>
        </w:r>
      </w:hyperlink>
    </w:p>
    <w:p w:rsidR="005A23D2" w:rsidRPr="00983B42" w:rsidRDefault="005A23D2" w:rsidP="00A46C9A">
      <w:pPr>
        <w:pStyle w:val="NoSpacing"/>
        <w:jc w:val="both"/>
        <w:rPr>
          <w:rFonts w:eastAsia="Calibri"/>
          <w:sz w:val="22"/>
          <w:szCs w:val="22"/>
          <w:lang w:val="sr-Latn-ME"/>
        </w:rPr>
      </w:pPr>
      <w:r w:rsidRPr="00983B42">
        <w:rPr>
          <w:rFonts w:eastAsia="Calibri"/>
          <w:sz w:val="22"/>
          <w:szCs w:val="22"/>
          <w:lang w:val="sr-Latn-ME"/>
        </w:rPr>
        <w:lastRenderedPageBreak/>
        <w:t>putem IS zdravstvene zaštite</w:t>
      </w:r>
    </w:p>
    <w:p w:rsidR="00573EBB" w:rsidRPr="00983B42" w:rsidRDefault="00573EBB" w:rsidP="00573EBB">
      <w:pPr>
        <w:pStyle w:val="NoSpacing"/>
        <w:jc w:val="both"/>
        <w:rPr>
          <w:rFonts w:eastAsia="Calibri"/>
          <w:sz w:val="22"/>
          <w:szCs w:val="22"/>
          <w:lang w:val="sr-Latn-ME"/>
        </w:rPr>
      </w:pPr>
      <w:r w:rsidRPr="00983B42">
        <w:rPr>
          <w:rFonts w:eastAsia="Calibri"/>
          <w:sz w:val="22"/>
          <w:szCs w:val="22"/>
          <w:lang w:val="sr-Latn-ME"/>
        </w:rPr>
        <w:t>QR kod za online prijavu sumnje na neželjeno dejstvo lijeka:</w:t>
      </w:r>
    </w:p>
    <w:p w:rsidR="00573EBB" w:rsidRPr="00983B42" w:rsidRDefault="00573EBB" w:rsidP="00A46C9A">
      <w:pPr>
        <w:pStyle w:val="NoSpacing"/>
        <w:jc w:val="both"/>
        <w:rPr>
          <w:rFonts w:eastAsia="Calibri"/>
          <w:sz w:val="22"/>
          <w:szCs w:val="22"/>
          <w:lang w:val="sr-Latn-ME"/>
        </w:rPr>
      </w:pPr>
    </w:p>
    <w:p w:rsidR="00573EBB" w:rsidRPr="00983B42" w:rsidRDefault="00573EBB" w:rsidP="00A46C9A">
      <w:pPr>
        <w:pStyle w:val="NoSpacing"/>
        <w:jc w:val="both"/>
        <w:rPr>
          <w:rFonts w:eastAsia="Calibri"/>
          <w:sz w:val="22"/>
          <w:szCs w:val="22"/>
          <w:lang w:val="sr-Latn-ME"/>
        </w:rPr>
      </w:pPr>
      <w:r w:rsidRPr="00983B42">
        <w:rPr>
          <w:noProof/>
          <w:sz w:val="22"/>
          <w:szCs w:val="22"/>
          <w:lang w:val="sr-Latn-ME" w:eastAsia="sr-Latn-ME"/>
        </w:rPr>
        <w:drawing>
          <wp:inline distT="0" distB="0" distL="0" distR="0" wp14:anchorId="3687BCCB" wp14:editId="10629662">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836B35" w:rsidRPr="00983B42" w:rsidRDefault="00836B35" w:rsidP="00480FB1">
      <w:pPr>
        <w:tabs>
          <w:tab w:val="left" w:pos="540"/>
          <w:tab w:val="left" w:pos="569"/>
        </w:tabs>
        <w:rPr>
          <w:b/>
          <w:bCs/>
          <w:sz w:val="22"/>
          <w:szCs w:val="22"/>
          <w:lang w:val="sr-Latn-ME"/>
        </w:rPr>
      </w:pPr>
    </w:p>
    <w:p w:rsidR="00CD6F02"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4.9. </w:t>
      </w:r>
      <w:r w:rsidR="00480FB1" w:rsidRPr="00983B42">
        <w:rPr>
          <w:b/>
          <w:bCs/>
          <w:sz w:val="22"/>
          <w:szCs w:val="22"/>
          <w:lang w:val="sr-Latn-ME"/>
        </w:rPr>
        <w:tab/>
      </w:r>
      <w:r w:rsidRPr="00983B42">
        <w:rPr>
          <w:b/>
          <w:bCs/>
          <w:sz w:val="22"/>
          <w:szCs w:val="22"/>
          <w:lang w:val="sr-Latn-ME"/>
        </w:rPr>
        <w:t>Predoziranje</w:t>
      </w:r>
      <w:r w:rsidR="002846DB" w:rsidRPr="00983B42">
        <w:rPr>
          <w:b/>
          <w:bCs/>
          <w:sz w:val="22"/>
          <w:szCs w:val="22"/>
          <w:lang w:val="sr-Latn-ME"/>
        </w:rPr>
        <w:t xml:space="preserve"> </w:t>
      </w:r>
    </w:p>
    <w:p w:rsidR="00573EBB" w:rsidRPr="00983B42" w:rsidRDefault="00573EBB" w:rsidP="00F86CF5">
      <w:pPr>
        <w:jc w:val="both"/>
        <w:rPr>
          <w:sz w:val="22"/>
          <w:szCs w:val="22"/>
          <w:lang w:val="sr-Latn-ME"/>
        </w:rPr>
      </w:pPr>
    </w:p>
    <w:p w:rsidR="00F86CF5" w:rsidRPr="00983B42" w:rsidRDefault="00F86CF5" w:rsidP="00F86CF5">
      <w:pPr>
        <w:jc w:val="both"/>
        <w:rPr>
          <w:sz w:val="22"/>
          <w:szCs w:val="22"/>
          <w:lang w:val="sr-Latn-ME"/>
        </w:rPr>
      </w:pPr>
      <w:r w:rsidRPr="00983B42">
        <w:rPr>
          <w:sz w:val="22"/>
          <w:szCs w:val="22"/>
          <w:lang w:val="sr-Latn-ME"/>
        </w:rPr>
        <w:t xml:space="preserve">Nema poznatih simptoma predoziranja </w:t>
      </w:r>
      <w:r w:rsidR="004E5148" w:rsidRPr="00983B42">
        <w:rPr>
          <w:sz w:val="22"/>
          <w:szCs w:val="22"/>
          <w:lang w:val="sr-Latn-ME"/>
        </w:rPr>
        <w:t>kod</w:t>
      </w:r>
      <w:r w:rsidRPr="00983B42">
        <w:rPr>
          <w:sz w:val="22"/>
          <w:szCs w:val="22"/>
          <w:lang w:val="sr-Latn-ME"/>
        </w:rPr>
        <w:t xml:space="preserve"> ljudi.</w:t>
      </w:r>
    </w:p>
    <w:p w:rsidR="00F86CF5" w:rsidRPr="00983B42" w:rsidRDefault="00F86CF5" w:rsidP="00F86CF5">
      <w:pPr>
        <w:jc w:val="both"/>
        <w:rPr>
          <w:sz w:val="22"/>
          <w:szCs w:val="22"/>
          <w:lang w:val="sr-Latn-ME"/>
        </w:rPr>
      </w:pPr>
    </w:p>
    <w:p w:rsidR="00F86CF5" w:rsidRPr="00983B42" w:rsidRDefault="00F86CF5" w:rsidP="00F86CF5">
      <w:pPr>
        <w:jc w:val="both"/>
        <w:rPr>
          <w:sz w:val="22"/>
          <w:szCs w:val="22"/>
          <w:lang w:val="sr-Latn-ME"/>
        </w:rPr>
      </w:pPr>
      <w:r w:rsidRPr="00983B42">
        <w:rPr>
          <w:sz w:val="22"/>
          <w:szCs w:val="22"/>
          <w:lang w:val="sr-Latn-ME"/>
        </w:rPr>
        <w:t>Sistemska izloženost do 240 mg pri intravenskoj primjeni tokom perioda od 2 minute, pokazala je dobru podnošljivost.</w:t>
      </w:r>
    </w:p>
    <w:p w:rsidR="00F86CF5" w:rsidRPr="00983B42" w:rsidRDefault="00F86CF5" w:rsidP="00F86CF5">
      <w:pPr>
        <w:jc w:val="both"/>
        <w:rPr>
          <w:sz w:val="22"/>
          <w:szCs w:val="22"/>
          <w:lang w:val="sr-Latn-ME"/>
        </w:rPr>
      </w:pPr>
    </w:p>
    <w:p w:rsidR="00F86CF5" w:rsidRPr="00983B42" w:rsidRDefault="00F86CF5" w:rsidP="00F86CF5">
      <w:pPr>
        <w:jc w:val="both"/>
        <w:rPr>
          <w:sz w:val="22"/>
          <w:szCs w:val="22"/>
          <w:lang w:val="sr-Latn-ME"/>
        </w:rPr>
      </w:pPr>
      <w:r w:rsidRPr="00983B42">
        <w:rPr>
          <w:sz w:val="22"/>
          <w:szCs w:val="22"/>
          <w:lang w:val="sr-Latn-ME"/>
        </w:rPr>
        <w:t>Budući da je pantoprazol op</w:t>
      </w:r>
      <w:r w:rsidR="00D4528B" w:rsidRPr="00983B42">
        <w:rPr>
          <w:sz w:val="22"/>
          <w:szCs w:val="22"/>
          <w:lang w:val="sr-Latn-ME"/>
        </w:rPr>
        <w:t>sežno vezan za proteine, nije</w:t>
      </w:r>
      <w:r w:rsidRPr="00983B42">
        <w:rPr>
          <w:sz w:val="22"/>
          <w:szCs w:val="22"/>
          <w:lang w:val="sr-Latn-ME"/>
        </w:rPr>
        <w:t xml:space="preserve"> lako </w:t>
      </w:r>
      <w:r w:rsidR="004767A7" w:rsidRPr="00983B42">
        <w:rPr>
          <w:sz w:val="22"/>
          <w:szCs w:val="22"/>
          <w:lang w:val="sr-Latn-ME"/>
        </w:rPr>
        <w:t>da se dijalizira</w:t>
      </w:r>
      <w:r w:rsidRPr="00983B42">
        <w:rPr>
          <w:sz w:val="22"/>
          <w:szCs w:val="22"/>
          <w:lang w:val="sr-Latn-ME"/>
        </w:rPr>
        <w:t>.</w:t>
      </w:r>
    </w:p>
    <w:p w:rsidR="00F86CF5" w:rsidRPr="00983B42" w:rsidRDefault="00F86CF5" w:rsidP="00F86CF5">
      <w:pPr>
        <w:jc w:val="both"/>
        <w:rPr>
          <w:sz w:val="22"/>
          <w:szCs w:val="22"/>
          <w:lang w:val="sr-Latn-ME"/>
        </w:rPr>
      </w:pPr>
    </w:p>
    <w:p w:rsidR="00CD6F02" w:rsidRPr="00983B42" w:rsidRDefault="00F86CF5" w:rsidP="004E5148">
      <w:pPr>
        <w:jc w:val="both"/>
        <w:rPr>
          <w:sz w:val="22"/>
          <w:szCs w:val="22"/>
          <w:lang w:val="sr-Latn-ME"/>
        </w:rPr>
      </w:pPr>
      <w:r w:rsidRPr="00983B42">
        <w:rPr>
          <w:sz w:val="22"/>
          <w:szCs w:val="22"/>
          <w:lang w:val="sr-Latn-ME"/>
        </w:rPr>
        <w:t xml:space="preserve">U slučaju predoziranja s kliničkim znacima intoksikacije, izuzev simptomatskog i suportivnog liječenja, ne mogu </w:t>
      </w:r>
      <w:r w:rsidR="00524C63" w:rsidRPr="00983B42">
        <w:rPr>
          <w:sz w:val="22"/>
          <w:szCs w:val="22"/>
          <w:lang w:val="sr-Latn-ME"/>
        </w:rPr>
        <w:t>da se daju</w:t>
      </w:r>
      <w:r w:rsidRPr="00983B42">
        <w:rPr>
          <w:sz w:val="22"/>
          <w:szCs w:val="22"/>
          <w:lang w:val="sr-Latn-ME"/>
        </w:rPr>
        <w:t xml:space="preserve"> specifične terapijske preporuke.</w:t>
      </w:r>
    </w:p>
    <w:p w:rsidR="00143C01" w:rsidRDefault="00143C01" w:rsidP="00480FB1">
      <w:pPr>
        <w:tabs>
          <w:tab w:val="left" w:pos="540"/>
          <w:tab w:val="left" w:pos="569"/>
        </w:tabs>
        <w:rPr>
          <w:b/>
          <w:bCs/>
          <w:sz w:val="22"/>
          <w:szCs w:val="22"/>
          <w:lang w:val="sr-Latn-ME"/>
        </w:rPr>
      </w:pPr>
    </w:p>
    <w:p w:rsidR="00983B42" w:rsidRPr="00983B42" w:rsidRDefault="00983B42" w:rsidP="00480FB1">
      <w:pPr>
        <w:tabs>
          <w:tab w:val="left" w:pos="540"/>
          <w:tab w:val="left" w:pos="569"/>
        </w:tabs>
        <w:rPr>
          <w:b/>
          <w:bCs/>
          <w:sz w:val="22"/>
          <w:szCs w:val="22"/>
          <w:lang w:val="sr-Latn-ME"/>
        </w:rPr>
      </w:pPr>
    </w:p>
    <w:p w:rsidR="0072020E"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5. </w:t>
      </w:r>
      <w:r w:rsidR="00480FB1" w:rsidRPr="00983B42">
        <w:rPr>
          <w:b/>
          <w:bCs/>
          <w:sz w:val="22"/>
          <w:szCs w:val="22"/>
          <w:lang w:val="sr-Latn-ME"/>
        </w:rPr>
        <w:tab/>
      </w:r>
      <w:r w:rsidRPr="00983B42">
        <w:rPr>
          <w:b/>
          <w:bCs/>
          <w:sz w:val="22"/>
          <w:szCs w:val="22"/>
          <w:lang w:val="sr-Latn-ME"/>
        </w:rPr>
        <w:t>FARMAKOLOŠK</w:t>
      </w:r>
      <w:r w:rsidR="000D425A" w:rsidRPr="00983B42">
        <w:rPr>
          <w:b/>
          <w:bCs/>
          <w:sz w:val="22"/>
          <w:szCs w:val="22"/>
          <w:lang w:val="sr-Latn-ME"/>
        </w:rPr>
        <w:t>I</w:t>
      </w:r>
      <w:r w:rsidRPr="00983B42">
        <w:rPr>
          <w:b/>
          <w:bCs/>
          <w:sz w:val="22"/>
          <w:szCs w:val="22"/>
          <w:lang w:val="sr-Latn-ME"/>
        </w:rPr>
        <w:t xml:space="preserve"> PODACI</w:t>
      </w:r>
    </w:p>
    <w:p w:rsidR="0072020E" w:rsidRPr="00983B42" w:rsidRDefault="0072020E" w:rsidP="00480FB1">
      <w:pPr>
        <w:tabs>
          <w:tab w:val="left" w:pos="540"/>
          <w:tab w:val="left" w:pos="569"/>
        </w:tabs>
        <w:rPr>
          <w:b/>
          <w:bCs/>
          <w:sz w:val="22"/>
          <w:szCs w:val="22"/>
          <w:lang w:val="sr-Latn-ME"/>
        </w:rPr>
      </w:pPr>
    </w:p>
    <w:p w:rsidR="0072020E"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5.1. </w:t>
      </w:r>
      <w:r w:rsidR="00480FB1" w:rsidRPr="00983B42">
        <w:rPr>
          <w:b/>
          <w:bCs/>
          <w:sz w:val="22"/>
          <w:szCs w:val="22"/>
          <w:lang w:val="sr-Latn-ME"/>
        </w:rPr>
        <w:tab/>
      </w:r>
      <w:r w:rsidRPr="00983B42">
        <w:rPr>
          <w:b/>
          <w:bCs/>
          <w:sz w:val="22"/>
          <w:szCs w:val="22"/>
          <w:lang w:val="sr-Latn-ME"/>
        </w:rPr>
        <w:t>Farmakodinamski podaci</w:t>
      </w:r>
      <w:r w:rsidR="003A7059" w:rsidRPr="00983B42">
        <w:rPr>
          <w:b/>
          <w:bCs/>
          <w:sz w:val="22"/>
          <w:szCs w:val="22"/>
          <w:lang w:val="sr-Latn-ME"/>
        </w:rPr>
        <w:t xml:space="preserve"> </w:t>
      </w:r>
    </w:p>
    <w:p w:rsidR="00F45F77" w:rsidRPr="00983B42" w:rsidRDefault="00F45F77" w:rsidP="00480FB1">
      <w:pPr>
        <w:tabs>
          <w:tab w:val="left" w:pos="540"/>
          <w:tab w:val="left" w:pos="569"/>
        </w:tabs>
        <w:rPr>
          <w:b/>
          <w:bCs/>
          <w:sz w:val="22"/>
          <w:szCs w:val="22"/>
          <w:lang w:val="sr-Latn-ME"/>
        </w:rPr>
      </w:pPr>
    </w:p>
    <w:p w:rsidR="0072020E" w:rsidRPr="00983B42" w:rsidRDefault="0072020E" w:rsidP="00E455D3">
      <w:pPr>
        <w:tabs>
          <w:tab w:val="left" w:pos="540"/>
          <w:tab w:val="left" w:pos="569"/>
        </w:tabs>
        <w:jc w:val="both"/>
        <w:rPr>
          <w:bCs/>
          <w:sz w:val="22"/>
          <w:szCs w:val="22"/>
          <w:lang w:val="sr-Latn-ME"/>
        </w:rPr>
      </w:pPr>
      <w:r w:rsidRPr="00983B42">
        <w:rPr>
          <w:bCs/>
          <w:sz w:val="22"/>
          <w:szCs w:val="22"/>
          <w:lang w:val="sr-Latn-ME"/>
        </w:rPr>
        <w:t>Farmakoterapijska grupa:</w:t>
      </w:r>
      <w:r w:rsidR="00E455D3" w:rsidRPr="00983B42">
        <w:rPr>
          <w:bCs/>
          <w:sz w:val="22"/>
          <w:szCs w:val="22"/>
          <w:lang w:val="sr-Latn-ME"/>
        </w:rPr>
        <w:t xml:space="preserve"> </w:t>
      </w:r>
      <w:r w:rsidR="00E455D3" w:rsidRPr="00983B42">
        <w:rPr>
          <w:sz w:val="22"/>
          <w:szCs w:val="22"/>
          <w:lang w:val="sr-Latn-ME"/>
        </w:rPr>
        <w:t>Inhibitori protonske pumpe.</w:t>
      </w:r>
    </w:p>
    <w:p w:rsidR="0072020E" w:rsidRPr="00983B42" w:rsidRDefault="0072020E" w:rsidP="00480FB1">
      <w:pPr>
        <w:tabs>
          <w:tab w:val="left" w:pos="540"/>
          <w:tab w:val="left" w:pos="569"/>
        </w:tabs>
        <w:rPr>
          <w:bCs/>
          <w:sz w:val="22"/>
          <w:szCs w:val="22"/>
          <w:lang w:val="sr-Latn-ME"/>
        </w:rPr>
      </w:pPr>
    </w:p>
    <w:p w:rsidR="0072020E" w:rsidRPr="00983B42" w:rsidRDefault="0072020E" w:rsidP="00E455D3">
      <w:pPr>
        <w:tabs>
          <w:tab w:val="left" w:pos="540"/>
          <w:tab w:val="left" w:pos="569"/>
        </w:tabs>
        <w:jc w:val="both"/>
        <w:rPr>
          <w:sz w:val="22"/>
          <w:szCs w:val="22"/>
          <w:lang w:val="sr-Latn-ME"/>
        </w:rPr>
      </w:pPr>
      <w:r w:rsidRPr="00983B42">
        <w:rPr>
          <w:bCs/>
          <w:sz w:val="22"/>
          <w:szCs w:val="22"/>
          <w:lang w:val="sr-Latn-ME"/>
        </w:rPr>
        <w:t>ATC kod:</w:t>
      </w:r>
      <w:r w:rsidR="00E455D3" w:rsidRPr="00983B42">
        <w:rPr>
          <w:bCs/>
          <w:sz w:val="22"/>
          <w:szCs w:val="22"/>
          <w:lang w:val="sr-Latn-ME"/>
        </w:rPr>
        <w:t xml:space="preserve"> </w:t>
      </w:r>
      <w:r w:rsidR="00E455D3" w:rsidRPr="00983B42">
        <w:rPr>
          <w:sz w:val="22"/>
          <w:szCs w:val="22"/>
          <w:lang w:val="sr-Latn-ME"/>
        </w:rPr>
        <w:t>A02BC02</w:t>
      </w:r>
    </w:p>
    <w:p w:rsidR="00E455D3" w:rsidRPr="00983B42" w:rsidRDefault="00E455D3" w:rsidP="00E455D3">
      <w:pPr>
        <w:tabs>
          <w:tab w:val="left" w:pos="540"/>
          <w:tab w:val="left" w:pos="569"/>
        </w:tabs>
        <w:jc w:val="both"/>
        <w:rPr>
          <w:sz w:val="22"/>
          <w:szCs w:val="22"/>
          <w:lang w:val="sr-Latn-ME"/>
        </w:rPr>
      </w:pPr>
    </w:p>
    <w:p w:rsidR="00F86CF5" w:rsidRPr="00983B42" w:rsidRDefault="00F86CF5" w:rsidP="00F86CF5">
      <w:pPr>
        <w:jc w:val="both"/>
        <w:rPr>
          <w:sz w:val="22"/>
          <w:szCs w:val="22"/>
          <w:u w:val="single"/>
          <w:lang w:val="sr-Latn-ME"/>
        </w:rPr>
      </w:pPr>
      <w:r w:rsidRPr="00983B42">
        <w:rPr>
          <w:sz w:val="22"/>
          <w:szCs w:val="22"/>
          <w:u w:val="single"/>
          <w:lang w:val="sr-Latn-ME"/>
        </w:rPr>
        <w:t>Mehanizam d</w:t>
      </w:r>
      <w:r w:rsidR="004E5148" w:rsidRPr="00983B42">
        <w:rPr>
          <w:sz w:val="22"/>
          <w:szCs w:val="22"/>
          <w:u w:val="single"/>
          <w:lang w:val="sr-Latn-ME"/>
        </w:rPr>
        <w:t>ejstva</w:t>
      </w:r>
    </w:p>
    <w:p w:rsidR="00F86CF5" w:rsidRPr="00983B42" w:rsidRDefault="00F86CF5" w:rsidP="00F86CF5">
      <w:pPr>
        <w:jc w:val="both"/>
        <w:rPr>
          <w:sz w:val="22"/>
          <w:szCs w:val="22"/>
          <w:lang w:val="sr-Latn-ME"/>
        </w:rPr>
      </w:pPr>
    </w:p>
    <w:p w:rsidR="00F86CF5" w:rsidRPr="00983B42" w:rsidRDefault="00F86CF5" w:rsidP="00F86CF5">
      <w:pPr>
        <w:jc w:val="both"/>
        <w:rPr>
          <w:sz w:val="22"/>
          <w:szCs w:val="22"/>
          <w:lang w:val="sr-Latn-ME"/>
        </w:rPr>
      </w:pPr>
      <w:r w:rsidRPr="00983B42">
        <w:rPr>
          <w:sz w:val="22"/>
          <w:szCs w:val="22"/>
          <w:lang w:val="sr-Latn-ME"/>
        </w:rPr>
        <w:t>Pantoprazol je supstituirani benzimidazol, koji svojim spec</w:t>
      </w:r>
      <w:r w:rsidR="003C1707" w:rsidRPr="00983B42">
        <w:rPr>
          <w:sz w:val="22"/>
          <w:szCs w:val="22"/>
          <w:lang w:val="sr-Latn-ME"/>
        </w:rPr>
        <w:t>ifičnim blokirajućim dejstvom</w:t>
      </w:r>
      <w:r w:rsidRPr="00983B42">
        <w:rPr>
          <w:sz w:val="22"/>
          <w:szCs w:val="22"/>
          <w:lang w:val="sr-Latn-ME"/>
        </w:rPr>
        <w:t xml:space="preserve"> na protonske pumpe parijetalnih ćelija, inhibira sekreciju hlorovodonične kis</w:t>
      </w:r>
      <w:r w:rsidR="00524C63" w:rsidRPr="00983B42">
        <w:rPr>
          <w:sz w:val="22"/>
          <w:szCs w:val="22"/>
          <w:lang w:val="sr-Latn-ME"/>
        </w:rPr>
        <w:t>j</w:t>
      </w:r>
      <w:r w:rsidRPr="00983B42">
        <w:rPr>
          <w:sz w:val="22"/>
          <w:szCs w:val="22"/>
          <w:lang w:val="sr-Latn-ME"/>
        </w:rPr>
        <w:t>eline u želucu.</w:t>
      </w:r>
    </w:p>
    <w:p w:rsidR="00F86CF5" w:rsidRPr="00983B42" w:rsidRDefault="00F86CF5" w:rsidP="00F86CF5">
      <w:pPr>
        <w:jc w:val="both"/>
        <w:rPr>
          <w:sz w:val="22"/>
          <w:szCs w:val="22"/>
          <w:lang w:val="sr-Latn-ME"/>
        </w:rPr>
      </w:pPr>
    </w:p>
    <w:p w:rsidR="00F86CF5" w:rsidRPr="00983B42" w:rsidRDefault="00F86CF5" w:rsidP="00F86CF5">
      <w:pPr>
        <w:jc w:val="both"/>
        <w:rPr>
          <w:sz w:val="22"/>
          <w:szCs w:val="22"/>
          <w:lang w:val="sr-Latn-ME"/>
        </w:rPr>
      </w:pPr>
      <w:r w:rsidRPr="00983B42">
        <w:rPr>
          <w:sz w:val="22"/>
          <w:szCs w:val="22"/>
          <w:lang w:val="sr-Latn-ME"/>
        </w:rPr>
        <w:t>Pantoprazol prelazi u svoj aktivni oblik u kis</w:t>
      </w:r>
      <w:r w:rsidR="00524C63" w:rsidRPr="00983B42">
        <w:rPr>
          <w:sz w:val="22"/>
          <w:szCs w:val="22"/>
          <w:lang w:val="sr-Latn-ME"/>
        </w:rPr>
        <w:t>j</w:t>
      </w:r>
      <w:r w:rsidRPr="00983B42">
        <w:rPr>
          <w:sz w:val="22"/>
          <w:szCs w:val="22"/>
          <w:lang w:val="sr-Latn-ME"/>
        </w:rPr>
        <w:t>elom okruženju parijetalnih ćelija, gdje inhibira enzim H</w:t>
      </w:r>
      <w:r w:rsidRPr="00983B42">
        <w:rPr>
          <w:sz w:val="22"/>
          <w:szCs w:val="22"/>
          <w:vertAlign w:val="superscript"/>
          <w:lang w:val="sr-Latn-ME"/>
        </w:rPr>
        <w:t>+</w:t>
      </w:r>
      <w:r w:rsidRPr="00983B42">
        <w:rPr>
          <w:sz w:val="22"/>
          <w:szCs w:val="22"/>
          <w:lang w:val="sr-Latn-ME"/>
        </w:rPr>
        <w:t>, K</w:t>
      </w:r>
      <w:r w:rsidRPr="00983B42">
        <w:rPr>
          <w:sz w:val="22"/>
          <w:szCs w:val="22"/>
          <w:vertAlign w:val="superscript"/>
          <w:lang w:val="sr-Latn-ME"/>
        </w:rPr>
        <w:t>+</w:t>
      </w:r>
      <w:r w:rsidRPr="00983B42">
        <w:rPr>
          <w:sz w:val="22"/>
          <w:szCs w:val="22"/>
          <w:lang w:val="sr-Latn-ME"/>
        </w:rPr>
        <w:t>-ATP-azu, odnosno, završnu fazu proizvodnje hlorovodonične kis</w:t>
      </w:r>
      <w:r w:rsidR="00524C63" w:rsidRPr="00983B42">
        <w:rPr>
          <w:sz w:val="22"/>
          <w:szCs w:val="22"/>
          <w:lang w:val="sr-Latn-ME"/>
        </w:rPr>
        <w:t>jeline u želucu. Inhibicija zavisi</w:t>
      </w:r>
      <w:r w:rsidRPr="00983B42">
        <w:rPr>
          <w:sz w:val="22"/>
          <w:szCs w:val="22"/>
          <w:lang w:val="sr-Latn-ME"/>
        </w:rPr>
        <w:t xml:space="preserve"> o</w:t>
      </w:r>
      <w:r w:rsidR="00524C63" w:rsidRPr="00983B42">
        <w:rPr>
          <w:sz w:val="22"/>
          <w:szCs w:val="22"/>
          <w:lang w:val="sr-Latn-ME"/>
        </w:rPr>
        <w:t>d doze</w:t>
      </w:r>
      <w:r w:rsidRPr="00983B42">
        <w:rPr>
          <w:sz w:val="22"/>
          <w:szCs w:val="22"/>
          <w:lang w:val="sr-Latn-ME"/>
        </w:rPr>
        <w:t>, a utiče i na bazalnu i na stimuliranu sekreciju kis</w:t>
      </w:r>
      <w:r w:rsidR="00524C63" w:rsidRPr="00983B42">
        <w:rPr>
          <w:sz w:val="22"/>
          <w:szCs w:val="22"/>
          <w:lang w:val="sr-Latn-ME"/>
        </w:rPr>
        <w:t>j</w:t>
      </w:r>
      <w:r w:rsidRPr="00983B42">
        <w:rPr>
          <w:sz w:val="22"/>
          <w:szCs w:val="22"/>
          <w:lang w:val="sr-Latn-ME"/>
        </w:rPr>
        <w:t xml:space="preserve">eline. </w:t>
      </w:r>
      <w:r w:rsidR="002B68DF" w:rsidRPr="00983B42">
        <w:rPr>
          <w:sz w:val="22"/>
          <w:szCs w:val="22"/>
          <w:lang w:val="sr-Latn-ME"/>
        </w:rPr>
        <w:t>Kod</w:t>
      </w:r>
      <w:r w:rsidRPr="00983B42">
        <w:rPr>
          <w:sz w:val="22"/>
          <w:szCs w:val="22"/>
          <w:lang w:val="sr-Latn-ME"/>
        </w:rPr>
        <w:t xml:space="preserve"> većine pacijenata, potpuno povla</w:t>
      </w:r>
      <w:r w:rsidR="00524C63" w:rsidRPr="00983B42">
        <w:rPr>
          <w:sz w:val="22"/>
          <w:szCs w:val="22"/>
          <w:lang w:val="sr-Latn-ME"/>
        </w:rPr>
        <w:t>čenje simptoma postiže se u periodu</w:t>
      </w:r>
      <w:r w:rsidRPr="00983B42">
        <w:rPr>
          <w:sz w:val="22"/>
          <w:szCs w:val="22"/>
          <w:lang w:val="sr-Latn-ME"/>
        </w:rPr>
        <w:t xml:space="preserve"> od 2 sedmice. Kao i uz ostale inhibitore protonske pumpe i inhibitore H2 receptora, tokom liječenja pantoprazolom u želucu nastaje smanjenje kis</w:t>
      </w:r>
      <w:r w:rsidR="00524C63" w:rsidRPr="00983B42">
        <w:rPr>
          <w:sz w:val="22"/>
          <w:szCs w:val="22"/>
          <w:lang w:val="sr-Latn-ME"/>
        </w:rPr>
        <w:t>j</w:t>
      </w:r>
      <w:r w:rsidRPr="00983B42">
        <w:rPr>
          <w:sz w:val="22"/>
          <w:szCs w:val="22"/>
          <w:lang w:val="sr-Latn-ME"/>
        </w:rPr>
        <w:t>elosti i povećanje gastrina koje je proporcionalno smanjenju kis</w:t>
      </w:r>
      <w:r w:rsidR="00524C63" w:rsidRPr="00983B42">
        <w:rPr>
          <w:sz w:val="22"/>
          <w:szCs w:val="22"/>
          <w:lang w:val="sr-Latn-ME"/>
        </w:rPr>
        <w:t>j</w:t>
      </w:r>
      <w:r w:rsidRPr="00983B42">
        <w:rPr>
          <w:sz w:val="22"/>
          <w:szCs w:val="22"/>
          <w:lang w:val="sr-Latn-ME"/>
        </w:rPr>
        <w:t xml:space="preserve">elosti. Povećanje gastrina je reverzibilno. S obzirom da se pantoprazol veže za enzim distalno od nivoa ćelijskih receptora, on može </w:t>
      </w:r>
      <w:r w:rsidR="003D159C" w:rsidRPr="00983B42">
        <w:rPr>
          <w:sz w:val="22"/>
          <w:szCs w:val="22"/>
          <w:lang w:val="sr-Latn-ME"/>
        </w:rPr>
        <w:t>da inhibira</w:t>
      </w:r>
      <w:r w:rsidRPr="00983B42">
        <w:rPr>
          <w:sz w:val="22"/>
          <w:szCs w:val="22"/>
          <w:lang w:val="sr-Latn-ME"/>
        </w:rPr>
        <w:t xml:space="preserve"> sekreciju hlorovodonične kis</w:t>
      </w:r>
      <w:r w:rsidR="00EA4C82" w:rsidRPr="00983B42">
        <w:rPr>
          <w:sz w:val="22"/>
          <w:szCs w:val="22"/>
          <w:lang w:val="sr-Latn-ME"/>
        </w:rPr>
        <w:t xml:space="preserve">jeline </w:t>
      </w:r>
      <w:r w:rsidR="003D159C" w:rsidRPr="00983B42">
        <w:rPr>
          <w:sz w:val="22"/>
          <w:szCs w:val="22"/>
          <w:lang w:val="sr-Latn-ME"/>
        </w:rPr>
        <w:t>nezavisno</w:t>
      </w:r>
      <w:r w:rsidRPr="00983B42">
        <w:rPr>
          <w:sz w:val="22"/>
          <w:szCs w:val="22"/>
          <w:lang w:val="sr-Latn-ME"/>
        </w:rPr>
        <w:t xml:space="preserve"> o</w:t>
      </w:r>
      <w:r w:rsidR="003D159C" w:rsidRPr="00983B42">
        <w:rPr>
          <w:sz w:val="22"/>
          <w:szCs w:val="22"/>
          <w:lang w:val="sr-Latn-ME"/>
        </w:rPr>
        <w:t>d stimulacije</w:t>
      </w:r>
      <w:r w:rsidRPr="00983B42">
        <w:rPr>
          <w:sz w:val="22"/>
          <w:szCs w:val="22"/>
          <w:lang w:val="sr-Latn-ME"/>
        </w:rPr>
        <w:t xml:space="preserve"> s drugim supstancama (acetilh</w:t>
      </w:r>
      <w:r w:rsidR="003D159C" w:rsidRPr="00983B42">
        <w:rPr>
          <w:sz w:val="22"/>
          <w:szCs w:val="22"/>
          <w:lang w:val="sr-Latn-ME"/>
        </w:rPr>
        <w:t>olin, histamin, gastrin). Rezultat</w:t>
      </w:r>
      <w:r w:rsidRPr="00983B42">
        <w:rPr>
          <w:sz w:val="22"/>
          <w:szCs w:val="22"/>
          <w:lang w:val="sr-Latn-ME"/>
        </w:rPr>
        <w:t xml:space="preserve"> je isti bez obzira primjenjuje li se lijek oralno ili intravenski.</w:t>
      </w:r>
    </w:p>
    <w:p w:rsidR="002B68DF" w:rsidRPr="00983B42" w:rsidRDefault="002B68DF" w:rsidP="00F86CF5">
      <w:pPr>
        <w:jc w:val="both"/>
        <w:rPr>
          <w:sz w:val="22"/>
          <w:szCs w:val="22"/>
          <w:lang w:val="sr-Latn-ME"/>
        </w:rPr>
      </w:pPr>
    </w:p>
    <w:p w:rsidR="00F86CF5" w:rsidRPr="00983B42" w:rsidRDefault="00F86CF5" w:rsidP="00F86CF5">
      <w:pPr>
        <w:jc w:val="both"/>
        <w:rPr>
          <w:sz w:val="22"/>
          <w:szCs w:val="22"/>
          <w:u w:val="single"/>
          <w:lang w:val="sr-Latn-ME"/>
        </w:rPr>
      </w:pPr>
      <w:r w:rsidRPr="00983B42">
        <w:rPr>
          <w:sz w:val="22"/>
          <w:szCs w:val="22"/>
          <w:u w:val="single"/>
          <w:lang w:val="sr-Latn-ME"/>
        </w:rPr>
        <w:t xml:space="preserve">Farmakodinamički </w:t>
      </w:r>
      <w:r w:rsidR="002B68DF" w:rsidRPr="00983B42">
        <w:rPr>
          <w:sz w:val="22"/>
          <w:szCs w:val="22"/>
          <w:u w:val="single"/>
          <w:lang w:val="sr-Latn-ME"/>
        </w:rPr>
        <w:t>efekti</w:t>
      </w:r>
    </w:p>
    <w:p w:rsidR="00F86CF5" w:rsidRPr="00983B42" w:rsidRDefault="00F86CF5" w:rsidP="00F86CF5">
      <w:pPr>
        <w:jc w:val="both"/>
        <w:rPr>
          <w:sz w:val="22"/>
          <w:szCs w:val="22"/>
          <w:lang w:val="sr-Latn-ME"/>
        </w:rPr>
      </w:pPr>
    </w:p>
    <w:p w:rsidR="00F86CF5" w:rsidRPr="00983B42" w:rsidRDefault="00F86CF5" w:rsidP="00F86CF5">
      <w:pPr>
        <w:jc w:val="both"/>
        <w:rPr>
          <w:sz w:val="22"/>
          <w:szCs w:val="22"/>
          <w:lang w:val="sr-Latn-ME"/>
        </w:rPr>
      </w:pPr>
      <w:r w:rsidRPr="00983B42">
        <w:rPr>
          <w:sz w:val="22"/>
          <w:szCs w:val="22"/>
          <w:lang w:val="sr-Latn-ME"/>
        </w:rPr>
        <w:t>Vrijednosti gastrina na tašte se povećavaju tok</w:t>
      </w:r>
      <w:r w:rsidR="007707B4" w:rsidRPr="00983B42">
        <w:rPr>
          <w:sz w:val="22"/>
          <w:szCs w:val="22"/>
          <w:lang w:val="sr-Latn-ME"/>
        </w:rPr>
        <w:t xml:space="preserve">om primjene pantoprazola. Tokom </w:t>
      </w:r>
      <w:r w:rsidRPr="00983B42">
        <w:rPr>
          <w:sz w:val="22"/>
          <w:szCs w:val="22"/>
          <w:lang w:val="sr-Latn-ME"/>
        </w:rPr>
        <w:t>kratkotrajne primjene, te vrijednosti u većini slučajeva ne prelaze gornju granicu normale. Kod dugotrajnog liječenja, nivoi gastrina u većini slučajeva bivaju udvostručeni, dok se izrazito po</w:t>
      </w:r>
      <w:r w:rsidR="00A773DF" w:rsidRPr="00983B42">
        <w:rPr>
          <w:sz w:val="22"/>
          <w:szCs w:val="22"/>
          <w:lang w:val="sr-Latn-ME"/>
        </w:rPr>
        <w:t>većanje javlja samo u izolovanim</w:t>
      </w:r>
      <w:r w:rsidRPr="00983B42">
        <w:rPr>
          <w:sz w:val="22"/>
          <w:szCs w:val="22"/>
          <w:lang w:val="sr-Latn-ME"/>
        </w:rPr>
        <w:t xml:space="preserve"> slučajevima. Kao rezultat toga, blago do umjereno povećanje broja specifičnih endokrinih ćelija u želucu (jednostavna do adenomatoidna hiperplazija), uočeno je u minornom broju slučajeva tokom dugotrajnog liječenja. Međutim, prema do sada </w:t>
      </w:r>
      <w:r w:rsidR="00A773DF" w:rsidRPr="00983B42">
        <w:rPr>
          <w:sz w:val="22"/>
          <w:szCs w:val="22"/>
          <w:lang w:val="sr-Latn-ME"/>
        </w:rPr>
        <w:t>s</w:t>
      </w:r>
      <w:r w:rsidRPr="00983B42">
        <w:rPr>
          <w:sz w:val="22"/>
          <w:szCs w:val="22"/>
          <w:lang w:val="sr-Latn-ME"/>
        </w:rPr>
        <w:t>provedenim studijama, stvaranje karcinoidnih prekursora (atipična hiperplazija) ili gastričnih karcinoida kakvi su pronađeni u animalnim eksperimentima (</w:t>
      </w:r>
      <w:r w:rsidR="00D64E8A" w:rsidRPr="00983B42">
        <w:rPr>
          <w:sz w:val="22"/>
          <w:szCs w:val="22"/>
          <w:lang w:val="sr-Latn-ME"/>
        </w:rPr>
        <w:t xml:space="preserve">pogledati </w:t>
      </w:r>
      <w:r w:rsidRPr="00983B42">
        <w:rPr>
          <w:sz w:val="22"/>
          <w:szCs w:val="22"/>
          <w:lang w:val="sr-Latn-ME"/>
        </w:rPr>
        <w:t xml:space="preserve">dio 5.3.), nije zabilježeno </w:t>
      </w:r>
      <w:r w:rsidR="00D64E8A" w:rsidRPr="00983B42">
        <w:rPr>
          <w:sz w:val="22"/>
          <w:szCs w:val="22"/>
          <w:lang w:val="sr-Latn-ME"/>
        </w:rPr>
        <w:t xml:space="preserve">kod </w:t>
      </w:r>
      <w:r w:rsidRPr="00983B42">
        <w:rPr>
          <w:sz w:val="22"/>
          <w:szCs w:val="22"/>
          <w:lang w:val="sr-Latn-ME"/>
        </w:rPr>
        <w:t>ljudi.</w:t>
      </w:r>
    </w:p>
    <w:p w:rsidR="00F86CF5" w:rsidRPr="00983B42" w:rsidRDefault="00F86CF5" w:rsidP="00F86CF5">
      <w:pPr>
        <w:jc w:val="both"/>
        <w:rPr>
          <w:sz w:val="22"/>
          <w:szCs w:val="22"/>
          <w:lang w:val="sr-Latn-ME"/>
        </w:rPr>
      </w:pPr>
      <w:r w:rsidRPr="00983B42">
        <w:rPr>
          <w:sz w:val="22"/>
          <w:szCs w:val="22"/>
          <w:lang w:val="sr-Latn-ME"/>
        </w:rPr>
        <w:lastRenderedPageBreak/>
        <w:t xml:space="preserve">Prema rezultatima animalnih studija, uticaj dugotrajnog liječenja pantoprazolom (preko jedne godine) na endokrine parametre štitne žlijezde, ne može </w:t>
      </w:r>
      <w:r w:rsidR="00A773DF" w:rsidRPr="00983B42">
        <w:rPr>
          <w:sz w:val="22"/>
          <w:szCs w:val="22"/>
          <w:lang w:val="sr-Latn-ME"/>
        </w:rPr>
        <w:t xml:space="preserve">da </w:t>
      </w:r>
      <w:r w:rsidRPr="00983B42">
        <w:rPr>
          <w:sz w:val="22"/>
          <w:szCs w:val="22"/>
          <w:lang w:val="sr-Latn-ME"/>
        </w:rPr>
        <w:t xml:space="preserve">se </w:t>
      </w:r>
      <w:r w:rsidR="00A773DF" w:rsidRPr="00983B42">
        <w:rPr>
          <w:sz w:val="22"/>
          <w:szCs w:val="22"/>
          <w:lang w:val="sr-Latn-ME"/>
        </w:rPr>
        <w:t>u potpunosti isključi</w:t>
      </w:r>
      <w:r w:rsidRPr="00983B42">
        <w:rPr>
          <w:sz w:val="22"/>
          <w:szCs w:val="22"/>
          <w:lang w:val="sr-Latn-ME"/>
        </w:rPr>
        <w:t xml:space="preserve">. </w:t>
      </w:r>
    </w:p>
    <w:p w:rsidR="00F86CF5" w:rsidRPr="00983B42" w:rsidRDefault="00F86CF5" w:rsidP="00F86CF5">
      <w:pPr>
        <w:pStyle w:val="Default"/>
        <w:jc w:val="both"/>
        <w:rPr>
          <w:color w:val="auto"/>
          <w:sz w:val="22"/>
          <w:szCs w:val="22"/>
          <w:lang w:val="sr-Latn-ME"/>
        </w:rPr>
      </w:pPr>
    </w:p>
    <w:p w:rsidR="00F86CF5" w:rsidRPr="00983B42" w:rsidRDefault="00F86CF5" w:rsidP="00F86CF5">
      <w:pPr>
        <w:pStyle w:val="Default"/>
        <w:jc w:val="both"/>
        <w:rPr>
          <w:color w:val="auto"/>
          <w:sz w:val="22"/>
          <w:szCs w:val="22"/>
          <w:lang w:val="sr-Latn-ME"/>
        </w:rPr>
      </w:pPr>
      <w:r w:rsidRPr="00983B42">
        <w:rPr>
          <w:color w:val="auto"/>
          <w:sz w:val="22"/>
          <w:szCs w:val="22"/>
          <w:lang w:val="sr-Latn-ME"/>
        </w:rPr>
        <w:t>Serumski gastrin se povećava to</w:t>
      </w:r>
      <w:r w:rsidR="00C54D1E" w:rsidRPr="00983B42">
        <w:rPr>
          <w:color w:val="auto"/>
          <w:sz w:val="22"/>
          <w:szCs w:val="22"/>
          <w:lang w:val="sr-Latn-ME"/>
        </w:rPr>
        <w:t>kom liječenja antisekretornim l</w:t>
      </w:r>
      <w:r w:rsidRPr="00983B42">
        <w:rPr>
          <w:color w:val="auto"/>
          <w:sz w:val="22"/>
          <w:szCs w:val="22"/>
          <w:lang w:val="sr-Latn-ME"/>
        </w:rPr>
        <w:t>jekovima, kao odgovor na smanjenu sekreciju kis</w:t>
      </w:r>
      <w:r w:rsidR="00A773DF" w:rsidRPr="00983B42">
        <w:rPr>
          <w:color w:val="auto"/>
          <w:sz w:val="22"/>
          <w:szCs w:val="22"/>
          <w:lang w:val="sr-Latn-ME"/>
        </w:rPr>
        <w:t>jeline. CgA takođe raste zbog smanjene želudačne</w:t>
      </w:r>
      <w:r w:rsidRPr="00983B42">
        <w:rPr>
          <w:color w:val="auto"/>
          <w:sz w:val="22"/>
          <w:szCs w:val="22"/>
          <w:lang w:val="sr-Latn-ME"/>
        </w:rPr>
        <w:t xml:space="preserve"> kis</w:t>
      </w:r>
      <w:r w:rsidR="00A773DF" w:rsidRPr="00983B42">
        <w:rPr>
          <w:color w:val="auto"/>
          <w:sz w:val="22"/>
          <w:szCs w:val="22"/>
          <w:lang w:val="sr-Latn-ME"/>
        </w:rPr>
        <w:t>j</w:t>
      </w:r>
      <w:r w:rsidRPr="00983B42">
        <w:rPr>
          <w:color w:val="auto"/>
          <w:sz w:val="22"/>
          <w:szCs w:val="22"/>
          <w:lang w:val="sr-Latn-ME"/>
        </w:rPr>
        <w:t xml:space="preserve">elosti. Povišen nivo CgA može </w:t>
      </w:r>
      <w:r w:rsidR="00A773DF" w:rsidRPr="00983B42">
        <w:rPr>
          <w:color w:val="auto"/>
          <w:sz w:val="22"/>
          <w:szCs w:val="22"/>
          <w:lang w:val="sr-Latn-ME"/>
        </w:rPr>
        <w:t>da interferira</w:t>
      </w:r>
      <w:r w:rsidRPr="00983B42">
        <w:rPr>
          <w:color w:val="auto"/>
          <w:sz w:val="22"/>
          <w:szCs w:val="22"/>
          <w:lang w:val="sr-Latn-ME"/>
        </w:rPr>
        <w:t xml:space="preserve"> s pretragama za neuroendokrine tumore. </w:t>
      </w:r>
    </w:p>
    <w:p w:rsidR="00F86CF5" w:rsidRPr="00983B42" w:rsidRDefault="00F86CF5" w:rsidP="00F86CF5">
      <w:pPr>
        <w:jc w:val="both"/>
        <w:rPr>
          <w:sz w:val="22"/>
          <w:szCs w:val="22"/>
          <w:lang w:val="sr-Latn-ME"/>
        </w:rPr>
      </w:pPr>
    </w:p>
    <w:p w:rsidR="00F86CF5" w:rsidRPr="00983B42" w:rsidRDefault="00F86CF5" w:rsidP="00F86CF5">
      <w:pPr>
        <w:jc w:val="both"/>
        <w:rPr>
          <w:sz w:val="22"/>
          <w:szCs w:val="22"/>
          <w:lang w:val="sr-Latn-ME"/>
        </w:rPr>
      </w:pPr>
      <w:r w:rsidRPr="00983B42">
        <w:rPr>
          <w:sz w:val="22"/>
          <w:szCs w:val="22"/>
          <w:lang w:val="sr-Latn-ME"/>
        </w:rPr>
        <w:t xml:space="preserve">Dostupni objavljeni dokazi upućuju na to da liječenje s inhibitorima protonske pumpe treba </w:t>
      </w:r>
      <w:r w:rsidR="00A763C8" w:rsidRPr="00983B42">
        <w:rPr>
          <w:sz w:val="22"/>
          <w:szCs w:val="22"/>
          <w:lang w:val="sr-Latn-ME"/>
        </w:rPr>
        <w:t>da se prekine</w:t>
      </w:r>
      <w:r w:rsidRPr="00983B42">
        <w:rPr>
          <w:sz w:val="22"/>
          <w:szCs w:val="22"/>
          <w:lang w:val="sr-Latn-ME"/>
        </w:rPr>
        <w:t xml:space="preserve"> između 5 dana i 2 sedmice prije mjerenja CgA. Time se omogućuje da se nivoi CgA, koji mogu biti prividno povećani nakon liječenja inhibitor</w:t>
      </w:r>
      <w:r w:rsidR="00A763C8" w:rsidRPr="00983B42">
        <w:rPr>
          <w:sz w:val="22"/>
          <w:szCs w:val="22"/>
          <w:lang w:val="sr-Latn-ME"/>
        </w:rPr>
        <w:t>om protonske pumpe, vrate u okviru</w:t>
      </w:r>
      <w:r w:rsidRPr="00983B42">
        <w:rPr>
          <w:sz w:val="22"/>
          <w:szCs w:val="22"/>
          <w:lang w:val="sr-Latn-ME"/>
        </w:rPr>
        <w:t xml:space="preserve"> raspona referentnih vrijednosti.</w:t>
      </w:r>
    </w:p>
    <w:p w:rsidR="00C43DB8" w:rsidRPr="00983B42" w:rsidRDefault="00C43DB8" w:rsidP="00F86CF5">
      <w:pPr>
        <w:jc w:val="both"/>
        <w:rPr>
          <w:sz w:val="22"/>
          <w:szCs w:val="22"/>
          <w:lang w:val="sr-Latn-ME"/>
        </w:rPr>
      </w:pPr>
    </w:p>
    <w:p w:rsidR="0072020E"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5.2. </w:t>
      </w:r>
      <w:r w:rsidR="00480FB1" w:rsidRPr="00983B42">
        <w:rPr>
          <w:b/>
          <w:bCs/>
          <w:sz w:val="22"/>
          <w:szCs w:val="22"/>
          <w:lang w:val="sr-Latn-ME"/>
        </w:rPr>
        <w:tab/>
      </w:r>
      <w:r w:rsidRPr="00983B42">
        <w:rPr>
          <w:b/>
          <w:bCs/>
          <w:sz w:val="22"/>
          <w:szCs w:val="22"/>
          <w:lang w:val="sr-Latn-ME"/>
        </w:rPr>
        <w:t>Farmakokinetički podaci</w:t>
      </w:r>
      <w:r w:rsidR="003A7059" w:rsidRPr="00983B42">
        <w:rPr>
          <w:b/>
          <w:bCs/>
          <w:sz w:val="22"/>
          <w:szCs w:val="22"/>
          <w:lang w:val="sr-Latn-ME"/>
        </w:rPr>
        <w:t xml:space="preserve"> </w:t>
      </w:r>
    </w:p>
    <w:p w:rsidR="001D0036" w:rsidRPr="00983B42" w:rsidRDefault="001D0036" w:rsidP="00480FB1">
      <w:pPr>
        <w:tabs>
          <w:tab w:val="left" w:pos="540"/>
          <w:tab w:val="left" w:pos="569"/>
        </w:tabs>
        <w:rPr>
          <w:b/>
          <w:bCs/>
          <w:sz w:val="22"/>
          <w:szCs w:val="22"/>
          <w:lang w:val="sr-Latn-ME"/>
        </w:rPr>
      </w:pPr>
    </w:p>
    <w:p w:rsidR="00F86CF5" w:rsidRPr="00983B42" w:rsidRDefault="00C43DB8" w:rsidP="00F86CF5">
      <w:pPr>
        <w:autoSpaceDE w:val="0"/>
        <w:autoSpaceDN w:val="0"/>
        <w:adjustRightInd w:val="0"/>
        <w:jc w:val="both"/>
        <w:rPr>
          <w:iCs/>
          <w:sz w:val="22"/>
          <w:szCs w:val="22"/>
          <w:u w:val="single"/>
          <w:lang w:val="sr-Latn-ME"/>
        </w:rPr>
      </w:pPr>
      <w:r w:rsidRPr="00983B42">
        <w:rPr>
          <w:iCs/>
          <w:sz w:val="22"/>
          <w:szCs w:val="22"/>
          <w:u w:val="single"/>
          <w:lang w:val="sr-Latn-ME"/>
        </w:rPr>
        <w:t>Resorpcija</w:t>
      </w:r>
    </w:p>
    <w:p w:rsidR="00F86CF5" w:rsidRPr="00983B42" w:rsidRDefault="00F86CF5" w:rsidP="00F86CF5">
      <w:pPr>
        <w:autoSpaceDE w:val="0"/>
        <w:autoSpaceDN w:val="0"/>
        <w:adjustRightInd w:val="0"/>
        <w:jc w:val="both"/>
        <w:rPr>
          <w:iCs/>
          <w:sz w:val="22"/>
          <w:szCs w:val="22"/>
          <w:lang w:val="sr-Latn-ME"/>
        </w:rPr>
      </w:pPr>
      <w:r w:rsidRPr="00983B42">
        <w:rPr>
          <w:iCs/>
          <w:sz w:val="22"/>
          <w:szCs w:val="22"/>
          <w:lang w:val="sr-Latn-ME"/>
        </w:rPr>
        <w:t xml:space="preserve">Pantoprazol se brzo </w:t>
      </w:r>
      <w:r w:rsidR="0099653B" w:rsidRPr="00983B42">
        <w:rPr>
          <w:iCs/>
          <w:sz w:val="22"/>
          <w:szCs w:val="22"/>
          <w:lang w:val="sr-Latn-ME"/>
        </w:rPr>
        <w:t>re</w:t>
      </w:r>
      <w:r w:rsidRPr="00983B42">
        <w:rPr>
          <w:iCs/>
          <w:sz w:val="22"/>
          <w:szCs w:val="22"/>
          <w:lang w:val="sr-Latn-ME"/>
        </w:rPr>
        <w:t>sorbuje, a maksimalna konce</w:t>
      </w:r>
      <w:r w:rsidR="00A763C8" w:rsidRPr="00983B42">
        <w:rPr>
          <w:iCs/>
          <w:sz w:val="22"/>
          <w:szCs w:val="22"/>
          <w:lang w:val="sr-Latn-ME"/>
        </w:rPr>
        <w:t>ntracija u plazmi biva dostignuta</w:t>
      </w:r>
      <w:r w:rsidRPr="00983B42">
        <w:rPr>
          <w:iCs/>
          <w:sz w:val="22"/>
          <w:szCs w:val="22"/>
          <w:lang w:val="sr-Latn-ME"/>
        </w:rPr>
        <w:t xml:space="preserve"> čak i nakon pojedinačne oralne doze od 40 mg. Maksimalne koncentracije u serumu od oko 2-3 µg/ml postižu se u prosjeku 2,5 sata nakon doziranja, a te vrijednosti ostaju konstantne nakon višekratne primjene lijeka. </w:t>
      </w:r>
    </w:p>
    <w:p w:rsidR="00F86CF5" w:rsidRPr="00983B42" w:rsidRDefault="00F86CF5" w:rsidP="00F86CF5">
      <w:pPr>
        <w:autoSpaceDE w:val="0"/>
        <w:autoSpaceDN w:val="0"/>
        <w:adjustRightInd w:val="0"/>
        <w:jc w:val="both"/>
        <w:rPr>
          <w:iCs/>
          <w:sz w:val="22"/>
          <w:szCs w:val="22"/>
          <w:lang w:val="sr-Latn-ME"/>
        </w:rPr>
      </w:pPr>
    </w:p>
    <w:p w:rsidR="00F86CF5" w:rsidRPr="00983B42" w:rsidRDefault="00F86CF5" w:rsidP="00F86CF5">
      <w:pPr>
        <w:autoSpaceDE w:val="0"/>
        <w:autoSpaceDN w:val="0"/>
        <w:adjustRightInd w:val="0"/>
        <w:jc w:val="both"/>
        <w:rPr>
          <w:iCs/>
          <w:sz w:val="22"/>
          <w:szCs w:val="22"/>
          <w:lang w:val="sr-Latn-ME"/>
        </w:rPr>
      </w:pPr>
      <w:r w:rsidRPr="00983B42">
        <w:rPr>
          <w:iCs/>
          <w:sz w:val="22"/>
          <w:szCs w:val="22"/>
          <w:lang w:val="sr-Latn-ME"/>
        </w:rPr>
        <w:t>Farmakokinetika se ne mijenja nakon pojedinačne ili ponovljene primjene. U rasponu doza od 10 mg do 80 mg, plazmatska kinetika pantoprazola je linearna i nakon oralne i nakon intravenske primjene.</w:t>
      </w:r>
    </w:p>
    <w:p w:rsidR="00F86CF5" w:rsidRPr="00983B42" w:rsidRDefault="00F86CF5" w:rsidP="00F86CF5">
      <w:pPr>
        <w:autoSpaceDE w:val="0"/>
        <w:autoSpaceDN w:val="0"/>
        <w:adjustRightInd w:val="0"/>
        <w:jc w:val="both"/>
        <w:rPr>
          <w:iCs/>
          <w:sz w:val="22"/>
          <w:szCs w:val="22"/>
          <w:lang w:val="sr-Latn-ME"/>
        </w:rPr>
      </w:pPr>
    </w:p>
    <w:p w:rsidR="00F86CF5" w:rsidRPr="00983B42" w:rsidRDefault="00F86CF5" w:rsidP="00F86CF5">
      <w:pPr>
        <w:autoSpaceDE w:val="0"/>
        <w:autoSpaceDN w:val="0"/>
        <w:adjustRightInd w:val="0"/>
        <w:jc w:val="both"/>
        <w:rPr>
          <w:iCs/>
          <w:sz w:val="22"/>
          <w:szCs w:val="22"/>
          <w:lang w:val="sr-Latn-ME"/>
        </w:rPr>
      </w:pPr>
      <w:r w:rsidRPr="00983B42">
        <w:rPr>
          <w:iCs/>
          <w:sz w:val="22"/>
          <w:szCs w:val="22"/>
          <w:lang w:val="sr-Latn-ME"/>
        </w:rPr>
        <w:t xml:space="preserve">Apsolutna bioraspoloživost iz tablete iznosi oko 77%.  Istovremeno uzimanje hrane nema uticaj na površinu ispod krivulje (AUC), maksimalnu koncentraciju u serumu, pa stoga ni na bioraspoloživost. Kod istovremenog uzimanja hrane, povećava se samo varijabilnost vremena početka </w:t>
      </w:r>
      <w:r w:rsidR="00A5282E" w:rsidRPr="00983B42">
        <w:rPr>
          <w:iCs/>
          <w:sz w:val="22"/>
          <w:szCs w:val="22"/>
          <w:lang w:val="sr-Latn-ME"/>
        </w:rPr>
        <w:t>re</w:t>
      </w:r>
      <w:r w:rsidRPr="00983B42">
        <w:rPr>
          <w:iCs/>
          <w:sz w:val="22"/>
          <w:szCs w:val="22"/>
          <w:lang w:val="sr-Latn-ME"/>
        </w:rPr>
        <w:t>sorpcije.</w:t>
      </w:r>
    </w:p>
    <w:p w:rsidR="00F86CF5" w:rsidRPr="00983B42" w:rsidRDefault="00F86CF5" w:rsidP="00F86CF5">
      <w:pPr>
        <w:autoSpaceDE w:val="0"/>
        <w:autoSpaceDN w:val="0"/>
        <w:adjustRightInd w:val="0"/>
        <w:jc w:val="both"/>
        <w:rPr>
          <w:i/>
          <w:iCs/>
          <w:sz w:val="22"/>
          <w:szCs w:val="22"/>
          <w:lang w:val="sr-Latn-ME"/>
        </w:rPr>
      </w:pPr>
    </w:p>
    <w:p w:rsidR="00F86CF5" w:rsidRPr="00983B42" w:rsidRDefault="00F86CF5" w:rsidP="00F86CF5">
      <w:pPr>
        <w:autoSpaceDE w:val="0"/>
        <w:autoSpaceDN w:val="0"/>
        <w:adjustRightInd w:val="0"/>
        <w:jc w:val="both"/>
        <w:rPr>
          <w:iCs/>
          <w:sz w:val="22"/>
          <w:szCs w:val="22"/>
          <w:u w:val="single"/>
          <w:lang w:val="sr-Latn-ME"/>
        </w:rPr>
      </w:pPr>
      <w:r w:rsidRPr="00983B42">
        <w:rPr>
          <w:iCs/>
          <w:sz w:val="22"/>
          <w:szCs w:val="22"/>
          <w:u w:val="single"/>
          <w:lang w:val="sr-Latn-ME"/>
        </w:rPr>
        <w:t>Distribucija</w:t>
      </w:r>
    </w:p>
    <w:p w:rsidR="00F86CF5" w:rsidRPr="00983B42" w:rsidRDefault="00F86CF5" w:rsidP="00F86CF5">
      <w:pPr>
        <w:autoSpaceDE w:val="0"/>
        <w:autoSpaceDN w:val="0"/>
        <w:adjustRightInd w:val="0"/>
        <w:jc w:val="both"/>
        <w:rPr>
          <w:iCs/>
          <w:sz w:val="22"/>
          <w:szCs w:val="22"/>
          <w:lang w:val="sr-Latn-ME"/>
        </w:rPr>
      </w:pPr>
      <w:r w:rsidRPr="00983B42">
        <w:rPr>
          <w:iCs/>
          <w:sz w:val="22"/>
          <w:szCs w:val="22"/>
          <w:lang w:val="sr-Latn-ME"/>
        </w:rPr>
        <w:t>Oko 98% pantoprazola veže se za serumske proteine. Volumen distribucije iznosi oko 0,15 l/kg.</w:t>
      </w:r>
    </w:p>
    <w:p w:rsidR="00F86CF5" w:rsidRPr="00983B42" w:rsidRDefault="00F86CF5" w:rsidP="00F86CF5">
      <w:pPr>
        <w:autoSpaceDE w:val="0"/>
        <w:autoSpaceDN w:val="0"/>
        <w:adjustRightInd w:val="0"/>
        <w:jc w:val="both"/>
        <w:rPr>
          <w:iCs/>
          <w:sz w:val="22"/>
          <w:szCs w:val="22"/>
          <w:lang w:val="sr-Latn-ME"/>
        </w:rPr>
      </w:pPr>
    </w:p>
    <w:p w:rsidR="00F86CF5" w:rsidRPr="00983B42" w:rsidRDefault="00F86CF5" w:rsidP="00F86CF5">
      <w:pPr>
        <w:autoSpaceDE w:val="0"/>
        <w:autoSpaceDN w:val="0"/>
        <w:adjustRightInd w:val="0"/>
        <w:jc w:val="both"/>
        <w:rPr>
          <w:iCs/>
          <w:sz w:val="22"/>
          <w:szCs w:val="22"/>
          <w:lang w:val="sr-Latn-ME"/>
        </w:rPr>
      </w:pPr>
      <w:r w:rsidRPr="00983B42">
        <w:rPr>
          <w:iCs/>
          <w:sz w:val="22"/>
          <w:szCs w:val="22"/>
          <w:u w:val="single"/>
          <w:lang w:val="sr-Latn-ME"/>
        </w:rPr>
        <w:t>Biotransformacija</w:t>
      </w:r>
    </w:p>
    <w:p w:rsidR="00F86CF5" w:rsidRPr="00983B42" w:rsidRDefault="00F86CF5" w:rsidP="00F86CF5">
      <w:pPr>
        <w:autoSpaceDE w:val="0"/>
        <w:autoSpaceDN w:val="0"/>
        <w:adjustRightInd w:val="0"/>
        <w:jc w:val="both"/>
        <w:rPr>
          <w:iCs/>
          <w:sz w:val="22"/>
          <w:szCs w:val="22"/>
          <w:lang w:val="sr-Latn-ME"/>
        </w:rPr>
      </w:pPr>
      <w:r w:rsidRPr="00983B42">
        <w:rPr>
          <w:iCs/>
          <w:sz w:val="22"/>
          <w:szCs w:val="22"/>
          <w:lang w:val="sr-Latn-ME"/>
        </w:rPr>
        <w:t xml:space="preserve">Pantoprazol se </w:t>
      </w:r>
      <w:r w:rsidR="004A443D" w:rsidRPr="00983B42">
        <w:rPr>
          <w:iCs/>
          <w:sz w:val="22"/>
          <w:szCs w:val="22"/>
          <w:lang w:val="sr-Latn-ME"/>
        </w:rPr>
        <w:t>gotovo u potpunosti metabolizuje</w:t>
      </w:r>
      <w:r w:rsidRPr="00983B42">
        <w:rPr>
          <w:iCs/>
          <w:sz w:val="22"/>
          <w:szCs w:val="22"/>
          <w:lang w:val="sr-Latn-ME"/>
        </w:rPr>
        <w:t xml:space="preserve"> u jetri. Glavni metabolički put je demetilacija posredstvom CYP2C19 sa posljedičnom konjugacijom sulfatima. Ostali metabolički put uključuje oksidaciju putem CYP3A4.</w:t>
      </w:r>
    </w:p>
    <w:p w:rsidR="00F86CF5" w:rsidRPr="00983B42" w:rsidRDefault="00F86CF5" w:rsidP="00F86CF5">
      <w:pPr>
        <w:autoSpaceDE w:val="0"/>
        <w:autoSpaceDN w:val="0"/>
        <w:adjustRightInd w:val="0"/>
        <w:jc w:val="both"/>
        <w:rPr>
          <w:sz w:val="22"/>
          <w:szCs w:val="22"/>
          <w:lang w:val="sr-Latn-ME"/>
        </w:rPr>
      </w:pPr>
    </w:p>
    <w:p w:rsidR="00F86CF5" w:rsidRPr="00983B42" w:rsidRDefault="00F86CF5" w:rsidP="00F86CF5">
      <w:pPr>
        <w:autoSpaceDE w:val="0"/>
        <w:autoSpaceDN w:val="0"/>
        <w:adjustRightInd w:val="0"/>
        <w:jc w:val="both"/>
        <w:rPr>
          <w:iCs/>
          <w:sz w:val="22"/>
          <w:szCs w:val="22"/>
          <w:u w:val="single"/>
          <w:lang w:val="sr-Latn-ME"/>
        </w:rPr>
      </w:pPr>
      <w:r w:rsidRPr="00983B42">
        <w:rPr>
          <w:iCs/>
          <w:sz w:val="22"/>
          <w:szCs w:val="22"/>
          <w:u w:val="single"/>
          <w:lang w:val="sr-Latn-ME"/>
        </w:rPr>
        <w:t>Eliminacija</w:t>
      </w:r>
    </w:p>
    <w:p w:rsidR="00F86CF5" w:rsidRPr="00983B42" w:rsidRDefault="00F86CF5" w:rsidP="00F86CF5">
      <w:pPr>
        <w:pStyle w:val="Default"/>
        <w:jc w:val="both"/>
        <w:rPr>
          <w:iCs/>
          <w:color w:val="auto"/>
          <w:sz w:val="22"/>
          <w:szCs w:val="22"/>
          <w:lang w:val="sr-Latn-ME"/>
        </w:rPr>
      </w:pPr>
      <w:r w:rsidRPr="00983B42">
        <w:rPr>
          <w:iCs/>
          <w:color w:val="auto"/>
          <w:sz w:val="22"/>
          <w:szCs w:val="22"/>
          <w:lang w:val="sr-Latn-ME"/>
        </w:rPr>
        <w:t xml:space="preserve">Terminalni poluživot lijeka iznosi oko 1 sat, a klirens oko 0,1 l/sat/kg. Zabilježeno je nekoliko slučajeva osoba s odgođenom eliminacijom lijeka. Zbog specifičnog vezivanja pantoprazola za protonske pumpe parijetalnih ćelija, poluživot eliminacije nije u korelaciji s </w:t>
      </w:r>
      <w:r w:rsidR="00690C16" w:rsidRPr="00983B42">
        <w:rPr>
          <w:iCs/>
          <w:color w:val="auto"/>
          <w:sz w:val="22"/>
          <w:szCs w:val="22"/>
          <w:lang w:val="sr-Latn-ME"/>
        </w:rPr>
        <w:t>mnogo dužim trajanjem dejstvom</w:t>
      </w:r>
      <w:r w:rsidRPr="00983B42">
        <w:rPr>
          <w:iCs/>
          <w:color w:val="auto"/>
          <w:sz w:val="22"/>
          <w:szCs w:val="22"/>
          <w:lang w:val="sr-Latn-ME"/>
        </w:rPr>
        <w:t xml:space="preserve"> lijeka (inhibicija sekrecije kis</w:t>
      </w:r>
      <w:r w:rsidR="00500B4F" w:rsidRPr="00983B42">
        <w:rPr>
          <w:iCs/>
          <w:color w:val="auto"/>
          <w:sz w:val="22"/>
          <w:szCs w:val="22"/>
          <w:lang w:val="sr-Latn-ME"/>
        </w:rPr>
        <w:t>j</w:t>
      </w:r>
      <w:r w:rsidRPr="00983B42">
        <w:rPr>
          <w:iCs/>
          <w:color w:val="auto"/>
          <w:sz w:val="22"/>
          <w:szCs w:val="22"/>
          <w:lang w:val="sr-Latn-ME"/>
        </w:rPr>
        <w:t>eline).</w:t>
      </w:r>
    </w:p>
    <w:p w:rsidR="00F86CF5" w:rsidRPr="00983B42" w:rsidRDefault="00F86CF5" w:rsidP="00F86CF5">
      <w:pPr>
        <w:pStyle w:val="Default"/>
        <w:jc w:val="both"/>
        <w:rPr>
          <w:color w:val="auto"/>
          <w:sz w:val="22"/>
          <w:szCs w:val="22"/>
          <w:lang w:val="sr-Latn-ME"/>
        </w:rPr>
      </w:pPr>
    </w:p>
    <w:p w:rsidR="00F86CF5" w:rsidRPr="00983B42" w:rsidRDefault="00F86CF5" w:rsidP="00F86CF5">
      <w:pPr>
        <w:pStyle w:val="Default"/>
        <w:jc w:val="both"/>
        <w:rPr>
          <w:color w:val="auto"/>
          <w:sz w:val="22"/>
          <w:szCs w:val="22"/>
          <w:lang w:val="sr-Latn-ME"/>
        </w:rPr>
      </w:pPr>
      <w:r w:rsidRPr="00983B42">
        <w:rPr>
          <w:color w:val="auto"/>
          <w:sz w:val="22"/>
          <w:szCs w:val="22"/>
          <w:lang w:val="sr-Latn-ME"/>
        </w:rPr>
        <w:t xml:space="preserve">Za metabolite pantoprazola glavni put izlučivanja odvija se putem bubrega (oko 80%), a preostali se dio izlučuje fecesom. </w:t>
      </w:r>
      <w:r w:rsidRPr="00983B42">
        <w:rPr>
          <w:iCs/>
          <w:color w:val="auto"/>
          <w:sz w:val="22"/>
          <w:szCs w:val="22"/>
          <w:lang w:val="sr-Latn-ME"/>
        </w:rPr>
        <w:t>Glavni metabolit i u serumu i u urinu je desmetil</w:t>
      </w:r>
      <w:r w:rsidR="00500B4F" w:rsidRPr="00983B42">
        <w:rPr>
          <w:iCs/>
          <w:color w:val="auto"/>
          <w:sz w:val="22"/>
          <w:szCs w:val="22"/>
          <w:lang w:val="sr-Latn-ME"/>
        </w:rPr>
        <w:t>pantoprazol, koji je konjugov</w:t>
      </w:r>
      <w:r w:rsidRPr="00983B42">
        <w:rPr>
          <w:iCs/>
          <w:color w:val="auto"/>
          <w:sz w:val="22"/>
          <w:szCs w:val="22"/>
          <w:lang w:val="sr-Latn-ME"/>
        </w:rPr>
        <w:t>an sa sulfatom. Poluživot glavnog metabolita (oko 1,5 sat), nije mnogo duži od poluživota pantoprazola.</w:t>
      </w:r>
    </w:p>
    <w:p w:rsidR="00F86CF5" w:rsidRPr="00983B42" w:rsidRDefault="00F86CF5" w:rsidP="00F86CF5">
      <w:pPr>
        <w:autoSpaceDE w:val="0"/>
        <w:autoSpaceDN w:val="0"/>
        <w:adjustRightInd w:val="0"/>
        <w:jc w:val="both"/>
        <w:rPr>
          <w:iCs/>
          <w:sz w:val="22"/>
          <w:szCs w:val="22"/>
          <w:lang w:val="sr-Latn-ME"/>
        </w:rPr>
      </w:pPr>
    </w:p>
    <w:p w:rsidR="00F86CF5" w:rsidRPr="00983B42" w:rsidRDefault="00F86CF5" w:rsidP="00F86CF5">
      <w:pPr>
        <w:autoSpaceDE w:val="0"/>
        <w:autoSpaceDN w:val="0"/>
        <w:adjustRightInd w:val="0"/>
        <w:jc w:val="both"/>
        <w:rPr>
          <w:iCs/>
          <w:sz w:val="22"/>
          <w:szCs w:val="22"/>
          <w:u w:val="single"/>
          <w:lang w:val="sr-Latn-ME"/>
        </w:rPr>
      </w:pPr>
      <w:r w:rsidRPr="00983B42">
        <w:rPr>
          <w:iCs/>
          <w:sz w:val="22"/>
          <w:szCs w:val="22"/>
          <w:u w:val="single"/>
          <w:lang w:val="sr-Latn-ME"/>
        </w:rPr>
        <w:t>Posebne populacije</w:t>
      </w:r>
    </w:p>
    <w:p w:rsidR="00F86CF5" w:rsidRPr="00983B42" w:rsidRDefault="00F86CF5" w:rsidP="00F86CF5">
      <w:pPr>
        <w:autoSpaceDE w:val="0"/>
        <w:autoSpaceDN w:val="0"/>
        <w:adjustRightInd w:val="0"/>
        <w:jc w:val="both"/>
        <w:rPr>
          <w:i/>
          <w:iCs/>
          <w:sz w:val="22"/>
          <w:szCs w:val="22"/>
          <w:lang w:val="sr-Latn-ME"/>
        </w:rPr>
      </w:pPr>
    </w:p>
    <w:p w:rsidR="00F86CF5" w:rsidRPr="00983B42" w:rsidRDefault="00F86CF5" w:rsidP="00F86CF5">
      <w:pPr>
        <w:autoSpaceDE w:val="0"/>
        <w:autoSpaceDN w:val="0"/>
        <w:adjustRightInd w:val="0"/>
        <w:jc w:val="both"/>
        <w:rPr>
          <w:i/>
          <w:iCs/>
          <w:sz w:val="22"/>
          <w:szCs w:val="22"/>
          <w:lang w:val="sr-Latn-ME"/>
        </w:rPr>
      </w:pPr>
      <w:r w:rsidRPr="00983B42">
        <w:rPr>
          <w:i/>
          <w:iCs/>
          <w:sz w:val="22"/>
          <w:szCs w:val="22"/>
          <w:lang w:val="sr-Latn-ME"/>
        </w:rPr>
        <w:t>Slabi metabolizatori</w:t>
      </w:r>
    </w:p>
    <w:p w:rsidR="00380102" w:rsidRPr="00983B42" w:rsidRDefault="00380102" w:rsidP="00F86CF5">
      <w:pPr>
        <w:autoSpaceDE w:val="0"/>
        <w:autoSpaceDN w:val="0"/>
        <w:adjustRightInd w:val="0"/>
        <w:jc w:val="both"/>
        <w:rPr>
          <w:i/>
          <w:iCs/>
          <w:sz w:val="22"/>
          <w:szCs w:val="22"/>
          <w:lang w:val="sr-Latn-ME"/>
        </w:rPr>
      </w:pPr>
    </w:p>
    <w:p w:rsidR="00F86CF5" w:rsidRPr="00983B42" w:rsidRDefault="00380102" w:rsidP="00F86CF5">
      <w:pPr>
        <w:autoSpaceDE w:val="0"/>
        <w:autoSpaceDN w:val="0"/>
        <w:adjustRightInd w:val="0"/>
        <w:jc w:val="both"/>
        <w:rPr>
          <w:iCs/>
          <w:sz w:val="22"/>
          <w:szCs w:val="22"/>
          <w:lang w:val="sr-Latn-ME"/>
        </w:rPr>
      </w:pPr>
      <w:r w:rsidRPr="00983B42">
        <w:rPr>
          <w:iCs/>
          <w:sz w:val="22"/>
          <w:szCs w:val="22"/>
          <w:lang w:val="sr-Latn-ME"/>
        </w:rPr>
        <w:t>Kod</w:t>
      </w:r>
      <w:r w:rsidR="00DF09BD" w:rsidRPr="00983B42">
        <w:rPr>
          <w:iCs/>
          <w:sz w:val="22"/>
          <w:szCs w:val="22"/>
          <w:lang w:val="sr-Latn-ME"/>
        </w:rPr>
        <w:t xml:space="preserve"> otprilike 3% </w:t>
      </w:r>
      <w:r w:rsidR="00500B4F" w:rsidRPr="00983B42">
        <w:rPr>
          <w:iCs/>
          <w:sz w:val="22"/>
          <w:szCs w:val="22"/>
          <w:lang w:val="sr-Latn-ME"/>
        </w:rPr>
        <w:t>Ev</w:t>
      </w:r>
      <w:r w:rsidR="00F86CF5" w:rsidRPr="00983B42">
        <w:rPr>
          <w:iCs/>
          <w:sz w:val="22"/>
          <w:szCs w:val="22"/>
          <w:lang w:val="sr-Latn-ME"/>
        </w:rPr>
        <w:t xml:space="preserve">ropljana javlja se nedostatak funkcionalnog CYP2C19 enzima i                                                                                                                                                                                                                                                                                                                                                                                                                              oni se nazivaju slabi metabolizatori. </w:t>
      </w:r>
      <w:r w:rsidR="006F23B2" w:rsidRPr="00983B42">
        <w:rPr>
          <w:iCs/>
          <w:sz w:val="22"/>
          <w:szCs w:val="22"/>
          <w:lang w:val="sr-Latn-ME"/>
        </w:rPr>
        <w:t>Kod</w:t>
      </w:r>
      <w:r w:rsidR="00F86CF5" w:rsidRPr="00983B42">
        <w:rPr>
          <w:iCs/>
          <w:sz w:val="22"/>
          <w:szCs w:val="22"/>
          <w:lang w:val="sr-Latn-ME"/>
        </w:rPr>
        <w:t xml:space="preserve"> ovih pojedinaca, metabolizam pant</w:t>
      </w:r>
      <w:r w:rsidR="00500B4F" w:rsidRPr="00983B42">
        <w:rPr>
          <w:iCs/>
          <w:sz w:val="22"/>
          <w:szCs w:val="22"/>
          <w:lang w:val="sr-Latn-ME"/>
        </w:rPr>
        <w:t>oprazola vjerovatno je katalizov</w:t>
      </w:r>
      <w:r w:rsidR="00F86CF5" w:rsidRPr="00983B42">
        <w:rPr>
          <w:iCs/>
          <w:sz w:val="22"/>
          <w:szCs w:val="22"/>
          <w:lang w:val="sr-Latn-ME"/>
        </w:rPr>
        <w:t xml:space="preserve">an uglavnom putem CYP3A4. Nakon primjene pojedinačne doze od 40 mg pantoprazola, srednja vrijednost površine ispod krivulje koncentracija-vrijeme u plazmi bila je otprilike 6 puta viša </w:t>
      </w:r>
      <w:r w:rsidR="006F23B2" w:rsidRPr="00983B42">
        <w:rPr>
          <w:iCs/>
          <w:sz w:val="22"/>
          <w:szCs w:val="22"/>
          <w:lang w:val="sr-Latn-ME"/>
        </w:rPr>
        <w:t>kod</w:t>
      </w:r>
      <w:r w:rsidR="00F86CF5" w:rsidRPr="00983B42">
        <w:rPr>
          <w:iCs/>
          <w:sz w:val="22"/>
          <w:szCs w:val="22"/>
          <w:lang w:val="sr-Latn-ME"/>
        </w:rPr>
        <w:t xml:space="preserve"> slabih metabolizatora, nego </w:t>
      </w:r>
      <w:r w:rsidR="006F23B2" w:rsidRPr="00983B42">
        <w:rPr>
          <w:iCs/>
          <w:sz w:val="22"/>
          <w:szCs w:val="22"/>
          <w:lang w:val="sr-Latn-ME"/>
        </w:rPr>
        <w:t>kod</w:t>
      </w:r>
      <w:r w:rsidR="00F86CF5" w:rsidRPr="00983B42">
        <w:rPr>
          <w:iCs/>
          <w:sz w:val="22"/>
          <w:szCs w:val="22"/>
          <w:lang w:val="sr-Latn-ME"/>
        </w:rPr>
        <w:t xml:space="preserve"> osoba s funkcionalnim CYP2C19 enzimom (ekstenzivni metabolizatori). Srednje vrijednosti vršnih plazmatskih koncentracija bile su povećane za oko 60%. Ovi nalazi nemaju nikakav uticaj na doziranje pantoprazola.</w:t>
      </w:r>
    </w:p>
    <w:p w:rsidR="00F86CF5" w:rsidRPr="00983B42" w:rsidRDefault="00F86CF5" w:rsidP="00F86CF5">
      <w:pPr>
        <w:autoSpaceDE w:val="0"/>
        <w:autoSpaceDN w:val="0"/>
        <w:adjustRightInd w:val="0"/>
        <w:jc w:val="both"/>
        <w:rPr>
          <w:iCs/>
          <w:sz w:val="22"/>
          <w:szCs w:val="22"/>
          <w:lang w:val="sr-Latn-ME"/>
        </w:rPr>
      </w:pPr>
    </w:p>
    <w:p w:rsidR="00F86CF5" w:rsidRPr="00983B42" w:rsidRDefault="00500B4F" w:rsidP="00F86CF5">
      <w:pPr>
        <w:autoSpaceDE w:val="0"/>
        <w:autoSpaceDN w:val="0"/>
        <w:adjustRightInd w:val="0"/>
        <w:jc w:val="both"/>
        <w:rPr>
          <w:i/>
          <w:iCs/>
          <w:sz w:val="22"/>
          <w:szCs w:val="22"/>
          <w:lang w:val="sr-Latn-ME"/>
        </w:rPr>
      </w:pPr>
      <w:r w:rsidRPr="00983B42">
        <w:rPr>
          <w:i/>
          <w:iCs/>
          <w:sz w:val="22"/>
          <w:szCs w:val="22"/>
          <w:lang w:val="sr-Latn-ME"/>
        </w:rPr>
        <w:t>O</w:t>
      </w:r>
      <w:r w:rsidR="00F86CF5" w:rsidRPr="00983B42">
        <w:rPr>
          <w:i/>
          <w:iCs/>
          <w:sz w:val="22"/>
          <w:szCs w:val="22"/>
          <w:lang w:val="sr-Latn-ME"/>
        </w:rPr>
        <w:t>štećenje</w:t>
      </w:r>
      <w:r w:rsidRPr="00983B42">
        <w:rPr>
          <w:i/>
          <w:iCs/>
          <w:sz w:val="22"/>
          <w:szCs w:val="22"/>
          <w:lang w:val="sr-Latn-ME"/>
        </w:rPr>
        <w:t xml:space="preserve"> bubrega</w:t>
      </w:r>
    </w:p>
    <w:p w:rsidR="006F23B2" w:rsidRPr="00983B42" w:rsidRDefault="006F23B2" w:rsidP="00F86CF5">
      <w:pPr>
        <w:autoSpaceDE w:val="0"/>
        <w:autoSpaceDN w:val="0"/>
        <w:adjustRightInd w:val="0"/>
        <w:jc w:val="both"/>
        <w:rPr>
          <w:i/>
          <w:iCs/>
          <w:sz w:val="22"/>
          <w:szCs w:val="22"/>
          <w:lang w:val="sr-Latn-ME"/>
        </w:rPr>
      </w:pPr>
    </w:p>
    <w:p w:rsidR="00F86CF5" w:rsidRPr="00983B42" w:rsidRDefault="00F86CF5" w:rsidP="00F86CF5">
      <w:pPr>
        <w:autoSpaceDE w:val="0"/>
        <w:autoSpaceDN w:val="0"/>
        <w:adjustRightInd w:val="0"/>
        <w:jc w:val="both"/>
        <w:rPr>
          <w:iCs/>
          <w:sz w:val="22"/>
          <w:szCs w:val="22"/>
          <w:lang w:val="sr-Latn-ME"/>
        </w:rPr>
      </w:pPr>
      <w:r w:rsidRPr="00983B42">
        <w:rPr>
          <w:iCs/>
          <w:sz w:val="22"/>
          <w:szCs w:val="22"/>
          <w:lang w:val="sr-Latn-ME"/>
        </w:rPr>
        <w:t xml:space="preserve">Ne preporučuje se smanjenje doze kod primjene pantoprazola </w:t>
      </w:r>
      <w:r w:rsidR="00EE280A" w:rsidRPr="00983B42">
        <w:rPr>
          <w:iCs/>
          <w:sz w:val="22"/>
          <w:szCs w:val="22"/>
          <w:lang w:val="sr-Latn-ME"/>
        </w:rPr>
        <w:t xml:space="preserve">kod </w:t>
      </w:r>
      <w:r w:rsidRPr="00983B42">
        <w:rPr>
          <w:iCs/>
          <w:sz w:val="22"/>
          <w:szCs w:val="22"/>
          <w:lang w:val="sr-Latn-ME"/>
        </w:rPr>
        <w:t xml:space="preserve">pacijenata s oštećenom funkcijom bubrega (uključujući i pacijente na dijalizi). Kao i </w:t>
      </w:r>
      <w:r w:rsidR="00DA59D3" w:rsidRPr="00983B42">
        <w:rPr>
          <w:iCs/>
          <w:sz w:val="22"/>
          <w:szCs w:val="22"/>
          <w:lang w:val="sr-Latn-ME"/>
        </w:rPr>
        <w:t>kod</w:t>
      </w:r>
      <w:r w:rsidRPr="00983B42">
        <w:rPr>
          <w:iCs/>
          <w:sz w:val="22"/>
          <w:szCs w:val="22"/>
          <w:lang w:val="sr-Latn-ME"/>
        </w:rPr>
        <w:t xml:space="preserve"> zdravih osoba, poluživot p</w:t>
      </w:r>
      <w:r w:rsidR="00DD00EE" w:rsidRPr="00983B42">
        <w:rPr>
          <w:iCs/>
          <w:sz w:val="22"/>
          <w:szCs w:val="22"/>
          <w:lang w:val="sr-Latn-ME"/>
        </w:rPr>
        <w:t xml:space="preserve">antoprazola je kratak. Samo veoma </w:t>
      </w:r>
      <w:r w:rsidRPr="00983B42">
        <w:rPr>
          <w:iCs/>
          <w:sz w:val="22"/>
          <w:szCs w:val="22"/>
          <w:lang w:val="sr-Latn-ME"/>
        </w:rPr>
        <w:t>male količin</w:t>
      </w:r>
      <w:r w:rsidR="00500B4F" w:rsidRPr="00983B42">
        <w:rPr>
          <w:iCs/>
          <w:sz w:val="22"/>
          <w:szCs w:val="22"/>
          <w:lang w:val="sr-Latn-ME"/>
        </w:rPr>
        <w:t>e pantoprazola bivaju dijalizova</w:t>
      </w:r>
      <w:r w:rsidRPr="00983B42">
        <w:rPr>
          <w:iCs/>
          <w:sz w:val="22"/>
          <w:szCs w:val="22"/>
          <w:lang w:val="sr-Latn-ME"/>
        </w:rPr>
        <w:t>ne. Iako glavni metabolit pantoprazola ima umjereno odgođen poluživot (2 do 3 sata), eksk</w:t>
      </w:r>
      <w:r w:rsidR="00B4143D" w:rsidRPr="00983B42">
        <w:rPr>
          <w:iCs/>
          <w:sz w:val="22"/>
          <w:szCs w:val="22"/>
          <w:lang w:val="sr-Latn-ME"/>
        </w:rPr>
        <w:t>recija je i dalje brza i</w:t>
      </w:r>
      <w:r w:rsidR="00500B4F" w:rsidRPr="00983B42">
        <w:rPr>
          <w:iCs/>
          <w:sz w:val="22"/>
          <w:szCs w:val="22"/>
          <w:lang w:val="sr-Latn-ME"/>
        </w:rPr>
        <w:t xml:space="preserve"> zato</w:t>
      </w:r>
      <w:r w:rsidRPr="00983B42">
        <w:rPr>
          <w:iCs/>
          <w:sz w:val="22"/>
          <w:szCs w:val="22"/>
          <w:lang w:val="sr-Latn-ME"/>
        </w:rPr>
        <w:t xml:space="preserve"> ne dolazi do akumulacije.</w:t>
      </w:r>
    </w:p>
    <w:p w:rsidR="00F86CF5" w:rsidRPr="00983B42" w:rsidRDefault="00F86CF5" w:rsidP="00F86CF5">
      <w:pPr>
        <w:autoSpaceDE w:val="0"/>
        <w:autoSpaceDN w:val="0"/>
        <w:adjustRightInd w:val="0"/>
        <w:jc w:val="both"/>
        <w:rPr>
          <w:iCs/>
          <w:sz w:val="22"/>
          <w:szCs w:val="22"/>
          <w:lang w:val="sr-Latn-ME"/>
        </w:rPr>
      </w:pPr>
    </w:p>
    <w:p w:rsidR="00F86CF5" w:rsidRPr="00983B42" w:rsidRDefault="00500B4F" w:rsidP="00F86CF5">
      <w:pPr>
        <w:autoSpaceDE w:val="0"/>
        <w:autoSpaceDN w:val="0"/>
        <w:adjustRightInd w:val="0"/>
        <w:jc w:val="both"/>
        <w:rPr>
          <w:i/>
          <w:iCs/>
          <w:sz w:val="22"/>
          <w:szCs w:val="22"/>
          <w:lang w:val="sr-Latn-ME"/>
        </w:rPr>
      </w:pPr>
      <w:r w:rsidRPr="00983B42">
        <w:rPr>
          <w:i/>
          <w:iCs/>
          <w:sz w:val="22"/>
          <w:szCs w:val="22"/>
          <w:lang w:val="sr-Latn-ME"/>
        </w:rPr>
        <w:t>O</w:t>
      </w:r>
      <w:r w:rsidR="00F86CF5" w:rsidRPr="00983B42">
        <w:rPr>
          <w:i/>
          <w:iCs/>
          <w:sz w:val="22"/>
          <w:szCs w:val="22"/>
          <w:lang w:val="sr-Latn-ME"/>
        </w:rPr>
        <w:t>štećenje</w:t>
      </w:r>
      <w:r w:rsidRPr="00983B42">
        <w:rPr>
          <w:i/>
          <w:iCs/>
          <w:sz w:val="22"/>
          <w:szCs w:val="22"/>
          <w:lang w:val="sr-Latn-ME"/>
        </w:rPr>
        <w:t xml:space="preserve"> jetre</w:t>
      </w:r>
    </w:p>
    <w:p w:rsidR="00DA59D3" w:rsidRPr="00983B42" w:rsidRDefault="00DA59D3" w:rsidP="00F86CF5">
      <w:pPr>
        <w:autoSpaceDE w:val="0"/>
        <w:autoSpaceDN w:val="0"/>
        <w:adjustRightInd w:val="0"/>
        <w:jc w:val="both"/>
        <w:rPr>
          <w:i/>
          <w:iCs/>
          <w:sz w:val="22"/>
          <w:szCs w:val="22"/>
          <w:lang w:val="sr-Latn-ME"/>
        </w:rPr>
      </w:pPr>
    </w:p>
    <w:p w:rsidR="00F86CF5" w:rsidRPr="00983B42" w:rsidRDefault="00F86CF5" w:rsidP="00F86CF5">
      <w:pPr>
        <w:autoSpaceDE w:val="0"/>
        <w:autoSpaceDN w:val="0"/>
        <w:adjustRightInd w:val="0"/>
        <w:jc w:val="both"/>
        <w:rPr>
          <w:sz w:val="22"/>
          <w:szCs w:val="22"/>
          <w:lang w:val="sr-Latn-ME"/>
        </w:rPr>
      </w:pPr>
      <w:r w:rsidRPr="00983B42">
        <w:rPr>
          <w:iCs/>
          <w:sz w:val="22"/>
          <w:szCs w:val="22"/>
          <w:lang w:val="sr-Latn-ME"/>
        </w:rPr>
        <w:t>Iako</w:t>
      </w:r>
      <w:r w:rsidRPr="00983B42">
        <w:rPr>
          <w:sz w:val="22"/>
          <w:szCs w:val="22"/>
          <w:lang w:val="sr-Latn-ME"/>
        </w:rPr>
        <w:t xml:space="preserve"> su </w:t>
      </w:r>
      <w:r w:rsidR="00850BD7" w:rsidRPr="00983B42">
        <w:rPr>
          <w:sz w:val="22"/>
          <w:szCs w:val="22"/>
          <w:lang w:val="sr-Latn-ME"/>
        </w:rPr>
        <w:t>kod</w:t>
      </w:r>
      <w:r w:rsidRPr="00983B42">
        <w:rPr>
          <w:sz w:val="22"/>
          <w:szCs w:val="22"/>
          <w:lang w:val="sr-Latn-ME"/>
        </w:rPr>
        <w:t xml:space="preserve"> pacijenata s cirozom jetre (klase A i B prema Childu), vrijednosti poluživota pantoprazola povećane na između 7 i 9 sati, a vrijednosti AUC-a povećane su za faktor 5-7, maksimalna serumska koncentracija povećana je samo neznatno za faktor 1,5, pri komparaciji sa zdravim osobama.</w:t>
      </w:r>
    </w:p>
    <w:p w:rsidR="00F86CF5" w:rsidRPr="00983B42" w:rsidRDefault="00F86CF5" w:rsidP="00F86CF5">
      <w:pPr>
        <w:autoSpaceDE w:val="0"/>
        <w:autoSpaceDN w:val="0"/>
        <w:adjustRightInd w:val="0"/>
        <w:jc w:val="both"/>
        <w:rPr>
          <w:sz w:val="22"/>
          <w:szCs w:val="22"/>
          <w:lang w:val="sr-Latn-ME"/>
        </w:rPr>
      </w:pPr>
    </w:p>
    <w:p w:rsidR="00F86CF5" w:rsidRPr="00983B42" w:rsidRDefault="00F86CF5" w:rsidP="00F86CF5">
      <w:pPr>
        <w:autoSpaceDE w:val="0"/>
        <w:autoSpaceDN w:val="0"/>
        <w:adjustRightInd w:val="0"/>
        <w:jc w:val="both"/>
        <w:rPr>
          <w:i/>
          <w:iCs/>
          <w:sz w:val="22"/>
          <w:szCs w:val="22"/>
          <w:lang w:val="sr-Latn-ME"/>
        </w:rPr>
      </w:pPr>
      <w:r w:rsidRPr="00983B42">
        <w:rPr>
          <w:i/>
          <w:iCs/>
          <w:sz w:val="22"/>
          <w:szCs w:val="22"/>
          <w:lang w:val="sr-Latn-ME"/>
        </w:rPr>
        <w:t>Starije osobe</w:t>
      </w:r>
    </w:p>
    <w:p w:rsidR="00850BD7" w:rsidRPr="00983B42" w:rsidRDefault="00850BD7" w:rsidP="00F86CF5">
      <w:pPr>
        <w:autoSpaceDE w:val="0"/>
        <w:autoSpaceDN w:val="0"/>
        <w:adjustRightInd w:val="0"/>
        <w:jc w:val="both"/>
        <w:rPr>
          <w:i/>
          <w:iCs/>
          <w:sz w:val="22"/>
          <w:szCs w:val="22"/>
          <w:lang w:val="sr-Latn-ME"/>
        </w:rPr>
      </w:pPr>
    </w:p>
    <w:p w:rsidR="00F86CF5" w:rsidRPr="00983B42" w:rsidRDefault="00F86CF5" w:rsidP="00F86CF5">
      <w:pPr>
        <w:autoSpaceDE w:val="0"/>
        <w:autoSpaceDN w:val="0"/>
        <w:adjustRightInd w:val="0"/>
        <w:jc w:val="both"/>
        <w:rPr>
          <w:sz w:val="22"/>
          <w:szCs w:val="22"/>
          <w:lang w:val="sr-Latn-ME"/>
        </w:rPr>
      </w:pPr>
      <w:r w:rsidRPr="00983B42">
        <w:rPr>
          <w:sz w:val="22"/>
          <w:szCs w:val="22"/>
          <w:lang w:val="sr-Latn-ME"/>
        </w:rPr>
        <w:t>Neznatno povećanje AUC-a i C</w:t>
      </w:r>
      <w:r w:rsidRPr="00983B42">
        <w:rPr>
          <w:sz w:val="22"/>
          <w:szCs w:val="22"/>
          <w:vertAlign w:val="subscript"/>
          <w:lang w:val="sr-Latn-ME"/>
        </w:rPr>
        <w:t xml:space="preserve">max </w:t>
      </w:r>
      <w:r w:rsidR="00850BD7" w:rsidRPr="00983B42">
        <w:rPr>
          <w:sz w:val="22"/>
          <w:szCs w:val="22"/>
          <w:lang w:val="sr-Latn-ME"/>
        </w:rPr>
        <w:t>kod</w:t>
      </w:r>
      <w:r w:rsidRPr="00983B42">
        <w:rPr>
          <w:sz w:val="22"/>
          <w:szCs w:val="22"/>
          <w:lang w:val="sr-Latn-ME"/>
        </w:rPr>
        <w:t xml:space="preserve"> starijih dobrovol</w:t>
      </w:r>
      <w:r w:rsidR="00500B4F" w:rsidRPr="00983B42">
        <w:rPr>
          <w:sz w:val="22"/>
          <w:szCs w:val="22"/>
          <w:lang w:val="sr-Latn-ME"/>
        </w:rPr>
        <w:t>jaca, u odnosu na mlađe, takođe</w:t>
      </w:r>
      <w:r w:rsidRPr="00983B42">
        <w:rPr>
          <w:sz w:val="22"/>
          <w:szCs w:val="22"/>
          <w:lang w:val="sr-Latn-ME"/>
        </w:rPr>
        <w:t xml:space="preserve"> nije klinički značajno.</w:t>
      </w:r>
    </w:p>
    <w:p w:rsidR="00F86CF5" w:rsidRPr="00983B42" w:rsidRDefault="00F86CF5" w:rsidP="00F86CF5">
      <w:pPr>
        <w:autoSpaceDE w:val="0"/>
        <w:autoSpaceDN w:val="0"/>
        <w:adjustRightInd w:val="0"/>
        <w:jc w:val="both"/>
        <w:rPr>
          <w:sz w:val="22"/>
          <w:szCs w:val="22"/>
          <w:lang w:val="sr-Latn-ME"/>
        </w:rPr>
      </w:pPr>
    </w:p>
    <w:p w:rsidR="00F86CF5" w:rsidRPr="00983B42" w:rsidRDefault="00F86CF5" w:rsidP="00F86CF5">
      <w:pPr>
        <w:autoSpaceDE w:val="0"/>
        <w:autoSpaceDN w:val="0"/>
        <w:adjustRightInd w:val="0"/>
        <w:jc w:val="both"/>
        <w:rPr>
          <w:i/>
          <w:sz w:val="22"/>
          <w:szCs w:val="22"/>
          <w:lang w:val="sr-Latn-ME"/>
        </w:rPr>
      </w:pPr>
      <w:r w:rsidRPr="00983B42">
        <w:rPr>
          <w:i/>
          <w:sz w:val="22"/>
          <w:szCs w:val="22"/>
          <w:lang w:val="sr-Latn-ME"/>
        </w:rPr>
        <w:t>Pedijatrijska populacija</w:t>
      </w:r>
    </w:p>
    <w:p w:rsidR="004C1774" w:rsidRPr="00983B42" w:rsidRDefault="004C1774" w:rsidP="00F86CF5">
      <w:pPr>
        <w:autoSpaceDE w:val="0"/>
        <w:autoSpaceDN w:val="0"/>
        <w:adjustRightInd w:val="0"/>
        <w:jc w:val="both"/>
        <w:rPr>
          <w:i/>
          <w:sz w:val="22"/>
          <w:szCs w:val="22"/>
          <w:lang w:val="sr-Latn-ME"/>
        </w:rPr>
      </w:pPr>
    </w:p>
    <w:p w:rsidR="00F86CF5" w:rsidRPr="00983B42" w:rsidRDefault="00F86CF5" w:rsidP="00F86CF5">
      <w:pPr>
        <w:autoSpaceDE w:val="0"/>
        <w:autoSpaceDN w:val="0"/>
        <w:adjustRightInd w:val="0"/>
        <w:jc w:val="both"/>
        <w:rPr>
          <w:sz w:val="22"/>
          <w:szCs w:val="22"/>
          <w:lang w:val="sr-Latn-ME"/>
        </w:rPr>
      </w:pPr>
      <w:r w:rsidRPr="00983B42">
        <w:rPr>
          <w:sz w:val="22"/>
          <w:szCs w:val="22"/>
          <w:lang w:val="sr-Latn-ME"/>
        </w:rPr>
        <w:t xml:space="preserve">Nakon primjene pojedinačnih oralnih doza od 20 ili 40 mg pantoprazola, </w:t>
      </w:r>
      <w:r w:rsidR="004C1774" w:rsidRPr="00983B42">
        <w:rPr>
          <w:sz w:val="22"/>
          <w:szCs w:val="22"/>
          <w:lang w:val="sr-Latn-ME"/>
        </w:rPr>
        <w:t>kod</w:t>
      </w:r>
      <w:r w:rsidRPr="00983B42">
        <w:rPr>
          <w:sz w:val="22"/>
          <w:szCs w:val="22"/>
          <w:lang w:val="sr-Latn-ME"/>
        </w:rPr>
        <w:t xml:space="preserve"> djece uzrasta od 5 do 16 godina, AUC i C</w:t>
      </w:r>
      <w:r w:rsidRPr="00983B42">
        <w:rPr>
          <w:sz w:val="22"/>
          <w:szCs w:val="22"/>
          <w:vertAlign w:val="subscript"/>
          <w:lang w:val="sr-Latn-ME"/>
        </w:rPr>
        <w:t>max</w:t>
      </w:r>
      <w:r w:rsidRPr="00983B42">
        <w:rPr>
          <w:sz w:val="22"/>
          <w:szCs w:val="22"/>
          <w:lang w:val="sr-Latn-ME"/>
        </w:rPr>
        <w:t xml:space="preserve"> bile su unutar raspona odgovarajućih vrijednosti za odrasle osobe.</w:t>
      </w:r>
    </w:p>
    <w:p w:rsidR="00F86CF5" w:rsidRPr="00983B42" w:rsidRDefault="00F86CF5" w:rsidP="00F86CF5">
      <w:pPr>
        <w:autoSpaceDE w:val="0"/>
        <w:autoSpaceDN w:val="0"/>
        <w:adjustRightInd w:val="0"/>
        <w:jc w:val="both"/>
        <w:rPr>
          <w:sz w:val="22"/>
          <w:szCs w:val="22"/>
          <w:lang w:val="sr-Latn-ME"/>
        </w:rPr>
      </w:pPr>
    </w:p>
    <w:p w:rsidR="00F86CF5" w:rsidRPr="00983B42" w:rsidRDefault="00F86CF5" w:rsidP="00F86CF5">
      <w:pPr>
        <w:autoSpaceDE w:val="0"/>
        <w:autoSpaceDN w:val="0"/>
        <w:adjustRightInd w:val="0"/>
        <w:jc w:val="both"/>
        <w:rPr>
          <w:sz w:val="22"/>
          <w:szCs w:val="22"/>
          <w:lang w:val="sr-Latn-ME"/>
        </w:rPr>
      </w:pPr>
      <w:r w:rsidRPr="00983B42">
        <w:rPr>
          <w:sz w:val="22"/>
          <w:szCs w:val="22"/>
          <w:lang w:val="sr-Latn-ME"/>
        </w:rPr>
        <w:t xml:space="preserve">Nakon primjene pojedinačnih iv. doza od 0,8 mg/kg ili 1,6 mg/kg pantoprazola, </w:t>
      </w:r>
      <w:r w:rsidR="00E67BE0" w:rsidRPr="00983B42">
        <w:rPr>
          <w:sz w:val="22"/>
          <w:szCs w:val="22"/>
          <w:lang w:val="sr-Latn-ME"/>
        </w:rPr>
        <w:t xml:space="preserve">kod </w:t>
      </w:r>
      <w:r w:rsidRPr="00983B42">
        <w:rPr>
          <w:sz w:val="22"/>
          <w:szCs w:val="22"/>
          <w:lang w:val="sr-Latn-ME"/>
        </w:rPr>
        <w:t xml:space="preserve">djece uzrasta od 2 do 16 godina, nije bilo značajne povezanosti između klirensa pantoprazola i uzrasta ili težine djece. AUC i volumen distribucije bili su u skladu s podacima dobivenim </w:t>
      </w:r>
      <w:r w:rsidR="00E67BE0" w:rsidRPr="00983B42">
        <w:rPr>
          <w:sz w:val="22"/>
          <w:szCs w:val="22"/>
          <w:lang w:val="sr-Latn-ME"/>
        </w:rPr>
        <w:t>kod</w:t>
      </w:r>
      <w:r w:rsidRPr="00983B42">
        <w:rPr>
          <w:sz w:val="22"/>
          <w:szCs w:val="22"/>
          <w:lang w:val="sr-Latn-ME"/>
        </w:rPr>
        <w:t xml:space="preserve"> odraslih.</w:t>
      </w:r>
    </w:p>
    <w:p w:rsidR="000E2778" w:rsidRPr="00983B42" w:rsidRDefault="000E2778" w:rsidP="00480FB1">
      <w:pPr>
        <w:tabs>
          <w:tab w:val="left" w:pos="540"/>
          <w:tab w:val="left" w:pos="569"/>
        </w:tabs>
        <w:rPr>
          <w:b/>
          <w:bCs/>
          <w:sz w:val="22"/>
          <w:szCs w:val="22"/>
          <w:lang w:val="sr-Latn-ME"/>
        </w:rPr>
      </w:pPr>
    </w:p>
    <w:p w:rsidR="0072020E"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5.3. </w:t>
      </w:r>
      <w:r w:rsidR="00480FB1" w:rsidRPr="00983B42">
        <w:rPr>
          <w:b/>
          <w:bCs/>
          <w:sz w:val="22"/>
          <w:szCs w:val="22"/>
          <w:lang w:val="sr-Latn-ME"/>
        </w:rPr>
        <w:tab/>
      </w:r>
      <w:r w:rsidRPr="00983B42">
        <w:rPr>
          <w:b/>
          <w:bCs/>
          <w:sz w:val="22"/>
          <w:szCs w:val="22"/>
          <w:lang w:val="sr-Latn-ME"/>
        </w:rPr>
        <w:t xml:space="preserve">Pretklinički podaci o bezbjednosti </w:t>
      </w:r>
    </w:p>
    <w:p w:rsidR="00F86CF5" w:rsidRPr="00983B42" w:rsidRDefault="00F86CF5" w:rsidP="00480FB1">
      <w:pPr>
        <w:tabs>
          <w:tab w:val="left" w:pos="540"/>
          <w:tab w:val="left" w:pos="569"/>
        </w:tabs>
        <w:rPr>
          <w:b/>
          <w:bCs/>
          <w:sz w:val="22"/>
          <w:szCs w:val="22"/>
          <w:lang w:val="sr-Latn-ME"/>
        </w:rPr>
      </w:pPr>
    </w:p>
    <w:p w:rsidR="00F86CF5" w:rsidRPr="00983B42" w:rsidRDefault="00F86CF5" w:rsidP="00F86CF5">
      <w:pPr>
        <w:pStyle w:val="Header"/>
        <w:tabs>
          <w:tab w:val="left" w:pos="284"/>
        </w:tabs>
        <w:jc w:val="both"/>
        <w:rPr>
          <w:sz w:val="22"/>
          <w:szCs w:val="22"/>
          <w:lang w:val="sr-Latn-ME"/>
        </w:rPr>
      </w:pPr>
      <w:r w:rsidRPr="00983B42">
        <w:rPr>
          <w:sz w:val="22"/>
          <w:szCs w:val="22"/>
          <w:lang w:val="sr-Latn-ME"/>
        </w:rPr>
        <w:t>Pretklinički podaci nisu otkrili</w:t>
      </w:r>
      <w:r w:rsidR="00A77BD8" w:rsidRPr="00983B42">
        <w:rPr>
          <w:sz w:val="22"/>
          <w:szCs w:val="22"/>
          <w:lang w:val="sr-Latn-ME"/>
        </w:rPr>
        <w:t xml:space="preserve"> poseban rizik za ljude na osnovu</w:t>
      </w:r>
      <w:r w:rsidRPr="00983B42">
        <w:rPr>
          <w:sz w:val="22"/>
          <w:szCs w:val="22"/>
          <w:lang w:val="sr-Latn-ME"/>
        </w:rPr>
        <w:t xml:space="preserve"> konvencionalnih studija </w:t>
      </w:r>
      <w:r w:rsidR="0038673B" w:rsidRPr="00983B42">
        <w:rPr>
          <w:sz w:val="22"/>
          <w:szCs w:val="22"/>
          <w:lang w:val="sr-Latn-ME"/>
        </w:rPr>
        <w:t>bezbjednosne</w:t>
      </w:r>
      <w:r w:rsidRPr="00983B42">
        <w:rPr>
          <w:sz w:val="22"/>
          <w:szCs w:val="22"/>
          <w:lang w:val="sr-Latn-ME"/>
        </w:rPr>
        <w:t xml:space="preserve"> farmakologije, toksičnosti ponovljenih doza i genotoksičnosti.</w:t>
      </w:r>
    </w:p>
    <w:p w:rsidR="00F86CF5" w:rsidRPr="00983B42" w:rsidRDefault="00F86CF5" w:rsidP="00F86CF5">
      <w:pPr>
        <w:pStyle w:val="Header"/>
        <w:tabs>
          <w:tab w:val="left" w:pos="284"/>
        </w:tabs>
        <w:jc w:val="both"/>
        <w:rPr>
          <w:sz w:val="22"/>
          <w:szCs w:val="22"/>
          <w:lang w:val="sr-Latn-ME"/>
        </w:rPr>
      </w:pPr>
    </w:p>
    <w:p w:rsidR="00F86CF5" w:rsidRPr="00983B42" w:rsidRDefault="00F86CF5" w:rsidP="00F86CF5">
      <w:pPr>
        <w:pStyle w:val="Header"/>
        <w:tabs>
          <w:tab w:val="left" w:pos="284"/>
        </w:tabs>
        <w:jc w:val="both"/>
        <w:rPr>
          <w:sz w:val="22"/>
          <w:szCs w:val="22"/>
          <w:lang w:val="sr-Latn-ME"/>
        </w:rPr>
      </w:pPr>
      <w:r w:rsidRPr="00983B42">
        <w:rPr>
          <w:sz w:val="22"/>
          <w:szCs w:val="22"/>
          <w:lang w:val="sr-Latn-ME"/>
        </w:rPr>
        <w:t xml:space="preserve">U dvogodišnjem ispitivanju kancerogenosti </w:t>
      </w:r>
      <w:r w:rsidR="00180F67" w:rsidRPr="00983B42">
        <w:rPr>
          <w:sz w:val="22"/>
          <w:szCs w:val="22"/>
          <w:lang w:val="sr-Latn-ME"/>
        </w:rPr>
        <w:t>kod pacova</w:t>
      </w:r>
      <w:r w:rsidRPr="00983B42">
        <w:rPr>
          <w:sz w:val="22"/>
          <w:szCs w:val="22"/>
          <w:lang w:val="sr-Latn-ME"/>
        </w:rPr>
        <w:t xml:space="preserve">, nađene su neuroendokrine neoplazme. Pored toga, u početnom dijelu želuca </w:t>
      </w:r>
      <w:r w:rsidR="00180F67" w:rsidRPr="00983B42">
        <w:rPr>
          <w:sz w:val="22"/>
          <w:szCs w:val="22"/>
          <w:lang w:val="sr-Latn-ME"/>
        </w:rPr>
        <w:t>pacova</w:t>
      </w:r>
      <w:r w:rsidRPr="00983B42">
        <w:rPr>
          <w:sz w:val="22"/>
          <w:szCs w:val="22"/>
          <w:lang w:val="sr-Latn-ME"/>
        </w:rPr>
        <w:t xml:space="preserve"> otkriveni su papilomi skvamoznih ćelija. Mehanizam kojim supstituirani benzimidazoli dovode do formiranja gastričnih karcinoida pažljivo je ispitivan, pri čemu se zaključilo da se radi o sekundarnoj reakciji na veliko povećanje nivoa gastrina u serumu </w:t>
      </w:r>
      <w:r w:rsidR="00180F67" w:rsidRPr="00983B42">
        <w:rPr>
          <w:sz w:val="22"/>
          <w:szCs w:val="22"/>
          <w:lang w:val="sr-Latn-ME"/>
        </w:rPr>
        <w:t>pacova</w:t>
      </w:r>
      <w:r w:rsidRPr="00983B42">
        <w:rPr>
          <w:sz w:val="22"/>
          <w:szCs w:val="22"/>
          <w:lang w:val="sr-Latn-ME"/>
        </w:rPr>
        <w:t xml:space="preserve">, što se događalo tokom hronične primjene visokih doza. U dvogodišnjim studijama s glodarima, primijećen je povećan broj tumora jetre </w:t>
      </w:r>
      <w:r w:rsidR="00361767" w:rsidRPr="00983B42">
        <w:rPr>
          <w:sz w:val="22"/>
          <w:szCs w:val="22"/>
          <w:lang w:val="sr-Latn-ME"/>
        </w:rPr>
        <w:t>kod pacova</w:t>
      </w:r>
      <w:r w:rsidRPr="00983B42">
        <w:rPr>
          <w:sz w:val="22"/>
          <w:szCs w:val="22"/>
          <w:lang w:val="sr-Latn-ME"/>
        </w:rPr>
        <w:t xml:space="preserve"> i </w:t>
      </w:r>
      <w:r w:rsidR="00180F67" w:rsidRPr="00983B42">
        <w:rPr>
          <w:sz w:val="22"/>
          <w:szCs w:val="22"/>
          <w:lang w:val="sr-Latn-ME"/>
        </w:rPr>
        <w:t>kod</w:t>
      </w:r>
      <w:r w:rsidRPr="00983B42">
        <w:rPr>
          <w:sz w:val="22"/>
          <w:szCs w:val="22"/>
          <w:lang w:val="sr-Latn-ME"/>
        </w:rPr>
        <w:t xml:space="preserve"> ženki miševa, što je protumačeno kao poslje</w:t>
      </w:r>
      <w:r w:rsidR="00A77BD8" w:rsidRPr="00983B42">
        <w:rPr>
          <w:sz w:val="22"/>
          <w:szCs w:val="22"/>
          <w:lang w:val="sr-Latn-ME"/>
        </w:rPr>
        <w:t>dica visokog stepana metabolizov</w:t>
      </w:r>
      <w:r w:rsidRPr="00983B42">
        <w:rPr>
          <w:sz w:val="22"/>
          <w:szCs w:val="22"/>
          <w:lang w:val="sr-Latn-ME"/>
        </w:rPr>
        <w:t>anja pantoprazola u jetri.</w:t>
      </w:r>
    </w:p>
    <w:p w:rsidR="00F86CF5" w:rsidRPr="00983B42" w:rsidRDefault="00F86CF5" w:rsidP="00F86CF5">
      <w:pPr>
        <w:pStyle w:val="Header"/>
        <w:tabs>
          <w:tab w:val="left" w:pos="284"/>
        </w:tabs>
        <w:jc w:val="both"/>
        <w:rPr>
          <w:sz w:val="22"/>
          <w:szCs w:val="22"/>
          <w:lang w:val="sr-Latn-ME"/>
        </w:rPr>
      </w:pPr>
    </w:p>
    <w:p w:rsidR="00F86CF5" w:rsidRPr="00983B42" w:rsidRDefault="00F86CF5" w:rsidP="00F86CF5">
      <w:pPr>
        <w:pStyle w:val="Header"/>
        <w:tabs>
          <w:tab w:val="left" w:pos="284"/>
        </w:tabs>
        <w:jc w:val="both"/>
        <w:rPr>
          <w:sz w:val="22"/>
          <w:szCs w:val="22"/>
          <w:lang w:val="sr-Latn-ME"/>
        </w:rPr>
      </w:pPr>
      <w:r w:rsidRPr="00983B42">
        <w:rPr>
          <w:sz w:val="22"/>
          <w:szCs w:val="22"/>
          <w:lang w:val="sr-Latn-ME"/>
        </w:rPr>
        <w:t xml:space="preserve">Neznatan porast neoplastičnih promjena štitne žlijezde, primijećen je u grupi </w:t>
      </w:r>
      <w:r w:rsidR="006718C3" w:rsidRPr="00983B42">
        <w:rPr>
          <w:sz w:val="22"/>
          <w:szCs w:val="22"/>
          <w:lang w:val="sr-Latn-ME"/>
        </w:rPr>
        <w:t>pacova</w:t>
      </w:r>
      <w:r w:rsidRPr="00983B42">
        <w:rPr>
          <w:sz w:val="22"/>
          <w:szCs w:val="22"/>
          <w:lang w:val="sr-Latn-ME"/>
        </w:rPr>
        <w:t xml:space="preserve"> koji su primali najvišu dozu lijeka (200 mg/kg). Pojava ovih neoplazmi povezana je s pantoprazolom-izazvanim promjenama u razgradnji tiroksina u jetri </w:t>
      </w:r>
      <w:r w:rsidR="006718C3" w:rsidRPr="00983B42">
        <w:rPr>
          <w:sz w:val="22"/>
          <w:szCs w:val="22"/>
          <w:lang w:val="sr-Latn-ME"/>
        </w:rPr>
        <w:t>pacova</w:t>
      </w:r>
      <w:r w:rsidRPr="00983B42">
        <w:rPr>
          <w:sz w:val="22"/>
          <w:szCs w:val="22"/>
          <w:lang w:val="sr-Latn-ME"/>
        </w:rPr>
        <w:t xml:space="preserve">. S obzirom da je terapijska doza </w:t>
      </w:r>
      <w:r w:rsidR="006718C3" w:rsidRPr="00983B42">
        <w:rPr>
          <w:sz w:val="22"/>
          <w:szCs w:val="22"/>
          <w:lang w:val="sr-Latn-ME"/>
        </w:rPr>
        <w:t>kod</w:t>
      </w:r>
      <w:r w:rsidRPr="00983B42">
        <w:rPr>
          <w:sz w:val="22"/>
          <w:szCs w:val="22"/>
          <w:lang w:val="sr-Latn-ME"/>
        </w:rPr>
        <w:t xml:space="preserve"> ljudi niska,</w:t>
      </w:r>
      <w:r w:rsidR="008B02E3" w:rsidRPr="00983B42">
        <w:rPr>
          <w:sz w:val="22"/>
          <w:szCs w:val="22"/>
          <w:lang w:val="sr-Latn-ME"/>
        </w:rPr>
        <w:t xml:space="preserve"> ne očekuju se štetna dejstva</w:t>
      </w:r>
      <w:r w:rsidRPr="00983B42">
        <w:rPr>
          <w:sz w:val="22"/>
          <w:szCs w:val="22"/>
          <w:lang w:val="sr-Latn-ME"/>
        </w:rPr>
        <w:t xml:space="preserve"> na štitnu žlijezdu.</w:t>
      </w:r>
    </w:p>
    <w:p w:rsidR="00F86CF5" w:rsidRPr="00983B42" w:rsidRDefault="00F86CF5" w:rsidP="00F86CF5">
      <w:pPr>
        <w:pStyle w:val="Header"/>
        <w:tabs>
          <w:tab w:val="left" w:pos="284"/>
        </w:tabs>
        <w:jc w:val="both"/>
        <w:rPr>
          <w:sz w:val="22"/>
          <w:szCs w:val="22"/>
          <w:lang w:val="sr-Latn-ME"/>
        </w:rPr>
      </w:pPr>
    </w:p>
    <w:p w:rsidR="00F86CF5" w:rsidRPr="00983B42" w:rsidRDefault="00F86CF5" w:rsidP="00F86CF5">
      <w:pPr>
        <w:tabs>
          <w:tab w:val="left" w:pos="284"/>
          <w:tab w:val="center" w:pos="4153"/>
          <w:tab w:val="right" w:pos="8306"/>
        </w:tabs>
        <w:jc w:val="both"/>
        <w:rPr>
          <w:sz w:val="22"/>
          <w:szCs w:val="22"/>
          <w:lang w:val="sr-Latn-ME"/>
        </w:rPr>
      </w:pPr>
      <w:r w:rsidRPr="00983B42">
        <w:rPr>
          <w:sz w:val="22"/>
          <w:szCs w:val="22"/>
          <w:lang w:val="sr-Latn-ME"/>
        </w:rPr>
        <w:t xml:space="preserve">U peri-postnatalnom ispitivanju reprodukcije kod </w:t>
      </w:r>
      <w:r w:rsidR="000921DA" w:rsidRPr="00983B42">
        <w:rPr>
          <w:sz w:val="22"/>
          <w:szCs w:val="22"/>
          <w:lang w:val="sr-Latn-ME"/>
        </w:rPr>
        <w:t>pacova</w:t>
      </w:r>
      <w:r w:rsidRPr="00983B42">
        <w:rPr>
          <w:sz w:val="22"/>
          <w:szCs w:val="22"/>
          <w:lang w:val="sr-Latn-ME"/>
        </w:rPr>
        <w:t xml:space="preserve"> osmišljenom za procjenu raz</w:t>
      </w:r>
      <w:r w:rsidR="00A77BD8" w:rsidRPr="00983B42">
        <w:rPr>
          <w:sz w:val="22"/>
          <w:szCs w:val="22"/>
          <w:lang w:val="sr-Latn-ME"/>
        </w:rPr>
        <w:t>voja kostiju, opaženi su znaci</w:t>
      </w:r>
      <w:r w:rsidRPr="00983B42">
        <w:rPr>
          <w:sz w:val="22"/>
          <w:szCs w:val="22"/>
          <w:lang w:val="sr-Latn-ME"/>
        </w:rPr>
        <w:t xml:space="preserve"> toksičnosti mladunaca (smrtnost, manja srednja tjelesna težina, niži srednji prirast tjelesne težine i sma</w:t>
      </w:r>
      <w:r w:rsidR="00A77BD8" w:rsidRPr="00983B42">
        <w:rPr>
          <w:sz w:val="22"/>
          <w:szCs w:val="22"/>
          <w:lang w:val="sr-Latn-ME"/>
        </w:rPr>
        <w:t>njeni rast kostiju). Ovi znaci</w:t>
      </w:r>
      <w:r w:rsidRPr="00983B42">
        <w:rPr>
          <w:sz w:val="22"/>
          <w:szCs w:val="22"/>
          <w:lang w:val="sr-Latn-ME"/>
        </w:rPr>
        <w:t xml:space="preserve"> bili su primjećeni pri izloženosti (Cmax) približno 2x kliničkoj izloženosti </w:t>
      </w:r>
      <w:r w:rsidR="000921DA" w:rsidRPr="00983B42">
        <w:rPr>
          <w:sz w:val="22"/>
          <w:szCs w:val="22"/>
          <w:lang w:val="sr-Latn-ME"/>
        </w:rPr>
        <w:t>kod</w:t>
      </w:r>
      <w:r w:rsidRPr="00983B42">
        <w:rPr>
          <w:sz w:val="22"/>
          <w:szCs w:val="22"/>
          <w:lang w:val="sr-Latn-ME"/>
        </w:rPr>
        <w:t xml:space="preserve"> ljudi. Do kraja faze oporavka parametri kostiju</w:t>
      </w:r>
      <w:r w:rsidR="00A77BD8" w:rsidRPr="00983B42">
        <w:rPr>
          <w:sz w:val="22"/>
          <w:szCs w:val="22"/>
          <w:lang w:val="sr-Latn-ME"/>
        </w:rPr>
        <w:t xml:space="preserve"> bili su slični u svim grupama, a tjelesna težina takođe</w:t>
      </w:r>
      <w:r w:rsidRPr="00983B42">
        <w:rPr>
          <w:sz w:val="22"/>
          <w:szCs w:val="22"/>
          <w:lang w:val="sr-Latn-ME"/>
        </w:rPr>
        <w:t xml:space="preserve"> je bila u trendu reverzibilnosti nakon razdoblja oporavka bez lijeka. Povećana smrtnost prijavljena je samo </w:t>
      </w:r>
      <w:r w:rsidR="000921DA" w:rsidRPr="00983B42">
        <w:rPr>
          <w:sz w:val="22"/>
          <w:szCs w:val="22"/>
          <w:lang w:val="sr-Latn-ME"/>
        </w:rPr>
        <w:t>kod</w:t>
      </w:r>
      <w:r w:rsidR="00A77BD8" w:rsidRPr="00983B42">
        <w:rPr>
          <w:sz w:val="22"/>
          <w:szCs w:val="22"/>
          <w:lang w:val="sr-Latn-ME"/>
        </w:rPr>
        <w:t xml:space="preserve"> mladunaca</w:t>
      </w:r>
      <w:r w:rsidRPr="00983B42">
        <w:rPr>
          <w:sz w:val="22"/>
          <w:szCs w:val="22"/>
          <w:lang w:val="sr-Latn-ME"/>
        </w:rPr>
        <w:t xml:space="preserve"> </w:t>
      </w:r>
      <w:r w:rsidR="000921DA" w:rsidRPr="00983B42">
        <w:rPr>
          <w:sz w:val="22"/>
          <w:szCs w:val="22"/>
          <w:lang w:val="sr-Latn-ME"/>
        </w:rPr>
        <w:t>pacova</w:t>
      </w:r>
      <w:r w:rsidRPr="00983B42">
        <w:rPr>
          <w:sz w:val="22"/>
          <w:szCs w:val="22"/>
          <w:lang w:val="sr-Latn-ME"/>
        </w:rPr>
        <w:t xml:space="preserve"> prije prestanka sisanja (do 21 dana starosti) za koju se procjenjuje da odgovaraju dojenčadi do dobi od 2 godine. Važnost ovog nalaza za pedijatrijsku populaciju nije jasna. Prethodno peripostnatal</w:t>
      </w:r>
      <w:r w:rsidR="00DE213B" w:rsidRPr="00983B42">
        <w:rPr>
          <w:sz w:val="22"/>
          <w:szCs w:val="22"/>
          <w:lang w:val="sr-Latn-ME"/>
        </w:rPr>
        <w:t>no ispitivanje na pacovima</w:t>
      </w:r>
      <w:r w:rsidRPr="00983B42">
        <w:rPr>
          <w:sz w:val="22"/>
          <w:szCs w:val="22"/>
          <w:lang w:val="sr-Latn-ME"/>
        </w:rPr>
        <w:t xml:space="preserve"> pri nešto nižim dozama nij</w:t>
      </w:r>
      <w:r w:rsidR="008A02EF" w:rsidRPr="00983B42">
        <w:rPr>
          <w:sz w:val="22"/>
          <w:szCs w:val="22"/>
          <w:lang w:val="sr-Latn-ME"/>
        </w:rPr>
        <w:t>e pokazalo štetne efekte</w:t>
      </w:r>
      <w:r w:rsidRPr="00983B42">
        <w:rPr>
          <w:sz w:val="22"/>
          <w:szCs w:val="22"/>
          <w:lang w:val="sr-Latn-ME"/>
        </w:rPr>
        <w:t xml:space="preserve"> pri dozi od 3 mg/kg u poređenju sa niskom dozom od 5 mg/kg u ovom ispitivanju.</w:t>
      </w:r>
    </w:p>
    <w:p w:rsidR="00F86CF5" w:rsidRPr="00983B42" w:rsidRDefault="00F86CF5" w:rsidP="00F86CF5">
      <w:pPr>
        <w:pStyle w:val="Header"/>
        <w:tabs>
          <w:tab w:val="left" w:pos="284"/>
        </w:tabs>
        <w:jc w:val="both"/>
        <w:rPr>
          <w:sz w:val="22"/>
          <w:szCs w:val="22"/>
          <w:lang w:val="sr-Latn-ME"/>
        </w:rPr>
      </w:pPr>
    </w:p>
    <w:p w:rsidR="00F86CF5" w:rsidRPr="00983B42" w:rsidRDefault="00F86CF5" w:rsidP="00F86CF5">
      <w:pPr>
        <w:pStyle w:val="Header"/>
        <w:tabs>
          <w:tab w:val="left" w:pos="284"/>
        </w:tabs>
        <w:jc w:val="both"/>
        <w:rPr>
          <w:sz w:val="22"/>
          <w:szCs w:val="22"/>
          <w:lang w:val="sr-Latn-ME"/>
        </w:rPr>
      </w:pPr>
      <w:r w:rsidRPr="00983B42">
        <w:rPr>
          <w:sz w:val="22"/>
          <w:szCs w:val="22"/>
          <w:lang w:val="sr-Latn-ME"/>
        </w:rPr>
        <w:t>Ispitivanjima nisu otkriveni nikakvi dokazi o oštećenoj plodnosti ili o teratogenim efektima.</w:t>
      </w:r>
    </w:p>
    <w:p w:rsidR="00F86CF5" w:rsidRPr="00983B42" w:rsidRDefault="00F86CF5" w:rsidP="00F86CF5">
      <w:pPr>
        <w:pStyle w:val="Header"/>
        <w:tabs>
          <w:tab w:val="left" w:pos="284"/>
        </w:tabs>
        <w:jc w:val="both"/>
        <w:rPr>
          <w:sz w:val="22"/>
          <w:szCs w:val="22"/>
          <w:lang w:val="sr-Latn-ME"/>
        </w:rPr>
      </w:pPr>
    </w:p>
    <w:p w:rsidR="00F86CF5" w:rsidRPr="00983B42" w:rsidRDefault="00F86CF5" w:rsidP="00F86CF5">
      <w:pPr>
        <w:pStyle w:val="Header"/>
        <w:tabs>
          <w:tab w:val="left" w:pos="284"/>
        </w:tabs>
        <w:jc w:val="both"/>
        <w:rPr>
          <w:sz w:val="22"/>
          <w:szCs w:val="22"/>
          <w:lang w:val="sr-Latn-ME"/>
        </w:rPr>
      </w:pPr>
      <w:r w:rsidRPr="00983B42">
        <w:rPr>
          <w:sz w:val="22"/>
          <w:szCs w:val="22"/>
          <w:lang w:val="sr-Latn-ME"/>
        </w:rPr>
        <w:lastRenderedPageBreak/>
        <w:t xml:space="preserve">Prolazak lijeka kroz placentu ispitivan </w:t>
      </w:r>
      <w:r w:rsidR="000921DA" w:rsidRPr="00983B42">
        <w:rPr>
          <w:sz w:val="22"/>
          <w:szCs w:val="22"/>
          <w:lang w:val="sr-Latn-ME"/>
        </w:rPr>
        <w:t>kod pacova</w:t>
      </w:r>
      <w:r w:rsidRPr="00983B42">
        <w:rPr>
          <w:sz w:val="22"/>
          <w:szCs w:val="22"/>
          <w:lang w:val="sr-Latn-ME"/>
        </w:rPr>
        <w:t>, a otkriveno je da se on povećava s napredovanjem gestacije. Kao posljedica toga, povećana je koncentracija pantoprazola u fetusa kratko prije rođenja.</w:t>
      </w:r>
    </w:p>
    <w:p w:rsidR="000921DA" w:rsidRDefault="000921DA" w:rsidP="00F86CF5">
      <w:pPr>
        <w:pStyle w:val="Header"/>
        <w:tabs>
          <w:tab w:val="left" w:pos="284"/>
        </w:tabs>
        <w:jc w:val="both"/>
        <w:rPr>
          <w:sz w:val="22"/>
          <w:szCs w:val="22"/>
          <w:lang w:val="sr-Latn-ME"/>
        </w:rPr>
      </w:pPr>
    </w:p>
    <w:p w:rsidR="00983B42" w:rsidRPr="00983B42" w:rsidRDefault="00983B42" w:rsidP="00F86CF5">
      <w:pPr>
        <w:pStyle w:val="Header"/>
        <w:tabs>
          <w:tab w:val="left" w:pos="284"/>
        </w:tabs>
        <w:jc w:val="both"/>
        <w:rPr>
          <w:sz w:val="22"/>
          <w:szCs w:val="22"/>
          <w:lang w:val="sr-Latn-ME"/>
        </w:rPr>
      </w:pPr>
    </w:p>
    <w:p w:rsidR="0072020E"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6. </w:t>
      </w:r>
      <w:r w:rsidR="00480FB1" w:rsidRPr="00983B42">
        <w:rPr>
          <w:b/>
          <w:bCs/>
          <w:sz w:val="22"/>
          <w:szCs w:val="22"/>
          <w:lang w:val="sr-Latn-ME"/>
        </w:rPr>
        <w:tab/>
      </w:r>
      <w:r w:rsidRPr="00983B42">
        <w:rPr>
          <w:b/>
          <w:bCs/>
          <w:sz w:val="22"/>
          <w:szCs w:val="22"/>
          <w:lang w:val="sr-Latn-ME"/>
        </w:rPr>
        <w:t>FARMACEUTSKI PODACI</w:t>
      </w:r>
    </w:p>
    <w:p w:rsidR="00836B35" w:rsidRPr="00983B42" w:rsidRDefault="00836B35" w:rsidP="00480FB1">
      <w:pPr>
        <w:tabs>
          <w:tab w:val="left" w:pos="540"/>
          <w:tab w:val="left" w:pos="569"/>
        </w:tabs>
        <w:rPr>
          <w:bCs/>
          <w:sz w:val="22"/>
          <w:szCs w:val="22"/>
          <w:lang w:val="sr-Latn-ME"/>
        </w:rPr>
      </w:pPr>
    </w:p>
    <w:p w:rsidR="003872A9"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6.1. </w:t>
      </w:r>
      <w:r w:rsidR="00480FB1" w:rsidRPr="00983B42">
        <w:rPr>
          <w:b/>
          <w:bCs/>
          <w:sz w:val="22"/>
          <w:szCs w:val="22"/>
          <w:lang w:val="sr-Latn-ME"/>
        </w:rPr>
        <w:tab/>
      </w:r>
      <w:r w:rsidRPr="00983B42">
        <w:rPr>
          <w:b/>
          <w:bCs/>
          <w:sz w:val="22"/>
          <w:szCs w:val="22"/>
          <w:lang w:val="sr-Latn-ME"/>
        </w:rPr>
        <w:t>Lista pomoćnih supstanci</w:t>
      </w:r>
      <w:r w:rsidR="002E0135" w:rsidRPr="00983B42">
        <w:rPr>
          <w:b/>
          <w:bCs/>
          <w:sz w:val="22"/>
          <w:szCs w:val="22"/>
          <w:lang w:val="sr-Latn-ME"/>
        </w:rPr>
        <w:t xml:space="preserve"> (ekscipijenasa)</w:t>
      </w:r>
    </w:p>
    <w:p w:rsidR="003872A9" w:rsidRPr="00983B42" w:rsidRDefault="003872A9" w:rsidP="00480FB1">
      <w:pPr>
        <w:tabs>
          <w:tab w:val="left" w:pos="540"/>
          <w:tab w:val="left" w:pos="569"/>
        </w:tabs>
        <w:rPr>
          <w:b/>
          <w:bCs/>
          <w:sz w:val="22"/>
          <w:szCs w:val="22"/>
          <w:lang w:val="sr-Latn-ME"/>
        </w:rPr>
      </w:pPr>
    </w:p>
    <w:p w:rsidR="003872A9" w:rsidRPr="00983B42" w:rsidRDefault="003872A9" w:rsidP="003872A9">
      <w:pPr>
        <w:tabs>
          <w:tab w:val="left" w:pos="540"/>
          <w:tab w:val="left" w:pos="569"/>
        </w:tabs>
        <w:jc w:val="both"/>
        <w:rPr>
          <w:bCs/>
          <w:noProof/>
          <w:sz w:val="22"/>
          <w:szCs w:val="22"/>
          <w:lang w:val="sr-Latn-ME"/>
        </w:rPr>
      </w:pPr>
      <w:r w:rsidRPr="00983B42">
        <w:rPr>
          <w:bCs/>
          <w:noProof/>
          <w:sz w:val="22"/>
          <w:szCs w:val="22"/>
          <w:lang w:val="sr-Latn-ME"/>
        </w:rPr>
        <w:t>Tabletno jezgro:</w:t>
      </w:r>
    </w:p>
    <w:p w:rsidR="003872A9" w:rsidRPr="00983B42" w:rsidRDefault="003872A9" w:rsidP="003872A9">
      <w:pPr>
        <w:numPr>
          <w:ilvl w:val="0"/>
          <w:numId w:val="15"/>
        </w:numPr>
        <w:jc w:val="both"/>
        <w:rPr>
          <w:noProof/>
          <w:sz w:val="22"/>
          <w:szCs w:val="22"/>
          <w:lang w:val="sr-Latn-ME"/>
        </w:rPr>
      </w:pPr>
      <w:r w:rsidRPr="00983B42">
        <w:rPr>
          <w:noProof/>
          <w:sz w:val="22"/>
          <w:szCs w:val="22"/>
          <w:lang w:val="sr-Latn-ME"/>
        </w:rPr>
        <w:t>Manitol (E421)</w:t>
      </w:r>
    </w:p>
    <w:p w:rsidR="003872A9" w:rsidRPr="00983B42" w:rsidRDefault="003872A9" w:rsidP="003872A9">
      <w:pPr>
        <w:numPr>
          <w:ilvl w:val="0"/>
          <w:numId w:val="15"/>
        </w:numPr>
        <w:jc w:val="both"/>
        <w:rPr>
          <w:noProof/>
          <w:sz w:val="22"/>
          <w:szCs w:val="22"/>
          <w:lang w:val="sr-Latn-ME"/>
        </w:rPr>
      </w:pPr>
      <w:r w:rsidRPr="00983B42">
        <w:rPr>
          <w:noProof/>
          <w:sz w:val="22"/>
          <w:szCs w:val="22"/>
          <w:lang w:val="sr-Latn-ME"/>
        </w:rPr>
        <w:t>Krospovidon (Tip B)</w:t>
      </w:r>
    </w:p>
    <w:p w:rsidR="003872A9" w:rsidRPr="00983B42" w:rsidRDefault="003872A9" w:rsidP="003872A9">
      <w:pPr>
        <w:numPr>
          <w:ilvl w:val="0"/>
          <w:numId w:val="15"/>
        </w:numPr>
        <w:jc w:val="both"/>
        <w:rPr>
          <w:noProof/>
          <w:sz w:val="22"/>
          <w:szCs w:val="22"/>
          <w:lang w:val="sr-Latn-ME"/>
        </w:rPr>
      </w:pPr>
      <w:r w:rsidRPr="00983B42">
        <w:rPr>
          <w:noProof/>
          <w:sz w:val="22"/>
          <w:szCs w:val="22"/>
          <w:lang w:val="sr-Latn-ME"/>
        </w:rPr>
        <w:t>Natrijum karbonat, bezvodni</w:t>
      </w:r>
    </w:p>
    <w:p w:rsidR="003872A9" w:rsidRPr="00983B42" w:rsidRDefault="003872A9" w:rsidP="003872A9">
      <w:pPr>
        <w:numPr>
          <w:ilvl w:val="0"/>
          <w:numId w:val="15"/>
        </w:numPr>
        <w:jc w:val="both"/>
        <w:rPr>
          <w:noProof/>
          <w:sz w:val="22"/>
          <w:szCs w:val="22"/>
          <w:lang w:val="sr-Latn-ME"/>
        </w:rPr>
      </w:pPr>
      <w:r w:rsidRPr="00983B42">
        <w:rPr>
          <w:noProof/>
          <w:sz w:val="22"/>
          <w:szCs w:val="22"/>
          <w:lang w:val="sr-Latn-ME"/>
        </w:rPr>
        <w:t>Hidroksipropil</w:t>
      </w:r>
      <w:r w:rsidR="00573EBB" w:rsidRPr="00983B42">
        <w:rPr>
          <w:noProof/>
          <w:sz w:val="22"/>
          <w:szCs w:val="22"/>
          <w:lang w:val="sr-Latn-ME"/>
        </w:rPr>
        <w:t xml:space="preserve"> </w:t>
      </w:r>
      <w:r w:rsidRPr="00983B42">
        <w:rPr>
          <w:noProof/>
          <w:sz w:val="22"/>
          <w:szCs w:val="22"/>
          <w:lang w:val="sr-Latn-ME"/>
        </w:rPr>
        <w:t>celuloza (Klucel LF)</w:t>
      </w:r>
    </w:p>
    <w:p w:rsidR="003872A9" w:rsidRPr="00983B42" w:rsidRDefault="003872A9" w:rsidP="003872A9">
      <w:pPr>
        <w:numPr>
          <w:ilvl w:val="0"/>
          <w:numId w:val="15"/>
        </w:numPr>
        <w:jc w:val="both"/>
        <w:rPr>
          <w:noProof/>
          <w:sz w:val="22"/>
          <w:szCs w:val="22"/>
          <w:lang w:val="sr-Latn-ME"/>
        </w:rPr>
      </w:pPr>
      <w:r w:rsidRPr="00983B42">
        <w:rPr>
          <w:noProof/>
          <w:sz w:val="22"/>
          <w:szCs w:val="22"/>
          <w:lang w:val="sr-Latn-ME"/>
        </w:rPr>
        <w:t>Kalcijum stearat</w:t>
      </w:r>
    </w:p>
    <w:p w:rsidR="003872A9" w:rsidRPr="00983B42" w:rsidRDefault="003872A9" w:rsidP="003872A9">
      <w:pPr>
        <w:jc w:val="both"/>
        <w:rPr>
          <w:noProof/>
          <w:sz w:val="22"/>
          <w:szCs w:val="22"/>
          <w:lang w:val="sr-Latn-ME"/>
        </w:rPr>
      </w:pPr>
    </w:p>
    <w:p w:rsidR="003872A9" w:rsidRPr="00983B42" w:rsidRDefault="003872A9" w:rsidP="003872A9">
      <w:pPr>
        <w:jc w:val="both"/>
        <w:rPr>
          <w:noProof/>
          <w:sz w:val="22"/>
          <w:szCs w:val="22"/>
          <w:lang w:val="sr-Latn-ME"/>
        </w:rPr>
      </w:pPr>
      <w:r w:rsidRPr="00983B42">
        <w:rPr>
          <w:noProof/>
          <w:sz w:val="22"/>
          <w:szCs w:val="22"/>
          <w:lang w:val="sr-Latn-ME"/>
        </w:rPr>
        <w:t>Zaštitna obloga:</w:t>
      </w:r>
    </w:p>
    <w:p w:rsidR="003872A9" w:rsidRPr="00983B42" w:rsidRDefault="003872A9" w:rsidP="003872A9">
      <w:pPr>
        <w:numPr>
          <w:ilvl w:val="0"/>
          <w:numId w:val="15"/>
        </w:numPr>
        <w:jc w:val="both"/>
        <w:rPr>
          <w:noProof/>
          <w:sz w:val="22"/>
          <w:szCs w:val="22"/>
          <w:lang w:val="sr-Latn-ME"/>
        </w:rPr>
      </w:pPr>
      <w:r w:rsidRPr="00983B42">
        <w:rPr>
          <w:noProof/>
          <w:sz w:val="22"/>
          <w:szCs w:val="22"/>
          <w:lang w:val="sr-Latn-ME"/>
        </w:rPr>
        <w:t>Hipromeloza</w:t>
      </w:r>
    </w:p>
    <w:p w:rsidR="003872A9" w:rsidRPr="00983B42" w:rsidRDefault="003872A9" w:rsidP="003872A9">
      <w:pPr>
        <w:numPr>
          <w:ilvl w:val="0"/>
          <w:numId w:val="15"/>
        </w:numPr>
        <w:jc w:val="both"/>
        <w:rPr>
          <w:noProof/>
          <w:sz w:val="22"/>
          <w:szCs w:val="22"/>
          <w:lang w:val="sr-Latn-ME"/>
        </w:rPr>
      </w:pPr>
      <w:r w:rsidRPr="00983B42">
        <w:rPr>
          <w:noProof/>
          <w:sz w:val="22"/>
          <w:szCs w:val="22"/>
          <w:lang w:val="sr-Latn-ME"/>
        </w:rPr>
        <w:t>Titan dioksid (E171)</w:t>
      </w:r>
    </w:p>
    <w:p w:rsidR="003872A9" w:rsidRPr="00983B42" w:rsidRDefault="003872A9" w:rsidP="003872A9">
      <w:pPr>
        <w:numPr>
          <w:ilvl w:val="0"/>
          <w:numId w:val="15"/>
        </w:numPr>
        <w:jc w:val="both"/>
        <w:rPr>
          <w:noProof/>
          <w:sz w:val="22"/>
          <w:szCs w:val="22"/>
          <w:lang w:val="sr-Latn-ME"/>
        </w:rPr>
      </w:pPr>
      <w:r w:rsidRPr="00983B42">
        <w:rPr>
          <w:noProof/>
          <w:sz w:val="22"/>
          <w:szCs w:val="22"/>
          <w:lang w:val="sr-Latn-ME"/>
        </w:rPr>
        <w:t>Gvožđe</w:t>
      </w:r>
      <w:r w:rsidR="00573EBB" w:rsidRPr="00983B42">
        <w:rPr>
          <w:noProof/>
          <w:sz w:val="22"/>
          <w:szCs w:val="22"/>
          <w:lang w:val="sr-Latn-ME"/>
        </w:rPr>
        <w:t xml:space="preserve"> </w:t>
      </w:r>
      <w:r w:rsidRPr="00983B42">
        <w:rPr>
          <w:sz w:val="22"/>
          <w:szCs w:val="22"/>
          <w:lang w:val="sr-Latn-ME"/>
        </w:rPr>
        <w:t>(</w:t>
      </w:r>
      <w:r w:rsidRPr="00983B42">
        <w:rPr>
          <w:noProof/>
          <w:sz w:val="22"/>
          <w:szCs w:val="22"/>
          <w:lang w:val="sr-Latn-ME"/>
        </w:rPr>
        <w:t>III) oksid, žuti (E172)</w:t>
      </w:r>
    </w:p>
    <w:p w:rsidR="003872A9" w:rsidRPr="00983B42" w:rsidRDefault="003872A9" w:rsidP="003872A9">
      <w:pPr>
        <w:numPr>
          <w:ilvl w:val="0"/>
          <w:numId w:val="15"/>
        </w:numPr>
        <w:jc w:val="both"/>
        <w:rPr>
          <w:noProof/>
          <w:sz w:val="22"/>
          <w:szCs w:val="22"/>
          <w:lang w:val="sr-Latn-ME"/>
        </w:rPr>
      </w:pPr>
      <w:r w:rsidRPr="00983B42">
        <w:rPr>
          <w:noProof/>
          <w:sz w:val="22"/>
          <w:szCs w:val="22"/>
          <w:lang w:val="sr-Latn-ME"/>
        </w:rPr>
        <w:t>Propilen</w:t>
      </w:r>
      <w:r w:rsidR="00573EBB" w:rsidRPr="00983B42">
        <w:rPr>
          <w:noProof/>
          <w:sz w:val="22"/>
          <w:szCs w:val="22"/>
          <w:lang w:val="sr-Latn-ME"/>
        </w:rPr>
        <w:t xml:space="preserve"> </w:t>
      </w:r>
      <w:r w:rsidRPr="00983B42">
        <w:rPr>
          <w:noProof/>
          <w:sz w:val="22"/>
          <w:szCs w:val="22"/>
          <w:lang w:val="sr-Latn-ME"/>
        </w:rPr>
        <w:t>glikol</w:t>
      </w:r>
    </w:p>
    <w:p w:rsidR="003872A9" w:rsidRPr="00983B42" w:rsidRDefault="003872A9" w:rsidP="003872A9">
      <w:pPr>
        <w:ind w:left="360"/>
        <w:jc w:val="both"/>
        <w:rPr>
          <w:noProof/>
          <w:sz w:val="22"/>
          <w:szCs w:val="22"/>
          <w:lang w:val="sr-Latn-ME"/>
        </w:rPr>
      </w:pPr>
    </w:p>
    <w:p w:rsidR="003872A9" w:rsidRPr="00983B42" w:rsidRDefault="00573EBB" w:rsidP="003872A9">
      <w:pPr>
        <w:jc w:val="both"/>
        <w:rPr>
          <w:noProof/>
          <w:sz w:val="22"/>
          <w:szCs w:val="22"/>
          <w:lang w:val="sr-Latn-ME"/>
        </w:rPr>
      </w:pPr>
      <w:r w:rsidRPr="00983B42">
        <w:rPr>
          <w:noProof/>
          <w:sz w:val="22"/>
          <w:szCs w:val="22"/>
          <w:lang w:val="sr-Latn-ME"/>
        </w:rPr>
        <w:t>Gastrorezistentna</w:t>
      </w:r>
      <w:r w:rsidRPr="00983B42" w:rsidDel="00573EBB">
        <w:rPr>
          <w:noProof/>
          <w:sz w:val="22"/>
          <w:szCs w:val="22"/>
          <w:lang w:val="sr-Latn-ME"/>
        </w:rPr>
        <w:t xml:space="preserve"> </w:t>
      </w:r>
      <w:r w:rsidR="003872A9" w:rsidRPr="00983B42">
        <w:rPr>
          <w:noProof/>
          <w:sz w:val="22"/>
          <w:szCs w:val="22"/>
          <w:lang w:val="sr-Latn-ME"/>
        </w:rPr>
        <w:t>obloga:</w:t>
      </w:r>
    </w:p>
    <w:p w:rsidR="003872A9" w:rsidRPr="00983B42" w:rsidRDefault="003872A9" w:rsidP="003872A9">
      <w:pPr>
        <w:pStyle w:val="ListParagraph"/>
        <w:numPr>
          <w:ilvl w:val="0"/>
          <w:numId w:val="19"/>
        </w:numPr>
        <w:jc w:val="both"/>
        <w:rPr>
          <w:noProof/>
          <w:sz w:val="22"/>
          <w:szCs w:val="22"/>
          <w:lang w:val="sr-Latn-ME"/>
        </w:rPr>
      </w:pPr>
      <w:r w:rsidRPr="00983B42">
        <w:rPr>
          <w:noProof/>
          <w:sz w:val="22"/>
          <w:szCs w:val="22"/>
          <w:lang w:val="sr-Latn-ME"/>
        </w:rPr>
        <w:t>Metakrilna kis</w:t>
      </w:r>
      <w:r w:rsidR="00573EBB" w:rsidRPr="00983B42">
        <w:rPr>
          <w:noProof/>
          <w:sz w:val="22"/>
          <w:szCs w:val="22"/>
          <w:lang w:val="sr-Latn-ME"/>
        </w:rPr>
        <w:t>j</w:t>
      </w:r>
      <w:r w:rsidRPr="00983B42">
        <w:rPr>
          <w:noProof/>
          <w:sz w:val="22"/>
          <w:szCs w:val="22"/>
          <w:lang w:val="sr-Latn-ME"/>
        </w:rPr>
        <w:t>elina-etilakrilat kopolimer (1:1) disperzija 30%</w:t>
      </w:r>
    </w:p>
    <w:p w:rsidR="003872A9" w:rsidRPr="00983B42" w:rsidRDefault="003872A9" w:rsidP="003872A9">
      <w:pPr>
        <w:numPr>
          <w:ilvl w:val="0"/>
          <w:numId w:val="15"/>
        </w:numPr>
        <w:jc w:val="both"/>
        <w:rPr>
          <w:noProof/>
          <w:sz w:val="22"/>
          <w:szCs w:val="22"/>
          <w:lang w:val="sr-Latn-ME"/>
        </w:rPr>
      </w:pPr>
      <w:r w:rsidRPr="00983B42">
        <w:rPr>
          <w:noProof/>
          <w:sz w:val="22"/>
          <w:szCs w:val="22"/>
          <w:lang w:val="sr-Latn-ME"/>
        </w:rPr>
        <w:t>Trietil</w:t>
      </w:r>
      <w:r w:rsidR="00573EBB" w:rsidRPr="00983B42">
        <w:rPr>
          <w:noProof/>
          <w:sz w:val="22"/>
          <w:szCs w:val="22"/>
          <w:lang w:val="sr-Latn-ME"/>
        </w:rPr>
        <w:t xml:space="preserve"> </w:t>
      </w:r>
      <w:r w:rsidRPr="00983B42">
        <w:rPr>
          <w:noProof/>
          <w:sz w:val="22"/>
          <w:szCs w:val="22"/>
          <w:lang w:val="sr-Latn-ME"/>
        </w:rPr>
        <w:t>citrat</w:t>
      </w:r>
    </w:p>
    <w:p w:rsidR="003872A9" w:rsidRPr="00983B42" w:rsidRDefault="003872A9" w:rsidP="003872A9">
      <w:pPr>
        <w:pStyle w:val="ListParagraph"/>
        <w:numPr>
          <w:ilvl w:val="0"/>
          <w:numId w:val="15"/>
        </w:numPr>
        <w:jc w:val="both"/>
        <w:rPr>
          <w:noProof/>
          <w:sz w:val="22"/>
          <w:szCs w:val="22"/>
          <w:lang w:val="sr-Latn-ME"/>
        </w:rPr>
      </w:pPr>
      <w:r w:rsidRPr="00983B42">
        <w:rPr>
          <w:noProof/>
          <w:sz w:val="22"/>
          <w:szCs w:val="22"/>
          <w:lang w:val="sr-Latn-ME"/>
        </w:rPr>
        <w:t>Talk</w:t>
      </w:r>
    </w:p>
    <w:p w:rsidR="004963C6" w:rsidRPr="00983B42" w:rsidRDefault="004963C6" w:rsidP="00480FB1">
      <w:pPr>
        <w:tabs>
          <w:tab w:val="left" w:pos="540"/>
          <w:tab w:val="left" w:pos="569"/>
        </w:tabs>
        <w:rPr>
          <w:b/>
          <w:bCs/>
          <w:sz w:val="22"/>
          <w:szCs w:val="22"/>
          <w:lang w:val="sr-Latn-ME"/>
        </w:rPr>
      </w:pPr>
    </w:p>
    <w:p w:rsidR="0072020E"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6.2. </w:t>
      </w:r>
      <w:r w:rsidR="00480FB1" w:rsidRPr="00983B42">
        <w:rPr>
          <w:b/>
          <w:bCs/>
          <w:sz w:val="22"/>
          <w:szCs w:val="22"/>
          <w:lang w:val="sr-Latn-ME"/>
        </w:rPr>
        <w:tab/>
      </w:r>
      <w:r w:rsidRPr="00983B42">
        <w:rPr>
          <w:b/>
          <w:bCs/>
          <w:sz w:val="22"/>
          <w:szCs w:val="22"/>
          <w:lang w:val="sr-Latn-ME"/>
        </w:rPr>
        <w:t>Inkompatibilnost</w:t>
      </w:r>
      <w:r w:rsidR="002846DB" w:rsidRPr="00983B42">
        <w:rPr>
          <w:b/>
          <w:bCs/>
          <w:sz w:val="22"/>
          <w:szCs w:val="22"/>
          <w:lang w:val="sr-Latn-ME"/>
        </w:rPr>
        <w:t>i</w:t>
      </w:r>
    </w:p>
    <w:p w:rsidR="00573EBB" w:rsidRPr="00983B42" w:rsidRDefault="00573EBB" w:rsidP="00502239">
      <w:pPr>
        <w:jc w:val="both"/>
        <w:rPr>
          <w:sz w:val="22"/>
          <w:szCs w:val="22"/>
          <w:lang w:val="sr-Latn-ME"/>
        </w:rPr>
      </w:pPr>
    </w:p>
    <w:p w:rsidR="00502239" w:rsidRPr="00983B42" w:rsidRDefault="00502239" w:rsidP="00502239">
      <w:pPr>
        <w:jc w:val="both"/>
        <w:rPr>
          <w:sz w:val="22"/>
          <w:szCs w:val="22"/>
          <w:lang w:val="sr-Latn-ME"/>
        </w:rPr>
      </w:pPr>
      <w:r w:rsidRPr="00983B42">
        <w:rPr>
          <w:sz w:val="22"/>
          <w:szCs w:val="22"/>
          <w:lang w:val="sr-Latn-ME"/>
        </w:rPr>
        <w:t>Podaci o inkompatibilnostima nijesu poznati.</w:t>
      </w:r>
    </w:p>
    <w:p w:rsidR="0072020E" w:rsidRPr="00983B42" w:rsidRDefault="0072020E" w:rsidP="00480FB1">
      <w:pPr>
        <w:tabs>
          <w:tab w:val="left" w:pos="540"/>
          <w:tab w:val="left" w:pos="569"/>
        </w:tabs>
        <w:rPr>
          <w:bCs/>
          <w:sz w:val="22"/>
          <w:szCs w:val="22"/>
          <w:lang w:val="sr-Latn-ME"/>
        </w:rPr>
      </w:pPr>
    </w:p>
    <w:p w:rsidR="0072020E" w:rsidRPr="00983B42" w:rsidRDefault="0072020E" w:rsidP="00480FB1">
      <w:pPr>
        <w:tabs>
          <w:tab w:val="left" w:pos="540"/>
          <w:tab w:val="left" w:pos="569"/>
        </w:tabs>
        <w:rPr>
          <w:b/>
          <w:bCs/>
          <w:sz w:val="22"/>
          <w:szCs w:val="22"/>
          <w:lang w:val="sr-Latn-ME"/>
        </w:rPr>
      </w:pPr>
      <w:r w:rsidRPr="00983B42">
        <w:rPr>
          <w:b/>
          <w:bCs/>
          <w:sz w:val="22"/>
          <w:szCs w:val="22"/>
          <w:lang w:val="sr-Latn-ME"/>
        </w:rPr>
        <w:t>6.3.</w:t>
      </w:r>
      <w:r w:rsidR="00C05DF8" w:rsidRPr="00983B42">
        <w:rPr>
          <w:b/>
          <w:bCs/>
          <w:sz w:val="22"/>
          <w:szCs w:val="22"/>
          <w:lang w:val="sr-Latn-ME"/>
        </w:rPr>
        <w:t xml:space="preserve"> </w:t>
      </w:r>
      <w:r w:rsidR="00480FB1" w:rsidRPr="00983B42">
        <w:rPr>
          <w:b/>
          <w:bCs/>
          <w:sz w:val="22"/>
          <w:szCs w:val="22"/>
          <w:lang w:val="sr-Latn-ME"/>
        </w:rPr>
        <w:tab/>
      </w:r>
      <w:r w:rsidRPr="00983B42">
        <w:rPr>
          <w:b/>
          <w:bCs/>
          <w:sz w:val="22"/>
          <w:szCs w:val="22"/>
          <w:lang w:val="sr-Latn-ME"/>
        </w:rPr>
        <w:t>Rok upotrebe</w:t>
      </w:r>
    </w:p>
    <w:p w:rsidR="00573EBB" w:rsidRPr="00983B42" w:rsidRDefault="00573EBB" w:rsidP="00502239">
      <w:pPr>
        <w:jc w:val="both"/>
        <w:rPr>
          <w:sz w:val="22"/>
          <w:szCs w:val="22"/>
          <w:lang w:val="sr-Latn-ME"/>
        </w:rPr>
      </w:pPr>
    </w:p>
    <w:p w:rsidR="00502239" w:rsidRPr="00983B42" w:rsidRDefault="00502239" w:rsidP="00502239">
      <w:pPr>
        <w:jc w:val="both"/>
        <w:rPr>
          <w:sz w:val="22"/>
          <w:szCs w:val="22"/>
          <w:lang w:val="sr-Latn-ME"/>
        </w:rPr>
      </w:pPr>
      <w:r w:rsidRPr="00983B42">
        <w:rPr>
          <w:sz w:val="22"/>
          <w:szCs w:val="22"/>
          <w:lang w:val="sr-Latn-ME"/>
        </w:rPr>
        <w:t>36 mjeseci.</w:t>
      </w:r>
    </w:p>
    <w:p w:rsidR="0072020E" w:rsidRPr="00983B42" w:rsidRDefault="0072020E" w:rsidP="00480FB1">
      <w:pPr>
        <w:tabs>
          <w:tab w:val="left" w:pos="540"/>
          <w:tab w:val="left" w:pos="569"/>
        </w:tabs>
        <w:rPr>
          <w:bCs/>
          <w:sz w:val="22"/>
          <w:szCs w:val="22"/>
          <w:lang w:val="sr-Latn-ME"/>
        </w:rPr>
      </w:pPr>
    </w:p>
    <w:p w:rsidR="0072020E"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6.4. </w:t>
      </w:r>
      <w:r w:rsidR="00480FB1" w:rsidRPr="00983B42">
        <w:rPr>
          <w:b/>
          <w:bCs/>
          <w:sz w:val="22"/>
          <w:szCs w:val="22"/>
          <w:lang w:val="sr-Latn-ME"/>
        </w:rPr>
        <w:tab/>
      </w:r>
      <w:r w:rsidRPr="00983B42">
        <w:rPr>
          <w:b/>
          <w:bCs/>
          <w:sz w:val="22"/>
          <w:szCs w:val="22"/>
          <w:lang w:val="sr-Latn-ME"/>
        </w:rPr>
        <w:t>Posebne mjere upozorenja pri čuvanju</w:t>
      </w:r>
      <w:r w:rsidR="00F8570A" w:rsidRPr="00983B42">
        <w:rPr>
          <w:b/>
          <w:bCs/>
          <w:sz w:val="22"/>
          <w:szCs w:val="22"/>
          <w:lang w:val="sr-Latn-ME"/>
        </w:rPr>
        <w:t xml:space="preserve"> lijeka</w:t>
      </w:r>
    </w:p>
    <w:p w:rsidR="00573EBB" w:rsidRPr="00983B42" w:rsidRDefault="00573EBB" w:rsidP="00502239">
      <w:pPr>
        <w:jc w:val="both"/>
        <w:rPr>
          <w:sz w:val="22"/>
          <w:szCs w:val="22"/>
          <w:lang w:val="sr-Latn-ME"/>
        </w:rPr>
      </w:pPr>
    </w:p>
    <w:p w:rsidR="00502239" w:rsidRPr="00983B42" w:rsidRDefault="00502239" w:rsidP="00502239">
      <w:pPr>
        <w:jc w:val="both"/>
        <w:rPr>
          <w:sz w:val="22"/>
          <w:szCs w:val="22"/>
          <w:lang w:val="sr-Latn-ME"/>
        </w:rPr>
      </w:pPr>
      <w:r w:rsidRPr="00983B42">
        <w:rPr>
          <w:sz w:val="22"/>
          <w:szCs w:val="22"/>
          <w:lang w:val="sr-Latn-ME"/>
        </w:rPr>
        <w:t>Čuvati na temperaturi do 30°C.</w:t>
      </w:r>
    </w:p>
    <w:p w:rsidR="00EC2532" w:rsidRPr="00983B42" w:rsidRDefault="00EC2532" w:rsidP="00480FB1">
      <w:pPr>
        <w:tabs>
          <w:tab w:val="left" w:pos="540"/>
          <w:tab w:val="left" w:pos="569"/>
        </w:tabs>
        <w:rPr>
          <w:bCs/>
          <w:sz w:val="22"/>
          <w:szCs w:val="22"/>
          <w:lang w:val="sr-Latn-ME"/>
        </w:rPr>
      </w:pPr>
    </w:p>
    <w:p w:rsidR="0072020E"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6.5. </w:t>
      </w:r>
      <w:r w:rsidR="00480FB1" w:rsidRPr="00983B42">
        <w:rPr>
          <w:b/>
          <w:bCs/>
          <w:sz w:val="22"/>
          <w:szCs w:val="22"/>
          <w:lang w:val="sr-Latn-ME"/>
        </w:rPr>
        <w:tab/>
      </w:r>
      <w:r w:rsidR="002846DB" w:rsidRPr="00983B42">
        <w:rPr>
          <w:b/>
          <w:bCs/>
          <w:sz w:val="22"/>
          <w:szCs w:val="22"/>
          <w:lang w:val="sr-Latn-ME"/>
        </w:rPr>
        <w:t xml:space="preserve">Vrsta i sadržaj </w:t>
      </w:r>
      <w:r w:rsidR="00F8570A" w:rsidRPr="00983B42">
        <w:rPr>
          <w:b/>
          <w:bCs/>
          <w:sz w:val="22"/>
          <w:szCs w:val="22"/>
          <w:lang w:val="sr-Latn-ME"/>
        </w:rPr>
        <w:t>pakovanja</w:t>
      </w:r>
      <w:r w:rsidR="00C06864" w:rsidRPr="00983B42">
        <w:rPr>
          <w:b/>
          <w:bCs/>
          <w:sz w:val="22"/>
          <w:szCs w:val="22"/>
          <w:lang w:val="sr-Latn-ME"/>
        </w:rPr>
        <w:t xml:space="preserve"> </w:t>
      </w:r>
    </w:p>
    <w:p w:rsidR="00434A0B" w:rsidRPr="00983B42" w:rsidRDefault="00434A0B" w:rsidP="00AE1E4B">
      <w:pPr>
        <w:jc w:val="both"/>
        <w:rPr>
          <w:sz w:val="22"/>
          <w:szCs w:val="22"/>
          <w:lang w:val="sr-Latn-ME"/>
        </w:rPr>
      </w:pPr>
    </w:p>
    <w:p w:rsidR="00AE1E4B" w:rsidRPr="00983B42" w:rsidRDefault="00AE1E4B" w:rsidP="00AE1E4B">
      <w:pPr>
        <w:jc w:val="both"/>
        <w:rPr>
          <w:sz w:val="22"/>
          <w:szCs w:val="22"/>
          <w:lang w:val="sr-Latn-ME"/>
        </w:rPr>
      </w:pPr>
      <w:r w:rsidRPr="00983B42">
        <w:rPr>
          <w:sz w:val="22"/>
          <w:szCs w:val="22"/>
          <w:lang w:val="sr-Latn-ME"/>
        </w:rPr>
        <w:t>Hladnoformirajući Alu</w:t>
      </w:r>
      <w:r w:rsidR="009A5681" w:rsidRPr="00983B42">
        <w:rPr>
          <w:sz w:val="22"/>
          <w:szCs w:val="22"/>
          <w:lang w:val="sr-Latn-ME"/>
        </w:rPr>
        <w:t>/Alu blister (</w:t>
      </w:r>
      <w:r w:rsidR="00434A0B" w:rsidRPr="00983B42">
        <w:rPr>
          <w:sz w:val="22"/>
          <w:szCs w:val="22"/>
          <w:lang w:val="sr-Latn-ME"/>
        </w:rPr>
        <w:t xml:space="preserve">ukupno </w:t>
      </w:r>
      <w:r w:rsidR="009A5681" w:rsidRPr="00983B42">
        <w:rPr>
          <w:sz w:val="22"/>
          <w:szCs w:val="22"/>
          <w:lang w:val="sr-Latn-ME"/>
        </w:rPr>
        <w:t>1 blister sa 14 gastrorezistentnih tableta u kutiji).</w:t>
      </w:r>
    </w:p>
    <w:p w:rsidR="0072020E" w:rsidRPr="00983B42" w:rsidRDefault="0072020E" w:rsidP="00480FB1">
      <w:pPr>
        <w:tabs>
          <w:tab w:val="left" w:pos="540"/>
          <w:tab w:val="left" w:pos="569"/>
        </w:tabs>
        <w:rPr>
          <w:bCs/>
          <w:sz w:val="22"/>
          <w:szCs w:val="22"/>
          <w:lang w:val="sr-Latn-ME"/>
        </w:rPr>
      </w:pPr>
    </w:p>
    <w:p w:rsidR="002846DB"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6.6. </w:t>
      </w:r>
      <w:r w:rsidR="00480FB1" w:rsidRPr="00983B42">
        <w:rPr>
          <w:b/>
          <w:bCs/>
          <w:sz w:val="22"/>
          <w:szCs w:val="22"/>
          <w:lang w:val="sr-Latn-ME"/>
        </w:rPr>
        <w:tab/>
      </w:r>
      <w:r w:rsidRPr="00983B42">
        <w:rPr>
          <w:b/>
          <w:bCs/>
          <w:color w:val="000000"/>
          <w:sz w:val="22"/>
          <w:szCs w:val="22"/>
          <w:lang w:val="sr-Latn-ME"/>
        </w:rPr>
        <w:t>Posebne mjere opreza pri odlaganju materijala koji treba odbaciti nakon primjene lijeka</w:t>
      </w:r>
      <w:r w:rsidRPr="00983B42">
        <w:rPr>
          <w:b/>
          <w:bCs/>
          <w:sz w:val="22"/>
          <w:szCs w:val="22"/>
          <w:lang w:val="sr-Latn-ME"/>
        </w:rPr>
        <w:t xml:space="preserve"> </w:t>
      </w:r>
      <w:r w:rsidR="00310F03" w:rsidRPr="00983B42">
        <w:rPr>
          <w:b/>
          <w:bCs/>
          <w:sz w:val="22"/>
          <w:szCs w:val="22"/>
          <w:lang w:val="sr-Latn-ME"/>
        </w:rPr>
        <w:t>(i druga uputs</w:t>
      </w:r>
      <w:r w:rsidR="004109FA" w:rsidRPr="00983B42">
        <w:rPr>
          <w:b/>
          <w:bCs/>
          <w:sz w:val="22"/>
          <w:szCs w:val="22"/>
          <w:lang w:val="sr-Latn-ME"/>
        </w:rPr>
        <w:t>t</w:t>
      </w:r>
      <w:r w:rsidR="00310F03" w:rsidRPr="00983B42">
        <w:rPr>
          <w:b/>
          <w:bCs/>
          <w:sz w:val="22"/>
          <w:szCs w:val="22"/>
          <w:lang w:val="sr-Latn-ME"/>
        </w:rPr>
        <w:t xml:space="preserve">va za rukovanje lijekom) </w:t>
      </w:r>
    </w:p>
    <w:p w:rsidR="00434A0B" w:rsidRPr="00983B42" w:rsidRDefault="00434A0B" w:rsidP="00275364">
      <w:pPr>
        <w:tabs>
          <w:tab w:val="left" w:pos="540"/>
          <w:tab w:val="left" w:pos="569"/>
        </w:tabs>
        <w:rPr>
          <w:bCs/>
          <w:sz w:val="22"/>
          <w:szCs w:val="22"/>
          <w:lang w:val="sr-Latn-ME"/>
        </w:rPr>
      </w:pPr>
    </w:p>
    <w:p w:rsidR="00275364" w:rsidRPr="00983B42" w:rsidRDefault="00275364" w:rsidP="00275364">
      <w:pPr>
        <w:tabs>
          <w:tab w:val="left" w:pos="540"/>
          <w:tab w:val="left" w:pos="569"/>
        </w:tabs>
        <w:rPr>
          <w:bCs/>
          <w:sz w:val="22"/>
          <w:szCs w:val="22"/>
          <w:lang w:val="sr-Latn-ME"/>
        </w:rPr>
      </w:pPr>
      <w:r w:rsidRPr="00983B42">
        <w:rPr>
          <w:bCs/>
          <w:sz w:val="22"/>
          <w:szCs w:val="22"/>
          <w:lang w:val="sr-Latn-ME"/>
        </w:rPr>
        <w:t>Svu neiskorišćenu količinu lijeka ili otpadnog materijala nakon njegove upotrebe treba ukloniti u skladu sa važećim propisima.</w:t>
      </w:r>
    </w:p>
    <w:p w:rsidR="00275364" w:rsidRDefault="00275364" w:rsidP="00AE1E4B">
      <w:pPr>
        <w:jc w:val="both"/>
        <w:rPr>
          <w:iCs/>
          <w:sz w:val="22"/>
          <w:szCs w:val="22"/>
          <w:lang w:val="sr-Latn-ME"/>
        </w:rPr>
      </w:pPr>
    </w:p>
    <w:p w:rsidR="00983B42" w:rsidRPr="00983B42" w:rsidRDefault="00983B42" w:rsidP="00AE1E4B">
      <w:pPr>
        <w:jc w:val="both"/>
        <w:rPr>
          <w:iCs/>
          <w:sz w:val="22"/>
          <w:szCs w:val="22"/>
          <w:lang w:val="sr-Latn-ME"/>
        </w:rPr>
      </w:pPr>
    </w:p>
    <w:p w:rsidR="00F8570A"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7. </w:t>
      </w:r>
      <w:r w:rsidR="00480FB1" w:rsidRPr="00983B42">
        <w:rPr>
          <w:b/>
          <w:bCs/>
          <w:sz w:val="22"/>
          <w:szCs w:val="22"/>
          <w:lang w:val="sr-Latn-ME"/>
        </w:rPr>
        <w:tab/>
      </w:r>
      <w:r w:rsidRPr="00983B42">
        <w:rPr>
          <w:b/>
          <w:bCs/>
          <w:sz w:val="22"/>
          <w:szCs w:val="22"/>
          <w:lang w:val="sr-Latn-ME"/>
        </w:rPr>
        <w:t>NOSILAC DOZVOLE</w:t>
      </w:r>
      <w:r w:rsidR="00483928" w:rsidRPr="00983B42">
        <w:rPr>
          <w:b/>
          <w:bCs/>
          <w:sz w:val="22"/>
          <w:szCs w:val="22"/>
          <w:lang w:val="sr-Latn-ME"/>
        </w:rPr>
        <w:t xml:space="preserve"> </w:t>
      </w:r>
    </w:p>
    <w:p w:rsidR="00434A0B" w:rsidRPr="00983B42" w:rsidRDefault="00434A0B" w:rsidP="00275364">
      <w:pPr>
        <w:pStyle w:val="ListNumber"/>
        <w:numPr>
          <w:ilvl w:val="0"/>
          <w:numId w:val="0"/>
        </w:numPr>
        <w:jc w:val="both"/>
        <w:rPr>
          <w:rFonts w:ascii="Times New Roman" w:hAnsi="Times New Roman"/>
          <w:color w:val="000000"/>
          <w:sz w:val="22"/>
          <w:szCs w:val="22"/>
          <w:lang w:val="sr-Latn-ME"/>
        </w:rPr>
      </w:pPr>
    </w:p>
    <w:p w:rsidR="00275364" w:rsidRPr="00983B42" w:rsidRDefault="00275364" w:rsidP="00275364">
      <w:pPr>
        <w:pStyle w:val="ListNumber"/>
        <w:numPr>
          <w:ilvl w:val="0"/>
          <w:numId w:val="0"/>
        </w:numPr>
        <w:jc w:val="both"/>
        <w:rPr>
          <w:rFonts w:ascii="Times New Roman" w:hAnsi="Times New Roman"/>
          <w:b/>
          <w:color w:val="000000"/>
          <w:sz w:val="22"/>
          <w:szCs w:val="22"/>
          <w:lang w:val="sr-Latn-ME"/>
        </w:rPr>
      </w:pPr>
      <w:r w:rsidRPr="00983B42">
        <w:rPr>
          <w:rFonts w:ascii="Times New Roman" w:hAnsi="Times New Roman"/>
          <w:color w:val="000000"/>
          <w:sz w:val="22"/>
          <w:szCs w:val="22"/>
          <w:lang w:val="sr-Latn-ME"/>
        </w:rPr>
        <w:t>Bosnalijek d.d. Predstavništvo Crna Gora, Bulevar Svetog Petra Cetinjskog 63, Podgorica</w:t>
      </w:r>
      <w:r w:rsidR="00983B42">
        <w:rPr>
          <w:rFonts w:ascii="Times New Roman" w:hAnsi="Times New Roman"/>
          <w:color w:val="000000"/>
          <w:sz w:val="22"/>
          <w:szCs w:val="22"/>
          <w:lang w:val="sr-Latn-ME"/>
        </w:rPr>
        <w:t>, Crna Gora</w:t>
      </w:r>
      <w:r w:rsidRPr="00983B42">
        <w:rPr>
          <w:rFonts w:ascii="Times New Roman" w:hAnsi="Times New Roman"/>
          <w:color w:val="000000"/>
          <w:sz w:val="22"/>
          <w:szCs w:val="22"/>
          <w:lang w:val="sr-Latn-ME"/>
        </w:rPr>
        <w:t xml:space="preserve"> </w:t>
      </w:r>
    </w:p>
    <w:p w:rsidR="00C61BE0" w:rsidRDefault="00C61BE0" w:rsidP="00480FB1">
      <w:pPr>
        <w:tabs>
          <w:tab w:val="left" w:pos="540"/>
          <w:tab w:val="left" w:pos="569"/>
        </w:tabs>
        <w:rPr>
          <w:bCs/>
          <w:sz w:val="22"/>
          <w:szCs w:val="22"/>
          <w:lang w:val="sr-Latn-ME"/>
        </w:rPr>
      </w:pPr>
    </w:p>
    <w:p w:rsidR="00983B42" w:rsidRDefault="00983B42" w:rsidP="00480FB1">
      <w:pPr>
        <w:tabs>
          <w:tab w:val="left" w:pos="540"/>
          <w:tab w:val="left" w:pos="569"/>
        </w:tabs>
        <w:rPr>
          <w:bCs/>
          <w:sz w:val="22"/>
          <w:szCs w:val="22"/>
          <w:lang w:val="sr-Latn-ME"/>
        </w:rPr>
      </w:pPr>
    </w:p>
    <w:p w:rsidR="00983B42" w:rsidRDefault="00983B42" w:rsidP="00480FB1">
      <w:pPr>
        <w:tabs>
          <w:tab w:val="left" w:pos="540"/>
          <w:tab w:val="left" w:pos="569"/>
        </w:tabs>
        <w:rPr>
          <w:bCs/>
          <w:sz w:val="22"/>
          <w:szCs w:val="22"/>
          <w:lang w:val="sr-Latn-ME"/>
        </w:rPr>
      </w:pPr>
    </w:p>
    <w:p w:rsidR="00983B42" w:rsidRPr="00983B42" w:rsidRDefault="00983B42" w:rsidP="00480FB1">
      <w:pPr>
        <w:tabs>
          <w:tab w:val="left" w:pos="540"/>
          <w:tab w:val="left" w:pos="569"/>
        </w:tabs>
        <w:rPr>
          <w:bCs/>
          <w:sz w:val="22"/>
          <w:szCs w:val="22"/>
          <w:lang w:val="sr-Latn-ME"/>
        </w:rPr>
      </w:pPr>
    </w:p>
    <w:p w:rsidR="0072020E" w:rsidRPr="00983B42" w:rsidRDefault="0072020E" w:rsidP="00480FB1">
      <w:pPr>
        <w:tabs>
          <w:tab w:val="left" w:pos="540"/>
          <w:tab w:val="left" w:pos="569"/>
        </w:tabs>
        <w:rPr>
          <w:b/>
          <w:bCs/>
          <w:sz w:val="22"/>
          <w:szCs w:val="22"/>
          <w:lang w:val="sr-Latn-ME"/>
        </w:rPr>
      </w:pPr>
      <w:r w:rsidRPr="00983B42">
        <w:rPr>
          <w:b/>
          <w:bCs/>
          <w:sz w:val="22"/>
          <w:szCs w:val="22"/>
          <w:lang w:val="sr-Latn-ME"/>
        </w:rPr>
        <w:lastRenderedPageBreak/>
        <w:t xml:space="preserve">8. </w:t>
      </w:r>
      <w:r w:rsidR="00480FB1" w:rsidRPr="00983B42">
        <w:rPr>
          <w:b/>
          <w:bCs/>
          <w:sz w:val="22"/>
          <w:szCs w:val="22"/>
          <w:lang w:val="sr-Latn-ME"/>
        </w:rPr>
        <w:tab/>
      </w:r>
      <w:r w:rsidRPr="00983B42">
        <w:rPr>
          <w:b/>
          <w:bCs/>
          <w:sz w:val="22"/>
          <w:szCs w:val="22"/>
          <w:lang w:val="sr-Latn-ME"/>
        </w:rPr>
        <w:t>BROJ DOZVOLE</w:t>
      </w:r>
      <w:r w:rsidR="008A6D43" w:rsidRPr="00983B42">
        <w:rPr>
          <w:b/>
          <w:bCs/>
          <w:sz w:val="22"/>
          <w:szCs w:val="22"/>
          <w:lang w:val="sr-Latn-ME"/>
        </w:rPr>
        <w:t xml:space="preserve"> ZA STAVLJANJE LIJEKA U PROMET</w:t>
      </w:r>
    </w:p>
    <w:p w:rsidR="00F45F77" w:rsidRDefault="00F45F77" w:rsidP="00480FB1">
      <w:pPr>
        <w:tabs>
          <w:tab w:val="left" w:pos="540"/>
          <w:tab w:val="left" w:pos="569"/>
        </w:tabs>
        <w:rPr>
          <w:bCs/>
          <w:sz w:val="22"/>
          <w:szCs w:val="22"/>
          <w:lang w:val="sr-Latn-ME"/>
        </w:rPr>
      </w:pPr>
    </w:p>
    <w:p w:rsidR="00983B42" w:rsidRDefault="00983B42" w:rsidP="00480FB1">
      <w:pPr>
        <w:tabs>
          <w:tab w:val="left" w:pos="540"/>
          <w:tab w:val="left" w:pos="569"/>
        </w:tabs>
        <w:rPr>
          <w:bCs/>
          <w:sz w:val="22"/>
          <w:szCs w:val="22"/>
          <w:lang w:val="sr-Latn-ME"/>
        </w:rPr>
      </w:pPr>
      <w:r w:rsidRPr="00983B42">
        <w:rPr>
          <w:bCs/>
          <w:sz w:val="22"/>
          <w:szCs w:val="22"/>
          <w:lang w:val="sr-Latn-ME"/>
        </w:rPr>
        <w:t>2030/23/4250 - 8270</w:t>
      </w:r>
    </w:p>
    <w:p w:rsidR="00983B42" w:rsidRDefault="00983B42" w:rsidP="00480FB1">
      <w:pPr>
        <w:tabs>
          <w:tab w:val="left" w:pos="540"/>
          <w:tab w:val="left" w:pos="569"/>
        </w:tabs>
        <w:rPr>
          <w:bCs/>
          <w:sz w:val="22"/>
          <w:szCs w:val="22"/>
          <w:lang w:val="sr-Latn-ME"/>
        </w:rPr>
      </w:pPr>
    </w:p>
    <w:p w:rsidR="00983B42" w:rsidRPr="00983B42" w:rsidRDefault="00983B42" w:rsidP="00480FB1">
      <w:pPr>
        <w:tabs>
          <w:tab w:val="left" w:pos="540"/>
          <w:tab w:val="left" w:pos="569"/>
        </w:tabs>
        <w:rPr>
          <w:bCs/>
          <w:sz w:val="22"/>
          <w:szCs w:val="22"/>
          <w:lang w:val="sr-Latn-ME"/>
        </w:rPr>
      </w:pPr>
    </w:p>
    <w:p w:rsidR="0072020E" w:rsidRPr="00983B42" w:rsidRDefault="0072020E" w:rsidP="00480FB1">
      <w:pPr>
        <w:tabs>
          <w:tab w:val="left" w:pos="540"/>
          <w:tab w:val="left" w:pos="569"/>
        </w:tabs>
        <w:rPr>
          <w:b/>
          <w:bCs/>
          <w:sz w:val="22"/>
          <w:szCs w:val="22"/>
          <w:lang w:val="sr-Latn-ME"/>
        </w:rPr>
      </w:pPr>
      <w:r w:rsidRPr="00983B42">
        <w:rPr>
          <w:b/>
          <w:bCs/>
          <w:sz w:val="22"/>
          <w:szCs w:val="22"/>
          <w:lang w:val="sr-Latn-ME"/>
        </w:rPr>
        <w:t xml:space="preserve">9. </w:t>
      </w:r>
      <w:r w:rsidR="00480FB1" w:rsidRPr="00983B42">
        <w:rPr>
          <w:b/>
          <w:bCs/>
          <w:sz w:val="22"/>
          <w:szCs w:val="22"/>
          <w:lang w:val="sr-Latn-ME"/>
        </w:rPr>
        <w:tab/>
      </w:r>
      <w:r w:rsidRPr="00983B42">
        <w:rPr>
          <w:b/>
          <w:bCs/>
          <w:sz w:val="22"/>
          <w:szCs w:val="22"/>
          <w:lang w:val="sr-Latn-ME"/>
        </w:rPr>
        <w:t xml:space="preserve">DATUM </w:t>
      </w:r>
      <w:r w:rsidR="00C05DF8" w:rsidRPr="00983B42">
        <w:rPr>
          <w:b/>
          <w:bCs/>
          <w:sz w:val="22"/>
          <w:szCs w:val="22"/>
          <w:lang w:val="sr-Latn-ME"/>
        </w:rPr>
        <w:t xml:space="preserve">PRVE </w:t>
      </w:r>
      <w:r w:rsidR="008A6D43" w:rsidRPr="00983B42">
        <w:rPr>
          <w:b/>
          <w:bCs/>
          <w:sz w:val="22"/>
          <w:szCs w:val="22"/>
          <w:lang w:val="sr-Latn-ME"/>
        </w:rPr>
        <w:t>DOZVOLE</w:t>
      </w:r>
      <w:r w:rsidR="00C05DF8" w:rsidRPr="00983B42">
        <w:rPr>
          <w:b/>
          <w:bCs/>
          <w:sz w:val="22"/>
          <w:szCs w:val="22"/>
          <w:lang w:val="sr-Latn-ME"/>
        </w:rPr>
        <w:t>/OBNOVE DOZVOLE</w:t>
      </w:r>
      <w:r w:rsidR="008A6D43" w:rsidRPr="00983B42">
        <w:rPr>
          <w:b/>
          <w:bCs/>
          <w:sz w:val="22"/>
          <w:szCs w:val="22"/>
          <w:lang w:val="sr-Latn-ME"/>
        </w:rPr>
        <w:t xml:space="preserve"> ZA STAVLJANJE LIJEKA U PROMET</w:t>
      </w:r>
    </w:p>
    <w:p w:rsidR="00836B35" w:rsidRDefault="00836B35" w:rsidP="00480FB1">
      <w:pPr>
        <w:tabs>
          <w:tab w:val="left" w:pos="540"/>
          <w:tab w:val="left" w:pos="569"/>
        </w:tabs>
        <w:rPr>
          <w:sz w:val="22"/>
          <w:szCs w:val="22"/>
          <w:lang w:val="sr-Latn-ME"/>
        </w:rPr>
      </w:pPr>
    </w:p>
    <w:p w:rsidR="00983B42" w:rsidRDefault="00983B42" w:rsidP="00480FB1">
      <w:pPr>
        <w:tabs>
          <w:tab w:val="left" w:pos="540"/>
          <w:tab w:val="left" w:pos="569"/>
        </w:tabs>
        <w:rPr>
          <w:sz w:val="22"/>
          <w:szCs w:val="22"/>
          <w:lang w:val="sr-Latn-ME"/>
        </w:rPr>
      </w:pPr>
      <w:r>
        <w:rPr>
          <w:sz w:val="22"/>
          <w:szCs w:val="22"/>
          <w:lang w:val="sr-Latn-ME"/>
        </w:rPr>
        <w:t>17.11.2023. godine</w:t>
      </w:r>
    </w:p>
    <w:p w:rsidR="00983B42" w:rsidRPr="00983B42" w:rsidRDefault="00983B42" w:rsidP="00480FB1">
      <w:pPr>
        <w:tabs>
          <w:tab w:val="left" w:pos="540"/>
          <w:tab w:val="left" w:pos="569"/>
        </w:tabs>
        <w:rPr>
          <w:sz w:val="22"/>
          <w:szCs w:val="22"/>
          <w:lang w:val="sr-Latn-ME"/>
        </w:rPr>
      </w:pPr>
    </w:p>
    <w:p w:rsidR="00434A0B" w:rsidRPr="00983B42" w:rsidRDefault="00434A0B" w:rsidP="00480FB1">
      <w:pPr>
        <w:tabs>
          <w:tab w:val="left" w:pos="540"/>
          <w:tab w:val="left" w:pos="569"/>
        </w:tabs>
        <w:rPr>
          <w:bCs/>
          <w:sz w:val="22"/>
          <w:szCs w:val="22"/>
          <w:lang w:val="sr-Latn-ME"/>
        </w:rPr>
      </w:pPr>
    </w:p>
    <w:p w:rsidR="003F6A59" w:rsidRPr="00983B42" w:rsidRDefault="0072020E" w:rsidP="00C05DF8">
      <w:pPr>
        <w:tabs>
          <w:tab w:val="left" w:pos="540"/>
          <w:tab w:val="left" w:pos="569"/>
        </w:tabs>
        <w:ind w:left="540" w:hanging="540"/>
        <w:rPr>
          <w:bCs/>
          <w:sz w:val="22"/>
          <w:szCs w:val="22"/>
          <w:lang w:val="sr-Latn-ME"/>
        </w:rPr>
      </w:pPr>
      <w:r w:rsidRPr="00983B42">
        <w:rPr>
          <w:b/>
          <w:bCs/>
          <w:sz w:val="22"/>
          <w:szCs w:val="22"/>
          <w:lang w:val="sr-Latn-ME"/>
        </w:rPr>
        <w:t xml:space="preserve">10. </w:t>
      </w:r>
      <w:r w:rsidR="00480FB1" w:rsidRPr="00983B42">
        <w:rPr>
          <w:b/>
          <w:bCs/>
          <w:sz w:val="22"/>
          <w:szCs w:val="22"/>
          <w:lang w:val="sr-Latn-ME"/>
        </w:rPr>
        <w:tab/>
      </w:r>
      <w:r w:rsidR="002846DB" w:rsidRPr="00983B42">
        <w:rPr>
          <w:b/>
          <w:bCs/>
          <w:sz w:val="22"/>
          <w:szCs w:val="22"/>
          <w:lang w:val="sr-Latn-ME"/>
        </w:rPr>
        <w:t>D</w:t>
      </w:r>
      <w:r w:rsidR="00EC2532" w:rsidRPr="00983B42">
        <w:rPr>
          <w:b/>
          <w:bCs/>
          <w:sz w:val="22"/>
          <w:szCs w:val="22"/>
          <w:lang w:val="sr-Latn-ME"/>
        </w:rPr>
        <w:t xml:space="preserve">ATUM REVIZIJE TEKSTA </w:t>
      </w:r>
    </w:p>
    <w:p w:rsidR="008E60D6" w:rsidRPr="00983B42" w:rsidRDefault="008E60D6" w:rsidP="00480FB1">
      <w:pPr>
        <w:tabs>
          <w:tab w:val="left" w:pos="540"/>
          <w:tab w:val="left" w:pos="569"/>
        </w:tabs>
        <w:rPr>
          <w:bCs/>
          <w:sz w:val="22"/>
          <w:szCs w:val="22"/>
          <w:lang w:val="sr-Latn-ME"/>
        </w:rPr>
      </w:pPr>
    </w:p>
    <w:p w:rsidR="008E60D6" w:rsidRPr="00983B42" w:rsidRDefault="00983B42" w:rsidP="00480FB1">
      <w:pPr>
        <w:tabs>
          <w:tab w:val="left" w:pos="540"/>
          <w:tab w:val="left" w:pos="569"/>
        </w:tabs>
        <w:rPr>
          <w:bCs/>
          <w:sz w:val="22"/>
          <w:szCs w:val="22"/>
          <w:lang w:val="sr-Latn-ME"/>
        </w:rPr>
      </w:pPr>
      <w:r>
        <w:rPr>
          <w:bCs/>
          <w:sz w:val="22"/>
          <w:szCs w:val="22"/>
          <w:lang w:val="sr-Latn-ME"/>
        </w:rPr>
        <w:t>Novembar, 2023. godine</w:t>
      </w:r>
      <w:bookmarkStart w:id="0" w:name="_GoBack"/>
      <w:bookmarkEnd w:id="0"/>
    </w:p>
    <w:p w:rsidR="008E60D6" w:rsidRPr="00983B42" w:rsidRDefault="008E60D6" w:rsidP="00480FB1">
      <w:pPr>
        <w:tabs>
          <w:tab w:val="left" w:pos="540"/>
          <w:tab w:val="left" w:pos="569"/>
        </w:tabs>
        <w:rPr>
          <w:bCs/>
          <w:sz w:val="22"/>
          <w:szCs w:val="22"/>
          <w:lang w:val="sr-Latn-ME"/>
        </w:rPr>
      </w:pPr>
    </w:p>
    <w:p w:rsidR="008A6D43" w:rsidRPr="00983B42" w:rsidRDefault="008A6D43" w:rsidP="00480FB1">
      <w:pPr>
        <w:tabs>
          <w:tab w:val="left" w:pos="540"/>
          <w:tab w:val="left" w:pos="569"/>
        </w:tabs>
        <w:rPr>
          <w:bCs/>
          <w:sz w:val="22"/>
          <w:szCs w:val="22"/>
          <w:lang w:val="sr-Latn-ME"/>
        </w:rPr>
      </w:pPr>
    </w:p>
    <w:p w:rsidR="003F6A59" w:rsidRPr="00983B42" w:rsidRDefault="003F6A59" w:rsidP="00DE3F5C">
      <w:pPr>
        <w:rPr>
          <w:sz w:val="22"/>
          <w:szCs w:val="22"/>
          <w:lang w:val="sr-Latn-ME"/>
        </w:rPr>
      </w:pPr>
    </w:p>
    <w:sectPr w:rsidR="003F6A59" w:rsidRPr="00983B42" w:rsidSect="00FB42E5">
      <w:footerReference w:type="default" r:id="rId12"/>
      <w:pgSz w:w="11909" w:h="16834" w:code="9"/>
      <w:pgMar w:top="993" w:right="1418" w:bottom="1418"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32B" w:rsidRDefault="004C032B">
      <w:r>
        <w:separator/>
      </w:r>
    </w:p>
  </w:endnote>
  <w:endnote w:type="continuationSeparator" w:id="0">
    <w:p w:rsidR="004C032B" w:rsidRDefault="004C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4E4" w:rsidRPr="00B23F69" w:rsidRDefault="00072191" w:rsidP="00B23F69">
    <w:pPr>
      <w:pStyle w:val="Footer"/>
      <w:jc w:val="center"/>
      <w:rPr>
        <w:sz w:val="22"/>
        <w:szCs w:val="22"/>
      </w:rPr>
    </w:pPr>
    <w:r w:rsidRPr="00B23F69">
      <w:rPr>
        <w:sz w:val="22"/>
        <w:szCs w:val="22"/>
      </w:rPr>
      <w:fldChar w:fldCharType="begin"/>
    </w:r>
    <w:r w:rsidR="003D04E4" w:rsidRPr="00B23F69">
      <w:rPr>
        <w:sz w:val="22"/>
        <w:szCs w:val="22"/>
      </w:rPr>
      <w:instrText xml:space="preserve"> PAGE </w:instrText>
    </w:r>
    <w:r w:rsidRPr="00B23F69">
      <w:rPr>
        <w:sz w:val="22"/>
        <w:szCs w:val="22"/>
      </w:rPr>
      <w:fldChar w:fldCharType="separate"/>
    </w:r>
    <w:r w:rsidR="00983B42">
      <w:rPr>
        <w:noProof/>
        <w:sz w:val="22"/>
        <w:szCs w:val="22"/>
      </w:rPr>
      <w:t>12</w:t>
    </w:r>
    <w:r w:rsidRPr="00B23F69">
      <w:rPr>
        <w:sz w:val="22"/>
        <w:szCs w:val="22"/>
      </w:rPr>
      <w:fldChar w:fldCharType="end"/>
    </w:r>
    <w:r w:rsidR="003D04E4" w:rsidRPr="00B23F69">
      <w:rPr>
        <w:sz w:val="22"/>
        <w:szCs w:val="22"/>
      </w:rPr>
      <w:t xml:space="preserve"> / </w:t>
    </w:r>
    <w:r w:rsidRPr="00B23F69">
      <w:rPr>
        <w:sz w:val="22"/>
        <w:szCs w:val="22"/>
      </w:rPr>
      <w:fldChar w:fldCharType="begin"/>
    </w:r>
    <w:r w:rsidR="003D04E4" w:rsidRPr="00B23F69">
      <w:rPr>
        <w:sz w:val="22"/>
        <w:szCs w:val="22"/>
      </w:rPr>
      <w:instrText xml:space="preserve"> NUMPAGES </w:instrText>
    </w:r>
    <w:r w:rsidRPr="00B23F69">
      <w:rPr>
        <w:sz w:val="22"/>
        <w:szCs w:val="22"/>
      </w:rPr>
      <w:fldChar w:fldCharType="separate"/>
    </w:r>
    <w:r w:rsidR="00983B42">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32B" w:rsidRDefault="004C032B">
      <w:r>
        <w:separator/>
      </w:r>
    </w:p>
  </w:footnote>
  <w:footnote w:type="continuationSeparator" w:id="0">
    <w:p w:rsidR="004C032B" w:rsidRDefault="004C0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5pt;height:13.5pt;visibility:visible" o:bullet="t">
        <v:imagedata r:id="rId1" o:title="BT_1000x858px"/>
      </v:shape>
    </w:pict>
  </w:numPicBullet>
  <w:abstractNum w:abstractNumId="0" w15:restartNumberingAfterBreak="0">
    <w:nsid w:val="FFFFFF88"/>
    <w:multiLevelType w:val="singleLevel"/>
    <w:tmpl w:val="110439BE"/>
    <w:lvl w:ilvl="0">
      <w:start w:val="1"/>
      <w:numFmt w:val="decimal"/>
      <w:pStyle w:val="ListNumber"/>
      <w:lvlText w:val="%1."/>
      <w:lvlJc w:val="left"/>
      <w:pPr>
        <w:tabs>
          <w:tab w:val="num" w:pos="360"/>
        </w:tabs>
        <w:ind w:left="360" w:hanging="360"/>
      </w:pPr>
    </w:lvl>
  </w:abstractNum>
  <w:abstractNum w:abstractNumId="1" w15:restartNumberingAfterBreak="0">
    <w:nsid w:val="0228678E"/>
    <w:multiLevelType w:val="hybridMultilevel"/>
    <w:tmpl w:val="74765F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4717CE"/>
    <w:multiLevelType w:val="hybridMultilevel"/>
    <w:tmpl w:val="D6C02BF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6077AC3"/>
    <w:multiLevelType w:val="hybridMultilevel"/>
    <w:tmpl w:val="B4A2304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A987509"/>
    <w:multiLevelType w:val="multilevel"/>
    <w:tmpl w:val="3D1266C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7427148"/>
    <w:multiLevelType w:val="hybridMultilevel"/>
    <w:tmpl w:val="553AFF78"/>
    <w:lvl w:ilvl="0" w:tplc="041A0001">
      <w:start w:val="1"/>
      <w:numFmt w:val="bullet"/>
      <w:lvlText w:val=""/>
      <w:lvlJc w:val="left"/>
      <w:pPr>
        <w:ind w:left="720" w:hanging="360"/>
      </w:pPr>
      <w:rPr>
        <w:rFonts w:ascii="Symbol" w:hAnsi="Symbol" w:hint="default"/>
      </w:rPr>
    </w:lvl>
    <w:lvl w:ilvl="1" w:tplc="6940396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7440D14"/>
    <w:multiLevelType w:val="hybridMultilevel"/>
    <w:tmpl w:val="8E5E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D7DE4"/>
    <w:multiLevelType w:val="hybridMultilevel"/>
    <w:tmpl w:val="EDE29DB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4"/>
  </w:num>
  <w:num w:numId="4">
    <w:abstractNumId w:val="14"/>
  </w:num>
  <w:num w:numId="5">
    <w:abstractNumId w:val="9"/>
  </w:num>
  <w:num w:numId="6">
    <w:abstractNumId w:val="5"/>
  </w:num>
  <w:num w:numId="7">
    <w:abstractNumId w:val="13"/>
  </w:num>
  <w:num w:numId="8">
    <w:abstractNumId w:val="8"/>
  </w:num>
  <w:num w:numId="9">
    <w:abstractNumId w:val="11"/>
  </w:num>
  <w:num w:numId="10">
    <w:abstractNumId w:val="18"/>
  </w:num>
  <w:num w:numId="11">
    <w:abstractNumId w:val="10"/>
  </w:num>
  <w:num w:numId="12">
    <w:abstractNumId w:val="2"/>
  </w:num>
  <w:num w:numId="13">
    <w:abstractNumId w:val="3"/>
  </w:num>
  <w:num w:numId="14">
    <w:abstractNumId w:val="15"/>
  </w:num>
  <w:num w:numId="15">
    <w:abstractNumId w:val="6"/>
  </w:num>
  <w:num w:numId="16">
    <w:abstractNumId w:val="0"/>
  </w:num>
  <w:num w:numId="17">
    <w:abstractNumId w:val="12"/>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A2ED6"/>
    <w:rsid w:val="00000528"/>
    <w:rsid w:val="000176CA"/>
    <w:rsid w:val="00020F41"/>
    <w:rsid w:val="00036FA0"/>
    <w:rsid w:val="0003793F"/>
    <w:rsid w:val="0004314D"/>
    <w:rsid w:val="00057E35"/>
    <w:rsid w:val="00072191"/>
    <w:rsid w:val="00076726"/>
    <w:rsid w:val="00080303"/>
    <w:rsid w:val="00085892"/>
    <w:rsid w:val="0008649E"/>
    <w:rsid w:val="00086B34"/>
    <w:rsid w:val="000921DA"/>
    <w:rsid w:val="000942CC"/>
    <w:rsid w:val="00094FD4"/>
    <w:rsid w:val="000A3F58"/>
    <w:rsid w:val="000D2343"/>
    <w:rsid w:val="000D3449"/>
    <w:rsid w:val="000D425A"/>
    <w:rsid w:val="000D60CC"/>
    <w:rsid w:val="000E2084"/>
    <w:rsid w:val="000E2778"/>
    <w:rsid w:val="000E6F55"/>
    <w:rsid w:val="000F77FA"/>
    <w:rsid w:val="00106DC5"/>
    <w:rsid w:val="00107BF7"/>
    <w:rsid w:val="00111F29"/>
    <w:rsid w:val="00117723"/>
    <w:rsid w:val="001222E2"/>
    <w:rsid w:val="00126F53"/>
    <w:rsid w:val="001306AF"/>
    <w:rsid w:val="00136891"/>
    <w:rsid w:val="00137B43"/>
    <w:rsid w:val="00143C01"/>
    <w:rsid w:val="0014766D"/>
    <w:rsid w:val="001536CC"/>
    <w:rsid w:val="00156F1D"/>
    <w:rsid w:val="00165A7D"/>
    <w:rsid w:val="00180F67"/>
    <w:rsid w:val="001A3B84"/>
    <w:rsid w:val="001A3FBA"/>
    <w:rsid w:val="001A5518"/>
    <w:rsid w:val="001B1C6A"/>
    <w:rsid w:val="001C1263"/>
    <w:rsid w:val="001C1417"/>
    <w:rsid w:val="001D0036"/>
    <w:rsid w:val="001D45B3"/>
    <w:rsid w:val="001E390B"/>
    <w:rsid w:val="001F42FB"/>
    <w:rsid w:val="001F719A"/>
    <w:rsid w:val="002031B3"/>
    <w:rsid w:val="002135CC"/>
    <w:rsid w:val="00215931"/>
    <w:rsid w:val="00224C91"/>
    <w:rsid w:val="00227BDB"/>
    <w:rsid w:val="00234CB1"/>
    <w:rsid w:val="002352F8"/>
    <w:rsid w:val="002510A5"/>
    <w:rsid w:val="00251A25"/>
    <w:rsid w:val="00254A0A"/>
    <w:rsid w:val="00261884"/>
    <w:rsid w:val="00264B00"/>
    <w:rsid w:val="00266046"/>
    <w:rsid w:val="00275364"/>
    <w:rsid w:val="00280C9A"/>
    <w:rsid w:val="002846DB"/>
    <w:rsid w:val="00284CCD"/>
    <w:rsid w:val="0029293D"/>
    <w:rsid w:val="002A195D"/>
    <w:rsid w:val="002B0F0D"/>
    <w:rsid w:val="002B6619"/>
    <w:rsid w:val="002B68DF"/>
    <w:rsid w:val="002B7FCC"/>
    <w:rsid w:val="002C01F7"/>
    <w:rsid w:val="002C1854"/>
    <w:rsid w:val="002C334E"/>
    <w:rsid w:val="002C6637"/>
    <w:rsid w:val="002E0135"/>
    <w:rsid w:val="002E37A5"/>
    <w:rsid w:val="002F3A2C"/>
    <w:rsid w:val="003101DE"/>
    <w:rsid w:val="00310F03"/>
    <w:rsid w:val="003247D2"/>
    <w:rsid w:val="00333784"/>
    <w:rsid w:val="003356A4"/>
    <w:rsid w:val="003445C1"/>
    <w:rsid w:val="003469BD"/>
    <w:rsid w:val="003477BE"/>
    <w:rsid w:val="00352E90"/>
    <w:rsid w:val="00355B61"/>
    <w:rsid w:val="00361767"/>
    <w:rsid w:val="00362686"/>
    <w:rsid w:val="00371510"/>
    <w:rsid w:val="00380102"/>
    <w:rsid w:val="003815BA"/>
    <w:rsid w:val="0038673B"/>
    <w:rsid w:val="003872A9"/>
    <w:rsid w:val="00391D2E"/>
    <w:rsid w:val="00392C05"/>
    <w:rsid w:val="00396DFD"/>
    <w:rsid w:val="003A7059"/>
    <w:rsid w:val="003B7A36"/>
    <w:rsid w:val="003C1707"/>
    <w:rsid w:val="003C17AB"/>
    <w:rsid w:val="003C4862"/>
    <w:rsid w:val="003C7823"/>
    <w:rsid w:val="003D04E4"/>
    <w:rsid w:val="003D09FC"/>
    <w:rsid w:val="003D159C"/>
    <w:rsid w:val="003E1DCC"/>
    <w:rsid w:val="003E6752"/>
    <w:rsid w:val="003F11A1"/>
    <w:rsid w:val="003F6A59"/>
    <w:rsid w:val="004065C8"/>
    <w:rsid w:val="004109FA"/>
    <w:rsid w:val="0041106D"/>
    <w:rsid w:val="00411B4B"/>
    <w:rsid w:val="00415BEE"/>
    <w:rsid w:val="004212AE"/>
    <w:rsid w:val="00427F85"/>
    <w:rsid w:val="0043010D"/>
    <w:rsid w:val="00431294"/>
    <w:rsid w:val="00434A0B"/>
    <w:rsid w:val="00436F42"/>
    <w:rsid w:val="004378B4"/>
    <w:rsid w:val="00440A26"/>
    <w:rsid w:val="00445585"/>
    <w:rsid w:val="00450AF8"/>
    <w:rsid w:val="00451314"/>
    <w:rsid w:val="00452E9D"/>
    <w:rsid w:val="004534C7"/>
    <w:rsid w:val="004671AA"/>
    <w:rsid w:val="004767A7"/>
    <w:rsid w:val="00480FB1"/>
    <w:rsid w:val="00483928"/>
    <w:rsid w:val="00485B16"/>
    <w:rsid w:val="00495608"/>
    <w:rsid w:val="004963C6"/>
    <w:rsid w:val="004A1808"/>
    <w:rsid w:val="004A443D"/>
    <w:rsid w:val="004A53B5"/>
    <w:rsid w:val="004B1F81"/>
    <w:rsid w:val="004B5D44"/>
    <w:rsid w:val="004C032B"/>
    <w:rsid w:val="004C1774"/>
    <w:rsid w:val="004C331F"/>
    <w:rsid w:val="004D2F9C"/>
    <w:rsid w:val="004D6103"/>
    <w:rsid w:val="004E3BCE"/>
    <w:rsid w:val="004E5148"/>
    <w:rsid w:val="004E70AD"/>
    <w:rsid w:val="004F0E97"/>
    <w:rsid w:val="00500B4F"/>
    <w:rsid w:val="00501DD1"/>
    <w:rsid w:val="00502239"/>
    <w:rsid w:val="005101CC"/>
    <w:rsid w:val="0051578A"/>
    <w:rsid w:val="00515C21"/>
    <w:rsid w:val="0052485A"/>
    <w:rsid w:val="00524C63"/>
    <w:rsid w:val="00530BD7"/>
    <w:rsid w:val="00545CD2"/>
    <w:rsid w:val="0054698B"/>
    <w:rsid w:val="005476F3"/>
    <w:rsid w:val="00567A3D"/>
    <w:rsid w:val="00572527"/>
    <w:rsid w:val="00573E40"/>
    <w:rsid w:val="00573EBB"/>
    <w:rsid w:val="00576348"/>
    <w:rsid w:val="00581B48"/>
    <w:rsid w:val="00582760"/>
    <w:rsid w:val="00585984"/>
    <w:rsid w:val="005A0B2E"/>
    <w:rsid w:val="005A23D2"/>
    <w:rsid w:val="005A2CDC"/>
    <w:rsid w:val="005A36CB"/>
    <w:rsid w:val="005B00DA"/>
    <w:rsid w:val="005B3A26"/>
    <w:rsid w:val="005B49B8"/>
    <w:rsid w:val="005C0741"/>
    <w:rsid w:val="005C2EA4"/>
    <w:rsid w:val="005C367D"/>
    <w:rsid w:val="005C5EF4"/>
    <w:rsid w:val="005E2E0B"/>
    <w:rsid w:val="005E61B7"/>
    <w:rsid w:val="005E7A7D"/>
    <w:rsid w:val="00602457"/>
    <w:rsid w:val="00602AAE"/>
    <w:rsid w:val="006241FB"/>
    <w:rsid w:val="00625D03"/>
    <w:rsid w:val="00632CF9"/>
    <w:rsid w:val="00642A06"/>
    <w:rsid w:val="00644FC3"/>
    <w:rsid w:val="00646BD1"/>
    <w:rsid w:val="00650A45"/>
    <w:rsid w:val="006561C2"/>
    <w:rsid w:val="00661093"/>
    <w:rsid w:val="0066177E"/>
    <w:rsid w:val="006657B0"/>
    <w:rsid w:val="006718C3"/>
    <w:rsid w:val="00671CB3"/>
    <w:rsid w:val="00673959"/>
    <w:rsid w:val="00674BAF"/>
    <w:rsid w:val="00682200"/>
    <w:rsid w:val="0068684E"/>
    <w:rsid w:val="00686D43"/>
    <w:rsid w:val="00690C16"/>
    <w:rsid w:val="00692BF6"/>
    <w:rsid w:val="00694EE8"/>
    <w:rsid w:val="006A1497"/>
    <w:rsid w:val="006A2A23"/>
    <w:rsid w:val="006B0BD1"/>
    <w:rsid w:val="006B4369"/>
    <w:rsid w:val="006B5404"/>
    <w:rsid w:val="006D1371"/>
    <w:rsid w:val="006D20A5"/>
    <w:rsid w:val="006D37BF"/>
    <w:rsid w:val="006E7209"/>
    <w:rsid w:val="006F23B2"/>
    <w:rsid w:val="00702E22"/>
    <w:rsid w:val="00707A4E"/>
    <w:rsid w:val="00717DA4"/>
    <w:rsid w:val="0072020E"/>
    <w:rsid w:val="00741AF3"/>
    <w:rsid w:val="007518D1"/>
    <w:rsid w:val="007547DE"/>
    <w:rsid w:val="00755D66"/>
    <w:rsid w:val="007707B4"/>
    <w:rsid w:val="0077658F"/>
    <w:rsid w:val="00776862"/>
    <w:rsid w:val="00784538"/>
    <w:rsid w:val="00786071"/>
    <w:rsid w:val="007A1FEF"/>
    <w:rsid w:val="007A3ECB"/>
    <w:rsid w:val="007B5D75"/>
    <w:rsid w:val="007D2525"/>
    <w:rsid w:val="007D7BB3"/>
    <w:rsid w:val="007F176D"/>
    <w:rsid w:val="007F5935"/>
    <w:rsid w:val="0080701B"/>
    <w:rsid w:val="00824AB9"/>
    <w:rsid w:val="00827433"/>
    <w:rsid w:val="00836B35"/>
    <w:rsid w:val="00843BDE"/>
    <w:rsid w:val="00850BD7"/>
    <w:rsid w:val="00852425"/>
    <w:rsid w:val="0087588C"/>
    <w:rsid w:val="00882CDA"/>
    <w:rsid w:val="00893589"/>
    <w:rsid w:val="00893FE2"/>
    <w:rsid w:val="0089705C"/>
    <w:rsid w:val="008A02EF"/>
    <w:rsid w:val="008A6D43"/>
    <w:rsid w:val="008A7758"/>
    <w:rsid w:val="008B02E3"/>
    <w:rsid w:val="008B491E"/>
    <w:rsid w:val="008C1A28"/>
    <w:rsid w:val="008C1A2A"/>
    <w:rsid w:val="008C2E98"/>
    <w:rsid w:val="008D305A"/>
    <w:rsid w:val="008D5BA1"/>
    <w:rsid w:val="008D601C"/>
    <w:rsid w:val="008E1275"/>
    <w:rsid w:val="008E49BD"/>
    <w:rsid w:val="008E53E9"/>
    <w:rsid w:val="008E5771"/>
    <w:rsid w:val="008E60D6"/>
    <w:rsid w:val="008F4ACF"/>
    <w:rsid w:val="008F7FD4"/>
    <w:rsid w:val="00924166"/>
    <w:rsid w:val="00940B9B"/>
    <w:rsid w:val="00942084"/>
    <w:rsid w:val="00954977"/>
    <w:rsid w:val="0095676E"/>
    <w:rsid w:val="00956983"/>
    <w:rsid w:val="00963CF0"/>
    <w:rsid w:val="00964BB1"/>
    <w:rsid w:val="00967C6B"/>
    <w:rsid w:val="009738A1"/>
    <w:rsid w:val="009775D9"/>
    <w:rsid w:val="009804B2"/>
    <w:rsid w:val="00981162"/>
    <w:rsid w:val="0098331C"/>
    <w:rsid w:val="00983B42"/>
    <w:rsid w:val="0099653B"/>
    <w:rsid w:val="00997175"/>
    <w:rsid w:val="009A1847"/>
    <w:rsid w:val="009A5681"/>
    <w:rsid w:val="009A736F"/>
    <w:rsid w:val="009B062A"/>
    <w:rsid w:val="009B1D1F"/>
    <w:rsid w:val="009C1347"/>
    <w:rsid w:val="009C4AA8"/>
    <w:rsid w:val="009D3B1F"/>
    <w:rsid w:val="009D4CE6"/>
    <w:rsid w:val="009E7C6F"/>
    <w:rsid w:val="009F1793"/>
    <w:rsid w:val="009F2D23"/>
    <w:rsid w:val="00A00B5B"/>
    <w:rsid w:val="00A01D69"/>
    <w:rsid w:val="00A02335"/>
    <w:rsid w:val="00A25C1D"/>
    <w:rsid w:val="00A3489E"/>
    <w:rsid w:val="00A46C9A"/>
    <w:rsid w:val="00A5282E"/>
    <w:rsid w:val="00A55555"/>
    <w:rsid w:val="00A619F3"/>
    <w:rsid w:val="00A62A73"/>
    <w:rsid w:val="00A75880"/>
    <w:rsid w:val="00A763C8"/>
    <w:rsid w:val="00A76553"/>
    <w:rsid w:val="00A773DF"/>
    <w:rsid w:val="00A77BD8"/>
    <w:rsid w:val="00A846B0"/>
    <w:rsid w:val="00A87FF6"/>
    <w:rsid w:val="00AA0A3B"/>
    <w:rsid w:val="00AA2763"/>
    <w:rsid w:val="00AA33B6"/>
    <w:rsid w:val="00AA4315"/>
    <w:rsid w:val="00AB50CA"/>
    <w:rsid w:val="00AB6D64"/>
    <w:rsid w:val="00AB7933"/>
    <w:rsid w:val="00AC285A"/>
    <w:rsid w:val="00AC53CE"/>
    <w:rsid w:val="00AD2193"/>
    <w:rsid w:val="00AD3D13"/>
    <w:rsid w:val="00AE13E3"/>
    <w:rsid w:val="00AE1423"/>
    <w:rsid w:val="00AE1E4B"/>
    <w:rsid w:val="00AF29D2"/>
    <w:rsid w:val="00AF2AC7"/>
    <w:rsid w:val="00AF74CE"/>
    <w:rsid w:val="00B208DB"/>
    <w:rsid w:val="00B218DF"/>
    <w:rsid w:val="00B21E55"/>
    <w:rsid w:val="00B23F69"/>
    <w:rsid w:val="00B25735"/>
    <w:rsid w:val="00B36258"/>
    <w:rsid w:val="00B4143D"/>
    <w:rsid w:val="00B516C0"/>
    <w:rsid w:val="00B516E0"/>
    <w:rsid w:val="00B5387D"/>
    <w:rsid w:val="00B60619"/>
    <w:rsid w:val="00B60BC5"/>
    <w:rsid w:val="00B61363"/>
    <w:rsid w:val="00B64B77"/>
    <w:rsid w:val="00B66A70"/>
    <w:rsid w:val="00B67366"/>
    <w:rsid w:val="00B80EE1"/>
    <w:rsid w:val="00B84135"/>
    <w:rsid w:val="00B85740"/>
    <w:rsid w:val="00BA4CD5"/>
    <w:rsid w:val="00BB5457"/>
    <w:rsid w:val="00BF105D"/>
    <w:rsid w:val="00C04D34"/>
    <w:rsid w:val="00C05DF8"/>
    <w:rsid w:val="00C06864"/>
    <w:rsid w:val="00C101E8"/>
    <w:rsid w:val="00C10F54"/>
    <w:rsid w:val="00C16B2F"/>
    <w:rsid w:val="00C173E0"/>
    <w:rsid w:val="00C17C3A"/>
    <w:rsid w:val="00C23D8D"/>
    <w:rsid w:val="00C349C4"/>
    <w:rsid w:val="00C37AA3"/>
    <w:rsid w:val="00C37FD7"/>
    <w:rsid w:val="00C43419"/>
    <w:rsid w:val="00C43DB8"/>
    <w:rsid w:val="00C44CF3"/>
    <w:rsid w:val="00C54D1E"/>
    <w:rsid w:val="00C61BE0"/>
    <w:rsid w:val="00C6707E"/>
    <w:rsid w:val="00C70B0E"/>
    <w:rsid w:val="00C73BFF"/>
    <w:rsid w:val="00C75A73"/>
    <w:rsid w:val="00C76483"/>
    <w:rsid w:val="00C773CA"/>
    <w:rsid w:val="00C8136B"/>
    <w:rsid w:val="00C83785"/>
    <w:rsid w:val="00C83E8B"/>
    <w:rsid w:val="00C867F9"/>
    <w:rsid w:val="00C94C0D"/>
    <w:rsid w:val="00CA1FEB"/>
    <w:rsid w:val="00CA434A"/>
    <w:rsid w:val="00CD4F85"/>
    <w:rsid w:val="00CD6F02"/>
    <w:rsid w:val="00CE246D"/>
    <w:rsid w:val="00CF07A0"/>
    <w:rsid w:val="00CF2769"/>
    <w:rsid w:val="00CF329D"/>
    <w:rsid w:val="00CF3E03"/>
    <w:rsid w:val="00D0082A"/>
    <w:rsid w:val="00D21455"/>
    <w:rsid w:val="00D41E02"/>
    <w:rsid w:val="00D44225"/>
    <w:rsid w:val="00D449B9"/>
    <w:rsid w:val="00D4528B"/>
    <w:rsid w:val="00D47634"/>
    <w:rsid w:val="00D53613"/>
    <w:rsid w:val="00D64E8A"/>
    <w:rsid w:val="00D709B3"/>
    <w:rsid w:val="00D7209C"/>
    <w:rsid w:val="00D96F33"/>
    <w:rsid w:val="00DA2ED6"/>
    <w:rsid w:val="00DA59D3"/>
    <w:rsid w:val="00DB76B8"/>
    <w:rsid w:val="00DC2EA1"/>
    <w:rsid w:val="00DC690B"/>
    <w:rsid w:val="00DD00EE"/>
    <w:rsid w:val="00DD05F0"/>
    <w:rsid w:val="00DD0BE5"/>
    <w:rsid w:val="00DD6AAF"/>
    <w:rsid w:val="00DE213B"/>
    <w:rsid w:val="00DE3F5C"/>
    <w:rsid w:val="00DF09BD"/>
    <w:rsid w:val="00DF1D20"/>
    <w:rsid w:val="00E05CC5"/>
    <w:rsid w:val="00E2057C"/>
    <w:rsid w:val="00E21324"/>
    <w:rsid w:val="00E246B9"/>
    <w:rsid w:val="00E268FE"/>
    <w:rsid w:val="00E31FEA"/>
    <w:rsid w:val="00E327AC"/>
    <w:rsid w:val="00E32BC9"/>
    <w:rsid w:val="00E45169"/>
    <w:rsid w:val="00E455D3"/>
    <w:rsid w:val="00E46D3C"/>
    <w:rsid w:val="00E47787"/>
    <w:rsid w:val="00E51C30"/>
    <w:rsid w:val="00E61FD1"/>
    <w:rsid w:val="00E63317"/>
    <w:rsid w:val="00E64180"/>
    <w:rsid w:val="00E67BE0"/>
    <w:rsid w:val="00E74AEE"/>
    <w:rsid w:val="00E82C3D"/>
    <w:rsid w:val="00E868E5"/>
    <w:rsid w:val="00E86F99"/>
    <w:rsid w:val="00E904B7"/>
    <w:rsid w:val="00E9237A"/>
    <w:rsid w:val="00E939FA"/>
    <w:rsid w:val="00EA4C82"/>
    <w:rsid w:val="00EA5765"/>
    <w:rsid w:val="00EC2532"/>
    <w:rsid w:val="00ED7812"/>
    <w:rsid w:val="00ED7AB2"/>
    <w:rsid w:val="00EE280A"/>
    <w:rsid w:val="00EF3B86"/>
    <w:rsid w:val="00F317E9"/>
    <w:rsid w:val="00F34554"/>
    <w:rsid w:val="00F45F77"/>
    <w:rsid w:val="00F5167F"/>
    <w:rsid w:val="00F52258"/>
    <w:rsid w:val="00F55354"/>
    <w:rsid w:val="00F662B2"/>
    <w:rsid w:val="00F66BD5"/>
    <w:rsid w:val="00F71AB1"/>
    <w:rsid w:val="00F83D2F"/>
    <w:rsid w:val="00F8570A"/>
    <w:rsid w:val="00F86CF5"/>
    <w:rsid w:val="00F91C7B"/>
    <w:rsid w:val="00FA3F4C"/>
    <w:rsid w:val="00FA54A7"/>
    <w:rsid w:val="00FB42E5"/>
    <w:rsid w:val="00FC55FE"/>
    <w:rsid w:val="00FE5AF0"/>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AFC29"/>
  <w15:docId w15:val="{EA210033-FD74-4D54-B140-F894593C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26"/>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customStyle="1" w:styleId="Default">
    <w:name w:val="Default"/>
    <w:rsid w:val="00E05CC5"/>
    <w:pPr>
      <w:autoSpaceDE w:val="0"/>
      <w:autoSpaceDN w:val="0"/>
      <w:adjustRightInd w:val="0"/>
    </w:pPr>
    <w:rPr>
      <w:color w:val="000000"/>
      <w:sz w:val="24"/>
      <w:szCs w:val="24"/>
      <w:lang w:val="hr-HR" w:eastAsia="hr-HR"/>
    </w:rPr>
  </w:style>
  <w:style w:type="character" w:customStyle="1" w:styleId="HeaderChar">
    <w:name w:val="Header Char"/>
    <w:link w:val="Header"/>
    <w:rsid w:val="00445585"/>
    <w:rPr>
      <w:sz w:val="24"/>
      <w:szCs w:val="24"/>
      <w:lang w:val="en-US" w:eastAsia="en-US"/>
    </w:rPr>
  </w:style>
  <w:style w:type="paragraph" w:styleId="ListParagraph">
    <w:name w:val="List Paragraph"/>
    <w:basedOn w:val="Normal"/>
    <w:uiPriority w:val="34"/>
    <w:qFormat/>
    <w:rsid w:val="004963C6"/>
    <w:pPr>
      <w:ind w:left="720"/>
      <w:contextualSpacing/>
    </w:pPr>
  </w:style>
  <w:style w:type="paragraph" w:styleId="ListNumber">
    <w:name w:val="List Number"/>
    <w:basedOn w:val="Normal"/>
    <w:rsid w:val="00275364"/>
    <w:pPr>
      <w:numPr>
        <w:numId w:val="16"/>
      </w:numPr>
    </w:pPr>
    <w:rPr>
      <w:rFonts w:ascii="Arial" w:hAnsi="Arial"/>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B14F0-D17A-45AA-8011-4FCCBAFBA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13</Pages>
  <Words>4629</Words>
  <Characters>26389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30957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Gordana Boljević</cp:lastModifiedBy>
  <cp:revision>134</cp:revision>
  <cp:lastPrinted>2023-01-23T07:56:00Z</cp:lastPrinted>
  <dcterms:created xsi:type="dcterms:W3CDTF">2023-01-20T08:30:00Z</dcterms:created>
  <dcterms:modified xsi:type="dcterms:W3CDTF">2023-11-17T08:57:00Z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