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992223">
      <w:pPr>
        <w:jc w:val="both"/>
        <w:rPr>
          <w:b/>
          <w:bCs/>
          <w:i/>
          <w:iCs/>
          <w:sz w:val="22"/>
          <w:szCs w:val="22"/>
          <w:u w:val="single"/>
        </w:rPr>
      </w:pPr>
    </w:p>
    <w:p w:rsidR="002510A5" w:rsidRPr="004C1A6D" w:rsidRDefault="002510A5" w:rsidP="00586F9F">
      <w:pPr>
        <w:jc w:val="center"/>
        <w:rPr>
          <w:b/>
          <w:bCs/>
          <w:iCs/>
          <w:sz w:val="22"/>
          <w:szCs w:val="22"/>
          <w:u w:val="single"/>
        </w:rPr>
      </w:pPr>
      <w:r w:rsidRPr="004C1A6D">
        <w:rPr>
          <w:b/>
          <w:bCs/>
          <w:iCs/>
          <w:sz w:val="22"/>
          <w:szCs w:val="22"/>
          <w:u w:val="single"/>
        </w:rPr>
        <w:t>SAŽETAK KARAKTERISTIKA LIJEKA</w:t>
      </w:r>
    </w:p>
    <w:p w:rsidR="002510A5" w:rsidRPr="004C1A6D" w:rsidRDefault="002510A5" w:rsidP="00586F9F">
      <w:pPr>
        <w:jc w:val="center"/>
        <w:rPr>
          <w:b/>
          <w:bCs/>
          <w:i/>
          <w:iCs/>
          <w:sz w:val="22"/>
          <w:szCs w:val="22"/>
          <w:u w:val="single"/>
        </w:rPr>
      </w:pPr>
    </w:p>
    <w:p w:rsidR="003C17AB" w:rsidRPr="004C1A6D" w:rsidRDefault="003C17AB" w:rsidP="00992223">
      <w:pPr>
        <w:jc w:val="both"/>
        <w:rPr>
          <w:sz w:val="22"/>
          <w:szCs w:val="22"/>
          <w:lang w:val="sr-Latn-CS"/>
        </w:rPr>
      </w:pPr>
    </w:p>
    <w:p w:rsidR="00411B4B" w:rsidRPr="004C1A6D" w:rsidRDefault="003C17AB" w:rsidP="00992223">
      <w:pPr>
        <w:tabs>
          <w:tab w:val="left" w:pos="540"/>
          <w:tab w:val="left" w:pos="569"/>
        </w:tabs>
        <w:jc w:val="both"/>
        <w:rPr>
          <w:b/>
          <w:bCs/>
          <w:sz w:val="22"/>
          <w:szCs w:val="22"/>
        </w:rPr>
      </w:pPr>
      <w:r w:rsidRPr="004C1A6D">
        <w:rPr>
          <w:noProof/>
          <w:sz w:val="22"/>
          <w:szCs w:val="22"/>
          <w:lang w:val="hr-HR"/>
        </w:rPr>
        <w:t xml:space="preserve"> </w:t>
      </w:r>
      <w:r w:rsidR="00411B4B" w:rsidRPr="004C1A6D">
        <w:rPr>
          <w:b/>
          <w:bCs/>
          <w:sz w:val="22"/>
          <w:szCs w:val="22"/>
        </w:rPr>
        <w:t>1.</w:t>
      </w:r>
      <w:r w:rsidR="00F5167F" w:rsidRPr="004C1A6D">
        <w:rPr>
          <w:b/>
          <w:bCs/>
          <w:sz w:val="22"/>
          <w:szCs w:val="22"/>
        </w:rPr>
        <w:tab/>
      </w:r>
      <w:r w:rsidR="002846DB" w:rsidRPr="004C1A6D">
        <w:rPr>
          <w:b/>
          <w:bCs/>
          <w:sz w:val="22"/>
          <w:szCs w:val="22"/>
        </w:rPr>
        <w:t xml:space="preserve">NAZIV </w:t>
      </w:r>
      <w:r w:rsidR="00411B4B" w:rsidRPr="004C1A6D">
        <w:rPr>
          <w:b/>
          <w:bCs/>
          <w:sz w:val="22"/>
          <w:szCs w:val="22"/>
        </w:rPr>
        <w:t>LIJEKA</w:t>
      </w:r>
    </w:p>
    <w:p w:rsidR="00EC2532" w:rsidRPr="004C1A6D" w:rsidRDefault="00EC2532" w:rsidP="00992223">
      <w:pPr>
        <w:jc w:val="both"/>
        <w:rPr>
          <w:sz w:val="22"/>
          <w:szCs w:val="22"/>
          <w:lang w:val="pl-PL"/>
        </w:rPr>
      </w:pPr>
    </w:p>
    <w:p w:rsidR="002A195D" w:rsidRPr="004C1A6D" w:rsidRDefault="002A195D" w:rsidP="00992223">
      <w:pPr>
        <w:jc w:val="both"/>
        <w:rPr>
          <w:sz w:val="22"/>
          <w:szCs w:val="22"/>
          <w:vertAlign w:val="superscript"/>
        </w:rPr>
      </w:pPr>
      <w:r w:rsidRPr="004C1A6D">
        <w:rPr>
          <w:sz w:val="22"/>
          <w:szCs w:val="22"/>
        </w:rPr>
        <w:t>FENIX</w:t>
      </w:r>
      <w:r w:rsidR="006A0BA6" w:rsidRPr="004C1A6D">
        <w:rPr>
          <w:sz w:val="22"/>
          <w:szCs w:val="22"/>
        </w:rPr>
        <w:t>,</w:t>
      </w:r>
      <w:r w:rsidRPr="004C1A6D">
        <w:rPr>
          <w:sz w:val="22"/>
          <w:szCs w:val="22"/>
          <w:vertAlign w:val="superscript"/>
        </w:rPr>
        <w:t xml:space="preserve"> </w:t>
      </w:r>
      <w:r w:rsidRPr="004C1A6D">
        <w:rPr>
          <w:sz w:val="22"/>
          <w:szCs w:val="22"/>
        </w:rPr>
        <w:t>20 mg</w:t>
      </w:r>
      <w:r w:rsidR="003855EB" w:rsidRPr="004C1A6D">
        <w:rPr>
          <w:sz w:val="22"/>
          <w:szCs w:val="22"/>
        </w:rPr>
        <w:t xml:space="preserve">, </w:t>
      </w:r>
      <w:r w:rsidR="006A0BA6" w:rsidRPr="004C1A6D">
        <w:rPr>
          <w:sz w:val="22"/>
          <w:szCs w:val="22"/>
        </w:rPr>
        <w:t>gastrorezistentna tableta</w:t>
      </w:r>
    </w:p>
    <w:p w:rsidR="000D425A" w:rsidRPr="004C1A6D" w:rsidRDefault="000D425A" w:rsidP="00992223">
      <w:pPr>
        <w:jc w:val="both"/>
        <w:rPr>
          <w:bCs/>
          <w:sz w:val="22"/>
          <w:szCs w:val="22"/>
          <w:lang w:val="sv-SE"/>
        </w:rPr>
      </w:pPr>
    </w:p>
    <w:p w:rsidR="002A195D" w:rsidRDefault="006D20A5" w:rsidP="00992223">
      <w:pPr>
        <w:jc w:val="both"/>
        <w:rPr>
          <w:i/>
          <w:sz w:val="22"/>
          <w:szCs w:val="22"/>
        </w:rPr>
      </w:pPr>
      <w:r w:rsidRPr="004C1A6D">
        <w:rPr>
          <w:sz w:val="22"/>
          <w:szCs w:val="22"/>
          <w:lang w:val="sv-SE"/>
        </w:rPr>
        <w:t>INN:</w:t>
      </w:r>
      <w:r w:rsidR="002A195D" w:rsidRPr="004C1A6D">
        <w:rPr>
          <w:sz w:val="22"/>
          <w:szCs w:val="22"/>
          <w:lang w:val="sv-SE"/>
        </w:rPr>
        <w:t xml:space="preserve"> </w:t>
      </w:r>
      <w:r w:rsidR="004C1A6D">
        <w:rPr>
          <w:i/>
          <w:sz w:val="22"/>
          <w:szCs w:val="22"/>
        </w:rPr>
        <w:t>pantoprazol</w:t>
      </w:r>
    </w:p>
    <w:p w:rsidR="004C1A6D" w:rsidRPr="004C1A6D" w:rsidRDefault="004C1A6D" w:rsidP="00992223">
      <w:pPr>
        <w:jc w:val="both"/>
        <w:rPr>
          <w:i/>
          <w:sz w:val="22"/>
          <w:szCs w:val="22"/>
        </w:rPr>
      </w:pPr>
    </w:p>
    <w:p w:rsidR="006D20A5" w:rsidRPr="004C1A6D" w:rsidRDefault="006D20A5" w:rsidP="00992223">
      <w:pPr>
        <w:jc w:val="both"/>
        <w:rPr>
          <w:sz w:val="22"/>
          <w:szCs w:val="22"/>
          <w:lang w:val="sr-Latn-CS"/>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2. </w:t>
      </w:r>
      <w:r w:rsidR="00F5167F" w:rsidRPr="004C1A6D">
        <w:rPr>
          <w:b/>
          <w:bCs/>
          <w:sz w:val="22"/>
          <w:szCs w:val="22"/>
        </w:rPr>
        <w:tab/>
      </w:r>
      <w:r w:rsidRPr="004C1A6D">
        <w:rPr>
          <w:b/>
          <w:bCs/>
          <w:sz w:val="22"/>
          <w:szCs w:val="22"/>
        </w:rPr>
        <w:t>KVALITATIVNI I KVANTITATIVNI SASTAV</w:t>
      </w:r>
    </w:p>
    <w:p w:rsidR="005A0B2E" w:rsidRPr="004C1A6D" w:rsidRDefault="005A0B2E" w:rsidP="00992223">
      <w:pPr>
        <w:jc w:val="both"/>
        <w:rPr>
          <w:sz w:val="22"/>
          <w:szCs w:val="22"/>
          <w:lang w:val="sr-Latn-CS"/>
        </w:rPr>
      </w:pPr>
    </w:p>
    <w:p w:rsidR="00650A45" w:rsidRPr="004C1A6D" w:rsidRDefault="009C603A" w:rsidP="006A0BA6">
      <w:pPr>
        <w:jc w:val="both"/>
        <w:rPr>
          <w:sz w:val="22"/>
          <w:szCs w:val="22"/>
        </w:rPr>
      </w:pPr>
      <w:r w:rsidRPr="004C1A6D">
        <w:rPr>
          <w:sz w:val="22"/>
          <w:szCs w:val="22"/>
        </w:rPr>
        <w:t xml:space="preserve">Jedna gastrorezistentna tableta sadrži </w:t>
      </w:r>
      <w:r w:rsidR="006A0BA6" w:rsidRPr="004C1A6D">
        <w:rPr>
          <w:sz w:val="22"/>
          <w:szCs w:val="22"/>
        </w:rPr>
        <w:t xml:space="preserve">20 mg </w:t>
      </w:r>
      <w:r w:rsidRPr="004C1A6D">
        <w:rPr>
          <w:sz w:val="22"/>
          <w:szCs w:val="22"/>
        </w:rPr>
        <w:t>p</w:t>
      </w:r>
      <w:r w:rsidR="00650A45" w:rsidRPr="004C1A6D">
        <w:rPr>
          <w:sz w:val="22"/>
          <w:szCs w:val="22"/>
        </w:rPr>
        <w:t xml:space="preserve">antoprazola (u obliku </w:t>
      </w:r>
      <w:r w:rsidR="006A0BA6" w:rsidRPr="004C1A6D">
        <w:rPr>
          <w:sz w:val="22"/>
          <w:szCs w:val="22"/>
        </w:rPr>
        <w:t xml:space="preserve">pantoprazol </w:t>
      </w:r>
      <w:r w:rsidR="00650A45" w:rsidRPr="004C1A6D">
        <w:rPr>
          <w:sz w:val="22"/>
          <w:szCs w:val="22"/>
        </w:rPr>
        <w:t>natrij</w:t>
      </w:r>
      <w:r w:rsidR="00FC62E3" w:rsidRPr="004C1A6D">
        <w:rPr>
          <w:sz w:val="22"/>
          <w:szCs w:val="22"/>
        </w:rPr>
        <w:t>um</w:t>
      </w:r>
      <w:r w:rsidR="00650A45" w:rsidRPr="004C1A6D">
        <w:rPr>
          <w:sz w:val="22"/>
          <w:szCs w:val="22"/>
        </w:rPr>
        <w:t xml:space="preserve"> seskvihidrata).</w:t>
      </w:r>
    </w:p>
    <w:p w:rsidR="00650A45" w:rsidRPr="004C1A6D" w:rsidRDefault="00650A45" w:rsidP="00992223">
      <w:pPr>
        <w:jc w:val="both"/>
        <w:rPr>
          <w:sz w:val="22"/>
          <w:szCs w:val="22"/>
          <w:lang w:val="sr-Latn-CS"/>
        </w:rPr>
      </w:pPr>
    </w:p>
    <w:p w:rsidR="0003793F" w:rsidRDefault="0003793F" w:rsidP="00992223">
      <w:pPr>
        <w:jc w:val="both"/>
        <w:rPr>
          <w:sz w:val="22"/>
          <w:szCs w:val="22"/>
          <w:lang w:val="sr-Latn-CS"/>
        </w:rPr>
      </w:pPr>
      <w:r w:rsidRPr="004C1A6D">
        <w:rPr>
          <w:sz w:val="22"/>
          <w:szCs w:val="22"/>
          <w:lang w:val="sr-Latn-CS"/>
        </w:rPr>
        <w:t>Za spisak svih ekscipijenasa, pogledati dio 6.1.</w:t>
      </w:r>
    </w:p>
    <w:p w:rsidR="004C1A6D" w:rsidRPr="004C1A6D" w:rsidRDefault="004C1A6D" w:rsidP="00992223">
      <w:pPr>
        <w:jc w:val="both"/>
        <w:rPr>
          <w:sz w:val="22"/>
          <w:szCs w:val="22"/>
          <w:lang w:val="sr-Latn-CS"/>
        </w:rPr>
      </w:pPr>
    </w:p>
    <w:p w:rsidR="0003793F" w:rsidRPr="004C1A6D" w:rsidRDefault="0003793F" w:rsidP="00992223">
      <w:pPr>
        <w:jc w:val="both"/>
        <w:rPr>
          <w:sz w:val="22"/>
          <w:szCs w:val="22"/>
          <w:lang w:val="sr-Latn-CS"/>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3. </w:t>
      </w:r>
      <w:r w:rsidR="00F5167F" w:rsidRPr="004C1A6D">
        <w:rPr>
          <w:b/>
          <w:bCs/>
          <w:sz w:val="22"/>
          <w:szCs w:val="22"/>
        </w:rPr>
        <w:tab/>
      </w:r>
      <w:r w:rsidRPr="004C1A6D">
        <w:rPr>
          <w:b/>
          <w:bCs/>
          <w:sz w:val="22"/>
          <w:szCs w:val="22"/>
        </w:rPr>
        <w:t>FARMACEUTSKI OBLIK</w:t>
      </w:r>
      <w:r w:rsidR="009F2D23" w:rsidRPr="004C1A6D">
        <w:rPr>
          <w:b/>
          <w:bCs/>
          <w:sz w:val="22"/>
          <w:szCs w:val="22"/>
        </w:rPr>
        <w:t xml:space="preserve"> </w:t>
      </w:r>
    </w:p>
    <w:p w:rsidR="00686D43" w:rsidRPr="004C1A6D" w:rsidRDefault="00686D43" w:rsidP="00992223">
      <w:pPr>
        <w:jc w:val="both"/>
        <w:rPr>
          <w:sz w:val="22"/>
          <w:szCs w:val="22"/>
        </w:rPr>
      </w:pPr>
    </w:p>
    <w:p w:rsidR="00686D43" w:rsidRDefault="0015788C" w:rsidP="00992223">
      <w:pPr>
        <w:jc w:val="both"/>
        <w:rPr>
          <w:sz w:val="22"/>
          <w:szCs w:val="22"/>
        </w:rPr>
      </w:pPr>
      <w:r w:rsidRPr="004C1A6D">
        <w:rPr>
          <w:sz w:val="22"/>
          <w:szCs w:val="22"/>
        </w:rPr>
        <w:t xml:space="preserve">Gastrorezistentna </w:t>
      </w:r>
      <w:r w:rsidR="00686D43" w:rsidRPr="004C1A6D">
        <w:rPr>
          <w:sz w:val="22"/>
          <w:szCs w:val="22"/>
        </w:rPr>
        <w:t>tableta.</w:t>
      </w:r>
    </w:p>
    <w:p w:rsidR="004C1A6D" w:rsidRPr="004C1A6D" w:rsidRDefault="004C1A6D" w:rsidP="00992223">
      <w:pPr>
        <w:jc w:val="both"/>
        <w:rPr>
          <w:sz w:val="22"/>
          <w:szCs w:val="22"/>
        </w:rPr>
      </w:pPr>
    </w:p>
    <w:p w:rsidR="00686D43" w:rsidRPr="004C1A6D" w:rsidRDefault="00686D43" w:rsidP="00992223">
      <w:pPr>
        <w:jc w:val="both"/>
        <w:rPr>
          <w:sz w:val="22"/>
          <w:szCs w:val="22"/>
        </w:rPr>
      </w:pPr>
      <w:r w:rsidRPr="004C1A6D">
        <w:rPr>
          <w:sz w:val="22"/>
          <w:szCs w:val="22"/>
        </w:rPr>
        <w:t>Žut</w:t>
      </w:r>
      <w:r w:rsidR="00523D46" w:rsidRPr="004C1A6D">
        <w:rPr>
          <w:sz w:val="22"/>
          <w:szCs w:val="22"/>
        </w:rPr>
        <w:t>e</w:t>
      </w:r>
      <w:r w:rsidRPr="004C1A6D">
        <w:rPr>
          <w:sz w:val="22"/>
          <w:szCs w:val="22"/>
        </w:rPr>
        <w:t xml:space="preserve">, ovalne, bikonveksne, </w:t>
      </w:r>
      <w:r w:rsidR="00523D46" w:rsidRPr="004C1A6D">
        <w:rPr>
          <w:sz w:val="22"/>
          <w:szCs w:val="22"/>
        </w:rPr>
        <w:t>gastrorezistentnim filmom</w:t>
      </w:r>
      <w:r w:rsidRPr="004C1A6D">
        <w:rPr>
          <w:sz w:val="22"/>
          <w:szCs w:val="22"/>
        </w:rPr>
        <w:t xml:space="preserve"> obložene tablete, ravne sa obje strane.</w:t>
      </w:r>
    </w:p>
    <w:p w:rsidR="00411B4B" w:rsidRDefault="00411B4B" w:rsidP="00992223">
      <w:pPr>
        <w:jc w:val="both"/>
        <w:rPr>
          <w:bCs/>
          <w:sz w:val="22"/>
          <w:szCs w:val="22"/>
          <w:lang w:val="sr-Latn-CS"/>
        </w:rPr>
      </w:pPr>
    </w:p>
    <w:p w:rsidR="004C1A6D" w:rsidRPr="004C1A6D" w:rsidRDefault="004C1A6D" w:rsidP="00992223">
      <w:pPr>
        <w:jc w:val="both"/>
        <w:rPr>
          <w:bCs/>
          <w:sz w:val="22"/>
          <w:szCs w:val="22"/>
          <w:lang w:val="sr-Latn-CS"/>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4. </w:t>
      </w:r>
      <w:r w:rsidR="00480FB1" w:rsidRPr="004C1A6D">
        <w:rPr>
          <w:b/>
          <w:bCs/>
          <w:sz w:val="22"/>
          <w:szCs w:val="22"/>
        </w:rPr>
        <w:tab/>
      </w:r>
      <w:r w:rsidRPr="004C1A6D">
        <w:rPr>
          <w:b/>
          <w:bCs/>
          <w:sz w:val="22"/>
          <w:szCs w:val="22"/>
        </w:rPr>
        <w:t>KLINIČKI PODACI</w:t>
      </w:r>
    </w:p>
    <w:p w:rsidR="004C1A6D" w:rsidRPr="004C1A6D" w:rsidRDefault="004C1A6D" w:rsidP="00992223">
      <w:pPr>
        <w:tabs>
          <w:tab w:val="left" w:pos="540"/>
          <w:tab w:val="left" w:pos="569"/>
        </w:tabs>
        <w:jc w:val="both"/>
        <w:rPr>
          <w:bCs/>
          <w:sz w:val="22"/>
          <w:szCs w:val="22"/>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4.1. </w:t>
      </w:r>
      <w:r w:rsidR="00480FB1" w:rsidRPr="004C1A6D">
        <w:rPr>
          <w:b/>
          <w:bCs/>
          <w:sz w:val="22"/>
          <w:szCs w:val="22"/>
        </w:rPr>
        <w:tab/>
      </w:r>
      <w:r w:rsidRPr="004C1A6D">
        <w:rPr>
          <w:b/>
          <w:bCs/>
          <w:sz w:val="22"/>
          <w:szCs w:val="22"/>
        </w:rPr>
        <w:t>Terapijske indikacije</w:t>
      </w:r>
    </w:p>
    <w:p w:rsidR="00411B4B" w:rsidRPr="004C1A6D" w:rsidRDefault="00411B4B" w:rsidP="00992223">
      <w:pPr>
        <w:tabs>
          <w:tab w:val="left" w:pos="540"/>
          <w:tab w:val="left" w:pos="569"/>
        </w:tabs>
        <w:jc w:val="both"/>
        <w:rPr>
          <w:bCs/>
          <w:sz w:val="22"/>
          <w:szCs w:val="22"/>
        </w:rPr>
      </w:pPr>
    </w:p>
    <w:p w:rsidR="007A1FEF" w:rsidRPr="004C1A6D" w:rsidRDefault="00393F03" w:rsidP="00992223">
      <w:pPr>
        <w:jc w:val="both"/>
        <w:rPr>
          <w:sz w:val="22"/>
          <w:szCs w:val="22"/>
        </w:rPr>
      </w:pPr>
      <w:r w:rsidRPr="004C1A6D">
        <w:rPr>
          <w:sz w:val="22"/>
          <w:szCs w:val="22"/>
        </w:rPr>
        <w:t>Lijek FENIX je indikovan</w:t>
      </w:r>
      <w:r w:rsidR="007A1FEF" w:rsidRPr="004C1A6D">
        <w:rPr>
          <w:sz w:val="22"/>
          <w:szCs w:val="22"/>
        </w:rPr>
        <w:t xml:space="preserve"> za primjenu </w:t>
      </w:r>
      <w:r w:rsidR="00694EE8" w:rsidRPr="004C1A6D">
        <w:rPr>
          <w:sz w:val="22"/>
          <w:szCs w:val="22"/>
        </w:rPr>
        <w:t>kod</w:t>
      </w:r>
      <w:r w:rsidR="007A1FEF" w:rsidRPr="004C1A6D">
        <w:rPr>
          <w:sz w:val="22"/>
          <w:szCs w:val="22"/>
        </w:rPr>
        <w:t xml:space="preserve"> odraslih i adolescenata u dobi od 12 ili više godina za: </w:t>
      </w:r>
    </w:p>
    <w:p w:rsidR="007A1FEF" w:rsidRPr="004C1A6D" w:rsidRDefault="007A1FEF" w:rsidP="00992223">
      <w:pPr>
        <w:numPr>
          <w:ilvl w:val="0"/>
          <w:numId w:val="12"/>
        </w:numPr>
        <w:jc w:val="both"/>
        <w:rPr>
          <w:sz w:val="22"/>
          <w:szCs w:val="22"/>
        </w:rPr>
      </w:pPr>
      <w:r w:rsidRPr="004C1A6D">
        <w:rPr>
          <w:sz w:val="22"/>
          <w:szCs w:val="22"/>
        </w:rPr>
        <w:t xml:space="preserve">Simptomatsku gastroezofagealnu refluksnu bolest; </w:t>
      </w:r>
    </w:p>
    <w:p w:rsidR="007A1FEF" w:rsidRPr="004C1A6D" w:rsidRDefault="007A1FEF" w:rsidP="00992223">
      <w:pPr>
        <w:numPr>
          <w:ilvl w:val="0"/>
          <w:numId w:val="12"/>
        </w:numPr>
        <w:jc w:val="both"/>
        <w:rPr>
          <w:sz w:val="22"/>
          <w:szCs w:val="22"/>
        </w:rPr>
      </w:pPr>
      <w:r w:rsidRPr="004C1A6D">
        <w:rPr>
          <w:sz w:val="22"/>
          <w:szCs w:val="22"/>
        </w:rPr>
        <w:t>Dugotrajno liječenje i prevenciju relapsa refluksnog ezofagitisa.</w:t>
      </w:r>
    </w:p>
    <w:p w:rsidR="007A1FEF" w:rsidRPr="004C1A6D" w:rsidRDefault="007A1FEF" w:rsidP="00992223">
      <w:pPr>
        <w:jc w:val="both"/>
        <w:rPr>
          <w:sz w:val="22"/>
          <w:szCs w:val="22"/>
        </w:rPr>
      </w:pPr>
    </w:p>
    <w:p w:rsidR="007A1FEF" w:rsidRPr="004C1A6D" w:rsidRDefault="000C15D1" w:rsidP="00992223">
      <w:pPr>
        <w:jc w:val="both"/>
        <w:rPr>
          <w:sz w:val="22"/>
          <w:szCs w:val="22"/>
        </w:rPr>
      </w:pPr>
      <w:r w:rsidRPr="004C1A6D">
        <w:rPr>
          <w:sz w:val="22"/>
          <w:szCs w:val="22"/>
        </w:rPr>
        <w:t xml:space="preserve">Lijek </w:t>
      </w:r>
      <w:r w:rsidR="008D1A2A" w:rsidRPr="004C1A6D">
        <w:rPr>
          <w:sz w:val="22"/>
          <w:szCs w:val="22"/>
        </w:rPr>
        <w:t>FENIX je indikovan</w:t>
      </w:r>
      <w:r w:rsidR="007A1FEF" w:rsidRPr="004C1A6D">
        <w:rPr>
          <w:sz w:val="22"/>
          <w:szCs w:val="22"/>
        </w:rPr>
        <w:t xml:space="preserve"> za primjenu </w:t>
      </w:r>
      <w:r w:rsidR="00694EE8" w:rsidRPr="004C1A6D">
        <w:rPr>
          <w:sz w:val="22"/>
          <w:szCs w:val="22"/>
        </w:rPr>
        <w:t>kod</w:t>
      </w:r>
      <w:r w:rsidR="007A1FEF" w:rsidRPr="004C1A6D">
        <w:rPr>
          <w:sz w:val="22"/>
          <w:szCs w:val="22"/>
        </w:rPr>
        <w:t xml:space="preserve"> odraslih za:</w:t>
      </w:r>
    </w:p>
    <w:p w:rsidR="007A1FEF" w:rsidRPr="004C1A6D" w:rsidRDefault="007A1FEF" w:rsidP="00992223">
      <w:pPr>
        <w:numPr>
          <w:ilvl w:val="0"/>
          <w:numId w:val="13"/>
        </w:numPr>
        <w:jc w:val="both"/>
        <w:rPr>
          <w:sz w:val="22"/>
          <w:szCs w:val="22"/>
        </w:rPr>
      </w:pPr>
      <w:r w:rsidRPr="004C1A6D">
        <w:rPr>
          <w:sz w:val="22"/>
          <w:szCs w:val="22"/>
        </w:rPr>
        <w:t>Prevenciju gastroduodenalnih ulkusa uzrokovanih neselektivnim, nesteroidnim ant</w:t>
      </w:r>
      <w:r w:rsidR="00DB5A96" w:rsidRPr="004C1A6D">
        <w:rPr>
          <w:sz w:val="22"/>
          <w:szCs w:val="22"/>
        </w:rPr>
        <w:t>iinflamatornim (protiv</w:t>
      </w:r>
      <w:r w:rsidR="007B7612" w:rsidRPr="004C1A6D">
        <w:rPr>
          <w:sz w:val="22"/>
          <w:szCs w:val="22"/>
        </w:rPr>
        <w:t>upalnim) l</w:t>
      </w:r>
      <w:r w:rsidR="00A64AA9" w:rsidRPr="004C1A6D">
        <w:rPr>
          <w:sz w:val="22"/>
          <w:szCs w:val="22"/>
        </w:rPr>
        <w:t xml:space="preserve">jekovima, kod </w:t>
      </w:r>
      <w:r w:rsidRPr="004C1A6D">
        <w:rPr>
          <w:sz w:val="22"/>
          <w:szCs w:val="22"/>
        </w:rPr>
        <w:t>rizičnih pacijenata kojima je potrebno ko</w:t>
      </w:r>
      <w:r w:rsidR="00D053F5" w:rsidRPr="004C1A6D">
        <w:rPr>
          <w:sz w:val="22"/>
          <w:szCs w:val="22"/>
        </w:rPr>
        <w:t xml:space="preserve">ntinuirano </w:t>
      </w:r>
      <w:r w:rsidR="00492529" w:rsidRPr="004C1A6D">
        <w:rPr>
          <w:sz w:val="22"/>
          <w:szCs w:val="22"/>
        </w:rPr>
        <w:t xml:space="preserve">liječenje </w:t>
      </w:r>
      <w:r w:rsidR="008648BA" w:rsidRPr="004C1A6D">
        <w:rPr>
          <w:sz w:val="22"/>
          <w:szCs w:val="22"/>
        </w:rPr>
        <w:t xml:space="preserve"> takvim l</w:t>
      </w:r>
      <w:r w:rsidR="003D2542" w:rsidRPr="004C1A6D">
        <w:rPr>
          <w:sz w:val="22"/>
          <w:szCs w:val="22"/>
        </w:rPr>
        <w:t>jekovima (pogledati</w:t>
      </w:r>
      <w:r w:rsidRPr="004C1A6D">
        <w:rPr>
          <w:sz w:val="22"/>
          <w:szCs w:val="22"/>
        </w:rPr>
        <w:t xml:space="preserve"> dio 4.4.).</w:t>
      </w:r>
    </w:p>
    <w:p w:rsidR="007A1FEF" w:rsidRPr="004C1A6D" w:rsidRDefault="007A1FEF" w:rsidP="00992223">
      <w:pPr>
        <w:tabs>
          <w:tab w:val="left" w:pos="540"/>
          <w:tab w:val="left" w:pos="569"/>
        </w:tabs>
        <w:jc w:val="both"/>
        <w:rPr>
          <w:bCs/>
          <w:sz w:val="22"/>
          <w:szCs w:val="22"/>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4.2. </w:t>
      </w:r>
      <w:r w:rsidR="00480FB1" w:rsidRPr="004C1A6D">
        <w:rPr>
          <w:b/>
          <w:bCs/>
          <w:sz w:val="22"/>
          <w:szCs w:val="22"/>
        </w:rPr>
        <w:tab/>
      </w:r>
      <w:r w:rsidRPr="004C1A6D">
        <w:rPr>
          <w:b/>
          <w:bCs/>
          <w:sz w:val="22"/>
          <w:szCs w:val="22"/>
        </w:rPr>
        <w:t>Doziranje i način primjene</w:t>
      </w:r>
    </w:p>
    <w:p w:rsidR="0072020E" w:rsidRPr="004C1A6D" w:rsidRDefault="0072020E" w:rsidP="00992223">
      <w:pPr>
        <w:tabs>
          <w:tab w:val="left" w:pos="540"/>
          <w:tab w:val="left" w:pos="569"/>
        </w:tabs>
        <w:jc w:val="both"/>
        <w:rPr>
          <w:bCs/>
          <w:sz w:val="22"/>
          <w:szCs w:val="22"/>
        </w:rPr>
      </w:pPr>
    </w:p>
    <w:p w:rsidR="00452E9D" w:rsidRPr="004C1A6D" w:rsidRDefault="00452E9D" w:rsidP="00992223">
      <w:pPr>
        <w:tabs>
          <w:tab w:val="left" w:pos="540"/>
          <w:tab w:val="left" w:pos="569"/>
        </w:tabs>
        <w:jc w:val="both"/>
        <w:rPr>
          <w:bCs/>
          <w:sz w:val="22"/>
          <w:szCs w:val="22"/>
          <w:u w:val="single"/>
        </w:rPr>
      </w:pPr>
      <w:r w:rsidRPr="004C1A6D">
        <w:rPr>
          <w:bCs/>
          <w:sz w:val="22"/>
          <w:szCs w:val="22"/>
          <w:u w:val="single"/>
        </w:rPr>
        <w:t>Doziranje</w:t>
      </w:r>
    </w:p>
    <w:p w:rsidR="00694EE8" w:rsidRPr="004C1A6D" w:rsidRDefault="00694EE8" w:rsidP="00992223">
      <w:pPr>
        <w:tabs>
          <w:tab w:val="left" w:pos="540"/>
          <w:tab w:val="left" w:pos="569"/>
        </w:tabs>
        <w:jc w:val="both"/>
        <w:rPr>
          <w:bCs/>
          <w:sz w:val="22"/>
          <w:szCs w:val="22"/>
          <w:u w:val="single"/>
        </w:rPr>
      </w:pPr>
    </w:p>
    <w:p w:rsidR="00694EE8" w:rsidRPr="004C1A6D" w:rsidRDefault="00694EE8" w:rsidP="00992223">
      <w:pPr>
        <w:jc w:val="both"/>
        <w:rPr>
          <w:i/>
          <w:sz w:val="22"/>
          <w:szCs w:val="22"/>
        </w:rPr>
      </w:pPr>
      <w:r w:rsidRPr="004C1A6D">
        <w:rPr>
          <w:i/>
          <w:sz w:val="22"/>
          <w:szCs w:val="22"/>
        </w:rPr>
        <w:t xml:space="preserve">Odrasli i adolescenti u dobi od 12 ili više godina </w:t>
      </w:r>
    </w:p>
    <w:p w:rsidR="00694EE8" w:rsidRPr="004C1A6D" w:rsidRDefault="00694EE8" w:rsidP="00992223">
      <w:pPr>
        <w:jc w:val="both"/>
        <w:rPr>
          <w:i/>
          <w:sz w:val="22"/>
          <w:szCs w:val="22"/>
        </w:rPr>
      </w:pPr>
    </w:p>
    <w:p w:rsidR="00694EE8" w:rsidRPr="004C1A6D" w:rsidRDefault="00694EE8" w:rsidP="00992223">
      <w:pPr>
        <w:jc w:val="both"/>
        <w:rPr>
          <w:i/>
          <w:sz w:val="22"/>
          <w:szCs w:val="22"/>
          <w:u w:val="single"/>
        </w:rPr>
      </w:pPr>
      <w:r w:rsidRPr="004C1A6D">
        <w:rPr>
          <w:i/>
          <w:sz w:val="22"/>
          <w:szCs w:val="22"/>
          <w:u w:val="single"/>
        </w:rPr>
        <w:t>Simptomatska gastroezofagealna refluksna bolest</w:t>
      </w:r>
    </w:p>
    <w:p w:rsidR="00694EE8" w:rsidRPr="004C1A6D" w:rsidRDefault="00694EE8" w:rsidP="00992223">
      <w:pPr>
        <w:ind w:left="720"/>
        <w:jc w:val="both"/>
        <w:rPr>
          <w:sz w:val="22"/>
          <w:szCs w:val="22"/>
        </w:rPr>
      </w:pPr>
    </w:p>
    <w:p w:rsidR="00694EE8" w:rsidRPr="004C1A6D" w:rsidRDefault="00694EE8" w:rsidP="00992223">
      <w:pPr>
        <w:jc w:val="both"/>
        <w:rPr>
          <w:sz w:val="22"/>
          <w:szCs w:val="22"/>
        </w:rPr>
      </w:pPr>
      <w:r w:rsidRPr="004C1A6D">
        <w:rPr>
          <w:sz w:val="22"/>
          <w:szCs w:val="22"/>
        </w:rPr>
        <w:t>Preporučena oralna doza je jedna FENIX 20 mg tableta na dan.</w:t>
      </w:r>
      <w:r w:rsidR="00DB5A96" w:rsidRPr="004C1A6D">
        <w:rPr>
          <w:sz w:val="22"/>
          <w:szCs w:val="22"/>
        </w:rPr>
        <w:t xml:space="preserve"> Simptomatsko olakšanje uglavnom</w:t>
      </w:r>
      <w:r w:rsidRPr="004C1A6D">
        <w:rPr>
          <w:sz w:val="22"/>
          <w:szCs w:val="22"/>
        </w:rPr>
        <w:t xml:space="preserve"> se </w:t>
      </w:r>
      <w:r w:rsidR="00DB5A96" w:rsidRPr="004C1A6D">
        <w:rPr>
          <w:sz w:val="22"/>
          <w:szCs w:val="22"/>
        </w:rPr>
        <w:t>postiže u periodu</w:t>
      </w:r>
      <w:r w:rsidRPr="004C1A6D">
        <w:rPr>
          <w:sz w:val="22"/>
          <w:szCs w:val="22"/>
        </w:rPr>
        <w:t xml:space="preserve"> od 2 do 4 sedmice. Ako to nije dovoljno, olakšanj</w:t>
      </w:r>
      <w:r w:rsidR="00DB5A96" w:rsidRPr="004C1A6D">
        <w:rPr>
          <w:sz w:val="22"/>
          <w:szCs w:val="22"/>
        </w:rPr>
        <w:t>e simptoma obično nastupa u periodu</w:t>
      </w:r>
      <w:r w:rsidRPr="004C1A6D">
        <w:rPr>
          <w:sz w:val="22"/>
          <w:szCs w:val="22"/>
        </w:rPr>
        <w:t xml:space="preserve"> od dodatne 4 sedmice. Kada se postigne olakšanje simptoma, ponovlje</w:t>
      </w:r>
      <w:r w:rsidR="00DB5A96" w:rsidRPr="004C1A6D">
        <w:rPr>
          <w:sz w:val="22"/>
          <w:szCs w:val="22"/>
        </w:rPr>
        <w:t>ni simptomi mogu da se kontrolišu</w:t>
      </w:r>
      <w:r w:rsidRPr="004C1A6D">
        <w:rPr>
          <w:sz w:val="22"/>
          <w:szCs w:val="22"/>
        </w:rPr>
        <w:t xml:space="preserve"> primjenom „</w:t>
      </w:r>
      <w:r w:rsidRPr="004C1A6D">
        <w:rPr>
          <w:i/>
          <w:sz w:val="22"/>
          <w:szCs w:val="22"/>
        </w:rPr>
        <w:t>on-demand”</w:t>
      </w:r>
      <w:r w:rsidRPr="004C1A6D">
        <w:rPr>
          <w:sz w:val="22"/>
          <w:szCs w:val="22"/>
        </w:rPr>
        <w:t xml:space="preserve"> režima doziranja od 20 mg pantoprazola jedanput na dan, uzimanjem jedne tablete prema potrebi. Prebacivanje na kontinui</w:t>
      </w:r>
      <w:r w:rsidR="00A40E1A" w:rsidRPr="004C1A6D">
        <w:rPr>
          <w:sz w:val="22"/>
          <w:szCs w:val="22"/>
        </w:rPr>
        <w:t>ranu terapiju može da se razmotri</w:t>
      </w:r>
      <w:r w:rsidRPr="004C1A6D">
        <w:rPr>
          <w:sz w:val="22"/>
          <w:szCs w:val="22"/>
        </w:rPr>
        <w:t xml:space="preserve"> u slučaju kada se zadovoljavajuća kontrola simptoma ne može održati liječenjem prema potrebi („</w:t>
      </w:r>
      <w:r w:rsidRPr="004C1A6D">
        <w:rPr>
          <w:i/>
          <w:sz w:val="22"/>
          <w:szCs w:val="22"/>
        </w:rPr>
        <w:t>on-demand”</w:t>
      </w:r>
      <w:r w:rsidRPr="004C1A6D">
        <w:rPr>
          <w:sz w:val="22"/>
          <w:szCs w:val="22"/>
        </w:rPr>
        <w:t>).</w:t>
      </w:r>
    </w:p>
    <w:p w:rsidR="00694EE8" w:rsidRPr="004C1A6D" w:rsidRDefault="00694EE8" w:rsidP="00992223">
      <w:pPr>
        <w:jc w:val="both"/>
        <w:rPr>
          <w:b/>
          <w:sz w:val="22"/>
          <w:szCs w:val="22"/>
        </w:rPr>
      </w:pPr>
    </w:p>
    <w:p w:rsidR="004C1A6D" w:rsidRDefault="004C1A6D" w:rsidP="00992223">
      <w:pPr>
        <w:jc w:val="both"/>
        <w:rPr>
          <w:i/>
          <w:sz w:val="22"/>
          <w:szCs w:val="22"/>
          <w:u w:val="single"/>
        </w:rPr>
      </w:pPr>
    </w:p>
    <w:p w:rsidR="00694EE8" w:rsidRPr="004C1A6D" w:rsidRDefault="00694EE8" w:rsidP="00992223">
      <w:pPr>
        <w:jc w:val="both"/>
        <w:rPr>
          <w:i/>
          <w:sz w:val="22"/>
          <w:szCs w:val="22"/>
          <w:u w:val="single"/>
        </w:rPr>
      </w:pPr>
      <w:r w:rsidRPr="004C1A6D">
        <w:rPr>
          <w:i/>
          <w:sz w:val="22"/>
          <w:szCs w:val="22"/>
          <w:u w:val="single"/>
        </w:rPr>
        <w:lastRenderedPageBreak/>
        <w:t>Dugotrajno liječenje i prevencija relapsa refluksnog ezofagitisa</w:t>
      </w:r>
    </w:p>
    <w:p w:rsidR="00694EE8" w:rsidRPr="004C1A6D" w:rsidRDefault="00694EE8" w:rsidP="00992223">
      <w:pPr>
        <w:ind w:left="720"/>
        <w:jc w:val="both"/>
        <w:rPr>
          <w:sz w:val="22"/>
          <w:szCs w:val="22"/>
        </w:rPr>
      </w:pPr>
    </w:p>
    <w:p w:rsidR="00694EE8" w:rsidRPr="004C1A6D" w:rsidRDefault="00694EE8" w:rsidP="00992223">
      <w:pPr>
        <w:jc w:val="both"/>
        <w:rPr>
          <w:sz w:val="22"/>
          <w:szCs w:val="22"/>
        </w:rPr>
      </w:pPr>
      <w:r w:rsidRPr="004C1A6D">
        <w:rPr>
          <w:sz w:val="22"/>
          <w:szCs w:val="22"/>
        </w:rPr>
        <w:t>Za dugotrajno liječenje, kao doza održavanja preporučuje se jedna FENIX 20 mg tableta na dan. Ako dođe do pojav</w:t>
      </w:r>
      <w:r w:rsidR="00800310" w:rsidRPr="004C1A6D">
        <w:rPr>
          <w:sz w:val="22"/>
          <w:szCs w:val="22"/>
        </w:rPr>
        <w:t xml:space="preserve">e relapsa, doza  može da se </w:t>
      </w:r>
      <w:r w:rsidR="00A40E1A" w:rsidRPr="004C1A6D">
        <w:rPr>
          <w:sz w:val="22"/>
          <w:szCs w:val="22"/>
        </w:rPr>
        <w:t>poveća</w:t>
      </w:r>
      <w:r w:rsidRPr="004C1A6D">
        <w:rPr>
          <w:sz w:val="22"/>
          <w:szCs w:val="22"/>
        </w:rPr>
        <w:t xml:space="preserve"> na 40 mg pantoprazola na dan (za ovo doziranje dostupne su FENIX 40 mg tablete). </w:t>
      </w:r>
      <w:r w:rsidR="00A40E1A" w:rsidRPr="004C1A6D">
        <w:rPr>
          <w:sz w:val="22"/>
          <w:szCs w:val="22"/>
        </w:rPr>
        <w:t xml:space="preserve">Nakon saniranja relapsa, doza </w:t>
      </w:r>
      <w:r w:rsidRPr="004C1A6D">
        <w:rPr>
          <w:sz w:val="22"/>
          <w:szCs w:val="22"/>
        </w:rPr>
        <w:t xml:space="preserve"> može</w:t>
      </w:r>
      <w:r w:rsidR="00BC07AB" w:rsidRPr="004C1A6D">
        <w:rPr>
          <w:sz w:val="22"/>
          <w:szCs w:val="22"/>
        </w:rPr>
        <w:t xml:space="preserve"> da se</w:t>
      </w:r>
      <w:r w:rsidR="00A40E1A" w:rsidRPr="004C1A6D">
        <w:rPr>
          <w:sz w:val="22"/>
          <w:szCs w:val="22"/>
        </w:rPr>
        <w:t xml:space="preserve"> ponovo smanji</w:t>
      </w:r>
      <w:r w:rsidRPr="004C1A6D">
        <w:rPr>
          <w:sz w:val="22"/>
          <w:szCs w:val="22"/>
        </w:rPr>
        <w:t xml:space="preserve"> na jednu FENIX 20 mg tabletu.</w:t>
      </w:r>
    </w:p>
    <w:p w:rsidR="00694EE8" w:rsidRPr="004C1A6D" w:rsidRDefault="00694EE8" w:rsidP="00992223">
      <w:pPr>
        <w:jc w:val="both"/>
        <w:rPr>
          <w:sz w:val="22"/>
          <w:szCs w:val="22"/>
        </w:rPr>
      </w:pPr>
    </w:p>
    <w:p w:rsidR="00F7066B" w:rsidRPr="004C1A6D" w:rsidRDefault="00694EE8" w:rsidP="00992223">
      <w:pPr>
        <w:jc w:val="both"/>
        <w:rPr>
          <w:i/>
          <w:sz w:val="22"/>
          <w:szCs w:val="22"/>
        </w:rPr>
      </w:pPr>
      <w:r w:rsidRPr="004C1A6D">
        <w:rPr>
          <w:i/>
          <w:sz w:val="22"/>
          <w:szCs w:val="22"/>
        </w:rPr>
        <w:t xml:space="preserve">Odrasli </w:t>
      </w:r>
    </w:p>
    <w:p w:rsidR="00E91543" w:rsidRPr="004C1A6D" w:rsidRDefault="00E91543" w:rsidP="00992223">
      <w:pPr>
        <w:jc w:val="both"/>
        <w:rPr>
          <w:i/>
          <w:sz w:val="22"/>
          <w:szCs w:val="22"/>
        </w:rPr>
      </w:pPr>
    </w:p>
    <w:p w:rsidR="00694EE8" w:rsidRPr="004C1A6D" w:rsidRDefault="00A40E1A" w:rsidP="00992223">
      <w:pPr>
        <w:jc w:val="both"/>
        <w:rPr>
          <w:sz w:val="22"/>
          <w:szCs w:val="22"/>
        </w:rPr>
      </w:pPr>
      <w:r w:rsidRPr="004C1A6D">
        <w:rPr>
          <w:sz w:val="22"/>
          <w:szCs w:val="22"/>
        </w:rPr>
        <w:t>Prevencija gastroduodenal</w:t>
      </w:r>
      <w:r w:rsidR="00694EE8" w:rsidRPr="004C1A6D">
        <w:rPr>
          <w:sz w:val="22"/>
          <w:szCs w:val="22"/>
        </w:rPr>
        <w:t>nih ulkusa uzrokovanih neselektivnim, nesteroidnim ant</w:t>
      </w:r>
      <w:r w:rsidRPr="004C1A6D">
        <w:rPr>
          <w:sz w:val="22"/>
          <w:szCs w:val="22"/>
        </w:rPr>
        <w:t>iinflamatornim (protiv</w:t>
      </w:r>
      <w:r w:rsidR="00094C78" w:rsidRPr="004C1A6D">
        <w:rPr>
          <w:sz w:val="22"/>
          <w:szCs w:val="22"/>
        </w:rPr>
        <w:t>upalnim) l</w:t>
      </w:r>
      <w:r w:rsidR="00E91543" w:rsidRPr="004C1A6D">
        <w:rPr>
          <w:sz w:val="22"/>
          <w:szCs w:val="22"/>
        </w:rPr>
        <w:t>jekovima, kod</w:t>
      </w:r>
      <w:r w:rsidR="00694EE8" w:rsidRPr="004C1A6D">
        <w:rPr>
          <w:sz w:val="22"/>
          <w:szCs w:val="22"/>
        </w:rPr>
        <w:t xml:space="preserve"> rizičnih pacijenata kojima je potrebno ko</w:t>
      </w:r>
      <w:r w:rsidR="00C77EF3" w:rsidRPr="004C1A6D">
        <w:rPr>
          <w:sz w:val="22"/>
          <w:szCs w:val="22"/>
        </w:rPr>
        <w:t>ntinuirano liječenje</w:t>
      </w:r>
      <w:r w:rsidR="00052635" w:rsidRPr="004C1A6D">
        <w:rPr>
          <w:sz w:val="22"/>
          <w:szCs w:val="22"/>
        </w:rPr>
        <w:t xml:space="preserve"> takvim l</w:t>
      </w:r>
      <w:r w:rsidR="00694EE8" w:rsidRPr="004C1A6D">
        <w:rPr>
          <w:sz w:val="22"/>
          <w:szCs w:val="22"/>
        </w:rPr>
        <w:t>jekovima</w:t>
      </w:r>
      <w:r w:rsidR="00C77EF3" w:rsidRPr="004C1A6D">
        <w:rPr>
          <w:sz w:val="22"/>
          <w:szCs w:val="22"/>
        </w:rPr>
        <w:t>.</w:t>
      </w:r>
    </w:p>
    <w:p w:rsidR="00694EE8" w:rsidRPr="004C1A6D" w:rsidRDefault="00694EE8" w:rsidP="00992223">
      <w:pPr>
        <w:jc w:val="both"/>
        <w:rPr>
          <w:sz w:val="22"/>
          <w:szCs w:val="22"/>
        </w:rPr>
      </w:pPr>
      <w:r w:rsidRPr="004C1A6D">
        <w:rPr>
          <w:sz w:val="22"/>
          <w:szCs w:val="22"/>
        </w:rPr>
        <w:t>Preporučena oralna doza je jedna FENIX 20 mg tableta na dan.</w:t>
      </w:r>
    </w:p>
    <w:p w:rsidR="00EE7708" w:rsidRPr="004C1A6D" w:rsidRDefault="00EE7708" w:rsidP="00992223">
      <w:pPr>
        <w:jc w:val="both"/>
        <w:rPr>
          <w:sz w:val="22"/>
          <w:szCs w:val="22"/>
        </w:rPr>
      </w:pPr>
    </w:p>
    <w:p w:rsidR="00694EE8" w:rsidRPr="004C1A6D" w:rsidRDefault="00EE7708" w:rsidP="00992223">
      <w:pPr>
        <w:jc w:val="both"/>
        <w:rPr>
          <w:sz w:val="22"/>
          <w:szCs w:val="22"/>
          <w:u w:val="single"/>
        </w:rPr>
      </w:pPr>
      <w:r w:rsidRPr="004C1A6D">
        <w:rPr>
          <w:sz w:val="22"/>
          <w:szCs w:val="22"/>
          <w:u w:val="single"/>
        </w:rPr>
        <w:t>Posebne populacije</w:t>
      </w:r>
    </w:p>
    <w:p w:rsidR="008D27CE" w:rsidRPr="004C1A6D" w:rsidRDefault="008D27CE" w:rsidP="00992223">
      <w:pPr>
        <w:jc w:val="both"/>
        <w:rPr>
          <w:sz w:val="22"/>
          <w:szCs w:val="22"/>
          <w:u w:val="single"/>
        </w:rPr>
      </w:pPr>
    </w:p>
    <w:p w:rsidR="00694EE8" w:rsidRPr="004C1A6D" w:rsidRDefault="00A40E1A" w:rsidP="00992223">
      <w:pPr>
        <w:jc w:val="both"/>
        <w:rPr>
          <w:i/>
          <w:sz w:val="22"/>
          <w:szCs w:val="22"/>
        </w:rPr>
      </w:pPr>
      <w:r w:rsidRPr="004C1A6D">
        <w:rPr>
          <w:i/>
          <w:sz w:val="22"/>
          <w:szCs w:val="22"/>
        </w:rPr>
        <w:t>Pacijenti s</w:t>
      </w:r>
      <w:r w:rsidR="00694EE8" w:rsidRPr="004C1A6D">
        <w:rPr>
          <w:i/>
          <w:sz w:val="22"/>
          <w:szCs w:val="22"/>
        </w:rPr>
        <w:t xml:space="preserve"> oštećenjem</w:t>
      </w:r>
      <w:r w:rsidRPr="004C1A6D">
        <w:rPr>
          <w:i/>
          <w:sz w:val="22"/>
          <w:szCs w:val="22"/>
        </w:rPr>
        <w:t xml:space="preserve"> jetre</w:t>
      </w:r>
    </w:p>
    <w:p w:rsidR="00D71865" w:rsidRPr="004C1A6D" w:rsidRDefault="00D71865" w:rsidP="00992223">
      <w:pPr>
        <w:jc w:val="both"/>
        <w:rPr>
          <w:i/>
          <w:sz w:val="22"/>
          <w:szCs w:val="22"/>
        </w:rPr>
      </w:pPr>
    </w:p>
    <w:p w:rsidR="00694EE8" w:rsidRPr="004C1A6D" w:rsidRDefault="001800CB" w:rsidP="00992223">
      <w:pPr>
        <w:jc w:val="both"/>
        <w:rPr>
          <w:sz w:val="22"/>
          <w:szCs w:val="22"/>
        </w:rPr>
      </w:pPr>
      <w:r w:rsidRPr="004C1A6D">
        <w:rPr>
          <w:sz w:val="22"/>
          <w:szCs w:val="22"/>
        </w:rPr>
        <w:t>Kod</w:t>
      </w:r>
      <w:r w:rsidR="00A40E1A" w:rsidRPr="004C1A6D">
        <w:rPr>
          <w:sz w:val="22"/>
          <w:szCs w:val="22"/>
        </w:rPr>
        <w:t xml:space="preserve"> pacijenata s teškim</w:t>
      </w:r>
      <w:r w:rsidR="00694EE8" w:rsidRPr="004C1A6D">
        <w:rPr>
          <w:sz w:val="22"/>
          <w:szCs w:val="22"/>
        </w:rPr>
        <w:t xml:space="preserve"> oštećenjem </w:t>
      </w:r>
      <w:r w:rsidR="00A40E1A" w:rsidRPr="004C1A6D">
        <w:rPr>
          <w:sz w:val="22"/>
          <w:szCs w:val="22"/>
        </w:rPr>
        <w:t xml:space="preserve">jetre </w:t>
      </w:r>
      <w:r w:rsidR="00694EE8" w:rsidRPr="004C1A6D">
        <w:rPr>
          <w:sz w:val="22"/>
          <w:szCs w:val="22"/>
        </w:rPr>
        <w:t>ne bi trebalo premašiti dnevnu do</w:t>
      </w:r>
      <w:r w:rsidR="007B38E0" w:rsidRPr="004C1A6D">
        <w:rPr>
          <w:sz w:val="22"/>
          <w:szCs w:val="22"/>
        </w:rPr>
        <w:t xml:space="preserve">zu od 20 mg pantoprazola (pogledati </w:t>
      </w:r>
      <w:r w:rsidR="00694EE8" w:rsidRPr="004C1A6D">
        <w:rPr>
          <w:sz w:val="22"/>
          <w:szCs w:val="22"/>
        </w:rPr>
        <w:t>dio 4.4.).</w:t>
      </w:r>
    </w:p>
    <w:p w:rsidR="00694EE8" w:rsidRPr="004C1A6D" w:rsidRDefault="00694EE8" w:rsidP="00992223">
      <w:pPr>
        <w:jc w:val="both"/>
        <w:rPr>
          <w:b/>
          <w:i/>
          <w:sz w:val="22"/>
          <w:szCs w:val="22"/>
        </w:rPr>
      </w:pPr>
    </w:p>
    <w:p w:rsidR="00694EE8" w:rsidRPr="004C1A6D" w:rsidRDefault="00A40E1A" w:rsidP="00992223">
      <w:pPr>
        <w:jc w:val="both"/>
        <w:rPr>
          <w:i/>
          <w:sz w:val="22"/>
          <w:szCs w:val="22"/>
        </w:rPr>
      </w:pPr>
      <w:r w:rsidRPr="004C1A6D">
        <w:rPr>
          <w:i/>
          <w:sz w:val="22"/>
          <w:szCs w:val="22"/>
        </w:rPr>
        <w:t>Pacijenti s</w:t>
      </w:r>
      <w:r w:rsidR="00694EE8" w:rsidRPr="004C1A6D">
        <w:rPr>
          <w:i/>
          <w:sz w:val="22"/>
          <w:szCs w:val="22"/>
        </w:rPr>
        <w:t xml:space="preserve"> oštećenjem</w:t>
      </w:r>
      <w:r w:rsidRPr="004C1A6D">
        <w:rPr>
          <w:i/>
          <w:sz w:val="22"/>
          <w:szCs w:val="22"/>
        </w:rPr>
        <w:t xml:space="preserve"> bubrega</w:t>
      </w:r>
    </w:p>
    <w:p w:rsidR="00D71865" w:rsidRPr="004C1A6D" w:rsidRDefault="00D71865" w:rsidP="00992223">
      <w:pPr>
        <w:jc w:val="both"/>
        <w:rPr>
          <w:i/>
          <w:sz w:val="22"/>
          <w:szCs w:val="22"/>
        </w:rPr>
      </w:pPr>
    </w:p>
    <w:p w:rsidR="00694EE8" w:rsidRPr="004C1A6D" w:rsidRDefault="00694EE8" w:rsidP="00992223">
      <w:pPr>
        <w:jc w:val="both"/>
        <w:rPr>
          <w:sz w:val="22"/>
          <w:szCs w:val="22"/>
        </w:rPr>
      </w:pPr>
      <w:r w:rsidRPr="004C1A6D">
        <w:rPr>
          <w:sz w:val="22"/>
          <w:szCs w:val="22"/>
        </w:rPr>
        <w:t>Pri</w:t>
      </w:r>
      <w:r w:rsidR="008829A9" w:rsidRPr="004C1A6D">
        <w:rPr>
          <w:sz w:val="22"/>
          <w:szCs w:val="22"/>
        </w:rPr>
        <w:t>lagođavanje doze nije potrebno kod</w:t>
      </w:r>
      <w:r w:rsidRPr="004C1A6D">
        <w:rPr>
          <w:sz w:val="22"/>
          <w:szCs w:val="22"/>
        </w:rPr>
        <w:t xml:space="preserve"> pacijenata s ošteće</w:t>
      </w:r>
      <w:r w:rsidR="008120C3" w:rsidRPr="004C1A6D">
        <w:rPr>
          <w:sz w:val="22"/>
          <w:szCs w:val="22"/>
        </w:rPr>
        <w:t>nom bubrežnom funkcijom (pogledati</w:t>
      </w:r>
      <w:r w:rsidRPr="004C1A6D">
        <w:rPr>
          <w:sz w:val="22"/>
          <w:szCs w:val="22"/>
        </w:rPr>
        <w:t xml:space="preserve"> dio 5.2.).</w:t>
      </w:r>
    </w:p>
    <w:p w:rsidR="00694EE8" w:rsidRPr="004C1A6D" w:rsidRDefault="00694EE8" w:rsidP="00992223">
      <w:pPr>
        <w:jc w:val="both"/>
        <w:rPr>
          <w:i/>
          <w:sz w:val="22"/>
          <w:szCs w:val="22"/>
        </w:rPr>
      </w:pPr>
    </w:p>
    <w:p w:rsidR="00694EE8" w:rsidRPr="004C1A6D" w:rsidRDefault="00694EE8" w:rsidP="00992223">
      <w:pPr>
        <w:jc w:val="both"/>
        <w:rPr>
          <w:i/>
          <w:sz w:val="22"/>
          <w:szCs w:val="22"/>
        </w:rPr>
      </w:pPr>
      <w:r w:rsidRPr="004C1A6D">
        <w:rPr>
          <w:i/>
          <w:sz w:val="22"/>
          <w:szCs w:val="22"/>
        </w:rPr>
        <w:t>Starije osobe</w:t>
      </w:r>
    </w:p>
    <w:p w:rsidR="005E0547" w:rsidRPr="004C1A6D" w:rsidRDefault="005E0547" w:rsidP="00992223">
      <w:pPr>
        <w:jc w:val="both"/>
        <w:rPr>
          <w:i/>
          <w:sz w:val="22"/>
          <w:szCs w:val="22"/>
        </w:rPr>
      </w:pPr>
    </w:p>
    <w:p w:rsidR="00694EE8" w:rsidRPr="004C1A6D" w:rsidRDefault="00694EE8" w:rsidP="00992223">
      <w:pPr>
        <w:jc w:val="both"/>
        <w:rPr>
          <w:sz w:val="22"/>
          <w:szCs w:val="22"/>
        </w:rPr>
      </w:pPr>
      <w:r w:rsidRPr="004C1A6D">
        <w:rPr>
          <w:sz w:val="22"/>
          <w:szCs w:val="22"/>
        </w:rPr>
        <w:t>Prilagođavanje doze nije po</w:t>
      </w:r>
      <w:r w:rsidR="005E0547" w:rsidRPr="004C1A6D">
        <w:rPr>
          <w:sz w:val="22"/>
          <w:szCs w:val="22"/>
        </w:rPr>
        <w:t>trebno kod</w:t>
      </w:r>
      <w:r w:rsidR="003D1DD1" w:rsidRPr="004C1A6D">
        <w:rPr>
          <w:sz w:val="22"/>
          <w:szCs w:val="22"/>
        </w:rPr>
        <w:t xml:space="preserve"> starijih osoba (pogledati</w:t>
      </w:r>
      <w:r w:rsidRPr="004C1A6D">
        <w:rPr>
          <w:sz w:val="22"/>
          <w:szCs w:val="22"/>
        </w:rPr>
        <w:t xml:space="preserve"> dio 5.2.).</w:t>
      </w:r>
    </w:p>
    <w:p w:rsidR="00694EE8" w:rsidRPr="004C1A6D" w:rsidRDefault="00694EE8" w:rsidP="00992223">
      <w:pPr>
        <w:jc w:val="both"/>
        <w:rPr>
          <w:b/>
          <w:i/>
          <w:sz w:val="22"/>
          <w:szCs w:val="22"/>
          <w:u w:val="single"/>
        </w:rPr>
      </w:pPr>
    </w:p>
    <w:p w:rsidR="00694EE8" w:rsidRPr="004C1A6D" w:rsidRDefault="00694EE8" w:rsidP="00992223">
      <w:pPr>
        <w:jc w:val="both"/>
        <w:rPr>
          <w:i/>
          <w:sz w:val="22"/>
          <w:szCs w:val="22"/>
        </w:rPr>
      </w:pPr>
      <w:r w:rsidRPr="004C1A6D">
        <w:rPr>
          <w:i/>
          <w:sz w:val="22"/>
          <w:szCs w:val="22"/>
        </w:rPr>
        <w:t>Pedijatrijska populacija</w:t>
      </w:r>
    </w:p>
    <w:p w:rsidR="00342CB5" w:rsidRPr="004C1A6D" w:rsidRDefault="00342CB5" w:rsidP="00992223">
      <w:pPr>
        <w:jc w:val="both"/>
        <w:rPr>
          <w:sz w:val="22"/>
          <w:szCs w:val="22"/>
        </w:rPr>
      </w:pPr>
    </w:p>
    <w:p w:rsidR="00694EE8" w:rsidRPr="004C1A6D" w:rsidRDefault="00342CB5" w:rsidP="00992223">
      <w:pPr>
        <w:jc w:val="both"/>
        <w:rPr>
          <w:sz w:val="22"/>
          <w:szCs w:val="22"/>
        </w:rPr>
      </w:pPr>
      <w:r w:rsidRPr="004C1A6D">
        <w:rPr>
          <w:sz w:val="22"/>
          <w:szCs w:val="22"/>
        </w:rPr>
        <w:t xml:space="preserve">Lijek </w:t>
      </w:r>
      <w:r w:rsidR="00694EE8" w:rsidRPr="004C1A6D">
        <w:rPr>
          <w:sz w:val="22"/>
          <w:szCs w:val="22"/>
        </w:rPr>
        <w:t>FENIX</w:t>
      </w:r>
      <w:r w:rsidR="00390570" w:rsidRPr="004C1A6D">
        <w:rPr>
          <w:sz w:val="22"/>
          <w:szCs w:val="22"/>
        </w:rPr>
        <w:t xml:space="preserve"> se ne preporučuje za primjenu kod</w:t>
      </w:r>
      <w:r w:rsidR="00694EE8" w:rsidRPr="004C1A6D">
        <w:rPr>
          <w:sz w:val="22"/>
          <w:szCs w:val="22"/>
        </w:rPr>
        <w:t xml:space="preserve"> djece mlađe od 12 godina zbog li</w:t>
      </w:r>
      <w:r w:rsidR="007002F1" w:rsidRPr="004C1A6D">
        <w:rPr>
          <w:sz w:val="22"/>
          <w:szCs w:val="22"/>
        </w:rPr>
        <w:t xml:space="preserve">mitiranih podataka o bezbjednosti </w:t>
      </w:r>
      <w:r w:rsidR="00694EE8" w:rsidRPr="004C1A6D">
        <w:rPr>
          <w:sz w:val="22"/>
          <w:szCs w:val="22"/>
        </w:rPr>
        <w:t>i efikasn</w:t>
      </w:r>
      <w:r w:rsidR="00BE7467" w:rsidRPr="004C1A6D">
        <w:rPr>
          <w:sz w:val="22"/>
          <w:szCs w:val="22"/>
        </w:rPr>
        <w:t>osti u toj dobnoj grupi (pogledati</w:t>
      </w:r>
      <w:r w:rsidR="00694EE8" w:rsidRPr="004C1A6D">
        <w:rPr>
          <w:sz w:val="22"/>
          <w:szCs w:val="22"/>
        </w:rPr>
        <w:t xml:space="preserve"> dio 5.2.). </w:t>
      </w:r>
    </w:p>
    <w:p w:rsidR="00694EE8" w:rsidRPr="004C1A6D" w:rsidRDefault="00694EE8" w:rsidP="00992223">
      <w:pPr>
        <w:jc w:val="both"/>
        <w:rPr>
          <w:b/>
          <w:i/>
          <w:sz w:val="22"/>
          <w:szCs w:val="22"/>
          <w:u w:val="single"/>
        </w:rPr>
      </w:pPr>
    </w:p>
    <w:p w:rsidR="00694EE8" w:rsidRPr="004C1A6D" w:rsidRDefault="00694EE8" w:rsidP="00992223">
      <w:pPr>
        <w:jc w:val="both"/>
        <w:rPr>
          <w:sz w:val="22"/>
          <w:szCs w:val="22"/>
          <w:u w:val="single"/>
        </w:rPr>
      </w:pPr>
      <w:r w:rsidRPr="004C1A6D">
        <w:rPr>
          <w:sz w:val="22"/>
          <w:szCs w:val="22"/>
          <w:u w:val="single"/>
        </w:rPr>
        <w:t>Način primjene</w:t>
      </w:r>
    </w:p>
    <w:p w:rsidR="00694EE8" w:rsidRPr="004C1A6D" w:rsidRDefault="00694EE8" w:rsidP="00992223">
      <w:pPr>
        <w:jc w:val="both"/>
        <w:rPr>
          <w:sz w:val="22"/>
          <w:szCs w:val="22"/>
        </w:rPr>
      </w:pPr>
    </w:p>
    <w:p w:rsidR="00694EE8" w:rsidRPr="004C1A6D" w:rsidRDefault="00694EE8" w:rsidP="00992223">
      <w:pPr>
        <w:jc w:val="both"/>
        <w:rPr>
          <w:sz w:val="22"/>
          <w:szCs w:val="22"/>
        </w:rPr>
      </w:pPr>
      <w:r w:rsidRPr="004C1A6D">
        <w:rPr>
          <w:sz w:val="22"/>
          <w:szCs w:val="22"/>
        </w:rPr>
        <w:t>Oralna primjena.</w:t>
      </w:r>
    </w:p>
    <w:p w:rsidR="00694EE8" w:rsidRPr="004C1A6D" w:rsidRDefault="00694EE8" w:rsidP="00992223">
      <w:pPr>
        <w:jc w:val="both"/>
        <w:rPr>
          <w:sz w:val="22"/>
          <w:szCs w:val="22"/>
        </w:rPr>
      </w:pPr>
      <w:r w:rsidRPr="004C1A6D">
        <w:rPr>
          <w:sz w:val="22"/>
          <w:szCs w:val="22"/>
        </w:rPr>
        <w:t xml:space="preserve">Tablete se ne smiju žvakati niti lomiti, nego ih treba progutati cijele s nešto vode, jedan sat prije obroka. </w:t>
      </w:r>
    </w:p>
    <w:p w:rsidR="00694EE8" w:rsidRPr="004C1A6D" w:rsidRDefault="00694EE8" w:rsidP="00992223">
      <w:pPr>
        <w:tabs>
          <w:tab w:val="left" w:pos="540"/>
          <w:tab w:val="left" w:pos="569"/>
        </w:tabs>
        <w:jc w:val="both"/>
        <w:rPr>
          <w:bCs/>
          <w:sz w:val="22"/>
          <w:szCs w:val="22"/>
          <w:u w:val="single"/>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4.3. </w:t>
      </w:r>
      <w:r w:rsidR="00480FB1" w:rsidRPr="004C1A6D">
        <w:rPr>
          <w:b/>
          <w:bCs/>
          <w:sz w:val="22"/>
          <w:szCs w:val="22"/>
        </w:rPr>
        <w:tab/>
      </w:r>
      <w:r w:rsidRPr="004C1A6D">
        <w:rPr>
          <w:b/>
          <w:bCs/>
          <w:sz w:val="22"/>
          <w:szCs w:val="22"/>
        </w:rPr>
        <w:t>Kontraindikacije</w:t>
      </w:r>
    </w:p>
    <w:p w:rsidR="00694EE8" w:rsidRPr="004C1A6D" w:rsidRDefault="00694EE8" w:rsidP="00992223">
      <w:pPr>
        <w:tabs>
          <w:tab w:val="left" w:pos="540"/>
          <w:tab w:val="left" w:pos="569"/>
        </w:tabs>
        <w:jc w:val="both"/>
        <w:rPr>
          <w:b/>
          <w:bCs/>
          <w:sz w:val="22"/>
          <w:szCs w:val="22"/>
        </w:rPr>
      </w:pPr>
    </w:p>
    <w:p w:rsidR="00694EE8" w:rsidRPr="004C1A6D" w:rsidRDefault="00694EE8" w:rsidP="00992223">
      <w:pPr>
        <w:jc w:val="both"/>
        <w:rPr>
          <w:sz w:val="22"/>
          <w:szCs w:val="22"/>
        </w:rPr>
      </w:pPr>
      <w:r w:rsidRPr="004C1A6D">
        <w:rPr>
          <w:sz w:val="22"/>
          <w:szCs w:val="22"/>
        </w:rPr>
        <w:t>Preosjetljivost na aktivnu supstancu, supstituirane benzimidazole, ili na bilo koju od pomoćnih supstanci navedenih u dijelu 6.1.</w:t>
      </w:r>
    </w:p>
    <w:p w:rsidR="0072020E" w:rsidRPr="004C1A6D" w:rsidRDefault="0072020E" w:rsidP="00992223">
      <w:pPr>
        <w:tabs>
          <w:tab w:val="left" w:pos="540"/>
          <w:tab w:val="left" w:pos="569"/>
        </w:tabs>
        <w:jc w:val="both"/>
        <w:rPr>
          <w:bCs/>
          <w:sz w:val="22"/>
          <w:szCs w:val="22"/>
        </w:rPr>
      </w:pPr>
    </w:p>
    <w:p w:rsidR="00411B4B" w:rsidRPr="004C1A6D" w:rsidRDefault="00411B4B" w:rsidP="00992223">
      <w:pPr>
        <w:tabs>
          <w:tab w:val="left" w:pos="540"/>
          <w:tab w:val="left" w:pos="569"/>
        </w:tabs>
        <w:jc w:val="both"/>
        <w:rPr>
          <w:b/>
          <w:bCs/>
          <w:sz w:val="22"/>
          <w:szCs w:val="22"/>
        </w:rPr>
      </w:pPr>
      <w:r w:rsidRPr="004C1A6D">
        <w:rPr>
          <w:b/>
          <w:bCs/>
          <w:sz w:val="22"/>
          <w:szCs w:val="22"/>
        </w:rPr>
        <w:t xml:space="preserve">4.4. </w:t>
      </w:r>
      <w:r w:rsidR="00480FB1" w:rsidRPr="004C1A6D">
        <w:rPr>
          <w:b/>
          <w:bCs/>
          <w:sz w:val="22"/>
          <w:szCs w:val="22"/>
        </w:rPr>
        <w:tab/>
      </w:r>
      <w:r w:rsidRPr="004C1A6D">
        <w:rPr>
          <w:b/>
          <w:bCs/>
          <w:sz w:val="22"/>
          <w:szCs w:val="22"/>
        </w:rPr>
        <w:t>Posebna upozorenja i mjere opreza pri upotrebi lijeka</w:t>
      </w:r>
    </w:p>
    <w:p w:rsidR="0072020E" w:rsidRPr="004C1A6D" w:rsidRDefault="0072020E" w:rsidP="00992223">
      <w:pPr>
        <w:tabs>
          <w:tab w:val="left" w:pos="540"/>
          <w:tab w:val="left" w:pos="569"/>
        </w:tabs>
        <w:jc w:val="both"/>
        <w:rPr>
          <w:bCs/>
          <w:sz w:val="22"/>
          <w:szCs w:val="22"/>
        </w:rPr>
      </w:pPr>
    </w:p>
    <w:p w:rsidR="00E05CC5" w:rsidRPr="004C1A6D" w:rsidRDefault="00E417E0" w:rsidP="00992223">
      <w:pPr>
        <w:jc w:val="both"/>
        <w:rPr>
          <w:sz w:val="22"/>
          <w:szCs w:val="22"/>
          <w:u w:val="single"/>
        </w:rPr>
      </w:pPr>
      <w:r w:rsidRPr="004C1A6D">
        <w:rPr>
          <w:sz w:val="22"/>
          <w:szCs w:val="22"/>
          <w:u w:val="single"/>
        </w:rPr>
        <w:t xml:space="preserve"> O</w:t>
      </w:r>
      <w:r w:rsidR="00E05CC5" w:rsidRPr="004C1A6D">
        <w:rPr>
          <w:sz w:val="22"/>
          <w:szCs w:val="22"/>
          <w:u w:val="single"/>
        </w:rPr>
        <w:t>štećenje</w:t>
      </w:r>
      <w:r w:rsidRPr="004C1A6D">
        <w:rPr>
          <w:sz w:val="22"/>
          <w:szCs w:val="22"/>
          <w:u w:val="single"/>
        </w:rPr>
        <w:t xml:space="preserve"> jetre</w:t>
      </w:r>
    </w:p>
    <w:p w:rsidR="003F174D" w:rsidRPr="004C1A6D" w:rsidRDefault="003F174D" w:rsidP="00992223">
      <w:pPr>
        <w:jc w:val="both"/>
        <w:rPr>
          <w:sz w:val="22"/>
          <w:szCs w:val="22"/>
          <w:u w:val="single"/>
        </w:rPr>
      </w:pPr>
    </w:p>
    <w:p w:rsidR="00E05CC5" w:rsidRPr="004C1A6D" w:rsidRDefault="00E417E0" w:rsidP="00992223">
      <w:pPr>
        <w:jc w:val="both"/>
        <w:rPr>
          <w:sz w:val="22"/>
          <w:szCs w:val="22"/>
        </w:rPr>
      </w:pPr>
      <w:r w:rsidRPr="004C1A6D">
        <w:rPr>
          <w:sz w:val="22"/>
          <w:szCs w:val="22"/>
        </w:rPr>
        <w:t>E</w:t>
      </w:r>
      <w:r w:rsidR="00E05CC5" w:rsidRPr="004C1A6D">
        <w:rPr>
          <w:sz w:val="22"/>
          <w:szCs w:val="22"/>
        </w:rPr>
        <w:t>nz</w:t>
      </w:r>
      <w:r w:rsidR="0008719A" w:rsidRPr="004C1A6D">
        <w:rPr>
          <w:sz w:val="22"/>
          <w:szCs w:val="22"/>
        </w:rPr>
        <w:t xml:space="preserve">ime </w:t>
      </w:r>
      <w:r w:rsidRPr="004C1A6D">
        <w:rPr>
          <w:sz w:val="22"/>
          <w:szCs w:val="22"/>
        </w:rPr>
        <w:t xml:space="preserve">jetre </w:t>
      </w:r>
      <w:r w:rsidR="0008719A" w:rsidRPr="004C1A6D">
        <w:rPr>
          <w:sz w:val="22"/>
          <w:szCs w:val="22"/>
        </w:rPr>
        <w:t>treba redovno kontrolisati kod</w:t>
      </w:r>
      <w:r w:rsidRPr="004C1A6D">
        <w:rPr>
          <w:sz w:val="22"/>
          <w:szCs w:val="22"/>
        </w:rPr>
        <w:t xml:space="preserve"> pacijenata s teškim </w:t>
      </w:r>
      <w:r w:rsidR="00E05CC5" w:rsidRPr="004C1A6D">
        <w:rPr>
          <w:sz w:val="22"/>
          <w:szCs w:val="22"/>
        </w:rPr>
        <w:t>oštećenjem</w:t>
      </w:r>
      <w:r w:rsidRPr="004C1A6D">
        <w:rPr>
          <w:sz w:val="22"/>
          <w:szCs w:val="22"/>
        </w:rPr>
        <w:t xml:space="preserve"> jetre</w:t>
      </w:r>
      <w:r w:rsidR="00E05CC5" w:rsidRPr="004C1A6D">
        <w:rPr>
          <w:sz w:val="22"/>
          <w:szCs w:val="22"/>
        </w:rPr>
        <w:t xml:space="preserve"> za vrijeme liječenja pantoprazolom, posebno kod dugotrajne primjene lijek</w:t>
      </w:r>
      <w:r w:rsidRPr="004C1A6D">
        <w:rPr>
          <w:sz w:val="22"/>
          <w:szCs w:val="22"/>
        </w:rPr>
        <w:t>a. U slučaju povećanja</w:t>
      </w:r>
      <w:r w:rsidR="00E05CC5" w:rsidRPr="004C1A6D">
        <w:rPr>
          <w:sz w:val="22"/>
          <w:szCs w:val="22"/>
        </w:rPr>
        <w:t xml:space="preserve"> enzima</w:t>
      </w:r>
      <w:r w:rsidRPr="004C1A6D">
        <w:rPr>
          <w:sz w:val="22"/>
          <w:szCs w:val="22"/>
        </w:rPr>
        <w:t xml:space="preserve"> jetre</w:t>
      </w:r>
      <w:r w:rsidR="00E05CC5" w:rsidRPr="004C1A6D">
        <w:rPr>
          <w:sz w:val="22"/>
          <w:szCs w:val="22"/>
        </w:rPr>
        <w:t>, li</w:t>
      </w:r>
      <w:r w:rsidR="003A3BC5" w:rsidRPr="004C1A6D">
        <w:rPr>
          <w:sz w:val="22"/>
          <w:szCs w:val="22"/>
        </w:rPr>
        <w:t>ječenje treba prekinuti (pogledati</w:t>
      </w:r>
      <w:r w:rsidR="00E05CC5" w:rsidRPr="004C1A6D">
        <w:rPr>
          <w:sz w:val="22"/>
          <w:szCs w:val="22"/>
        </w:rPr>
        <w:t xml:space="preserve"> dio 4.2.).</w:t>
      </w:r>
    </w:p>
    <w:p w:rsidR="00E05CC5" w:rsidRDefault="00E05CC5" w:rsidP="00992223">
      <w:pPr>
        <w:jc w:val="both"/>
        <w:rPr>
          <w:sz w:val="22"/>
          <w:szCs w:val="22"/>
        </w:rPr>
      </w:pPr>
    </w:p>
    <w:p w:rsidR="004C1A6D" w:rsidRDefault="004C1A6D" w:rsidP="00992223">
      <w:pPr>
        <w:jc w:val="both"/>
        <w:rPr>
          <w:sz w:val="22"/>
          <w:szCs w:val="22"/>
        </w:rPr>
      </w:pPr>
    </w:p>
    <w:p w:rsidR="004C1A6D" w:rsidRPr="004C1A6D" w:rsidRDefault="004C1A6D" w:rsidP="00992223">
      <w:pPr>
        <w:jc w:val="both"/>
        <w:rPr>
          <w:sz w:val="22"/>
          <w:szCs w:val="22"/>
        </w:rPr>
      </w:pPr>
    </w:p>
    <w:p w:rsidR="00E05CC5" w:rsidRPr="004C1A6D" w:rsidRDefault="00E05CC5" w:rsidP="00992223">
      <w:pPr>
        <w:jc w:val="both"/>
        <w:rPr>
          <w:sz w:val="22"/>
          <w:szCs w:val="22"/>
          <w:u w:val="single"/>
        </w:rPr>
      </w:pPr>
      <w:r w:rsidRPr="004C1A6D">
        <w:rPr>
          <w:sz w:val="22"/>
          <w:szCs w:val="22"/>
          <w:u w:val="single"/>
        </w:rPr>
        <w:lastRenderedPageBreak/>
        <w:t>Istovremena primjena s nesteroidnim ant</w:t>
      </w:r>
      <w:r w:rsidR="00E417E0" w:rsidRPr="004C1A6D">
        <w:rPr>
          <w:sz w:val="22"/>
          <w:szCs w:val="22"/>
          <w:u w:val="single"/>
        </w:rPr>
        <w:t>iinflamatornim (protiv</w:t>
      </w:r>
      <w:r w:rsidR="00750950" w:rsidRPr="004C1A6D">
        <w:rPr>
          <w:sz w:val="22"/>
          <w:szCs w:val="22"/>
          <w:u w:val="single"/>
        </w:rPr>
        <w:t>upalnim) l</w:t>
      </w:r>
      <w:r w:rsidRPr="004C1A6D">
        <w:rPr>
          <w:sz w:val="22"/>
          <w:szCs w:val="22"/>
          <w:u w:val="single"/>
        </w:rPr>
        <w:t xml:space="preserve">jekovima </w:t>
      </w:r>
    </w:p>
    <w:p w:rsidR="00BD5508" w:rsidRPr="004C1A6D" w:rsidRDefault="00BD5508" w:rsidP="00992223">
      <w:pPr>
        <w:jc w:val="both"/>
        <w:rPr>
          <w:sz w:val="22"/>
          <w:szCs w:val="22"/>
          <w:u w:val="single"/>
        </w:rPr>
      </w:pPr>
    </w:p>
    <w:p w:rsidR="00E05CC5" w:rsidRPr="004C1A6D" w:rsidRDefault="00E05CC5" w:rsidP="00992223">
      <w:pPr>
        <w:jc w:val="both"/>
        <w:rPr>
          <w:sz w:val="22"/>
          <w:szCs w:val="22"/>
        </w:rPr>
      </w:pPr>
      <w:r w:rsidRPr="004C1A6D">
        <w:rPr>
          <w:sz w:val="22"/>
          <w:szCs w:val="22"/>
        </w:rPr>
        <w:t>Primjenu pantoprazola 20 mg u prevenciji gastroduodenalnih ulkusa uzrokovanih neselektivnim, nesteroidnim ant</w:t>
      </w:r>
      <w:r w:rsidR="00E417E0" w:rsidRPr="004C1A6D">
        <w:rPr>
          <w:sz w:val="22"/>
          <w:szCs w:val="22"/>
        </w:rPr>
        <w:t>iinflamatornim (protiv</w:t>
      </w:r>
      <w:r w:rsidR="009A55E3" w:rsidRPr="004C1A6D">
        <w:rPr>
          <w:sz w:val="22"/>
          <w:szCs w:val="22"/>
        </w:rPr>
        <w:t>upalnim) l</w:t>
      </w:r>
      <w:r w:rsidRPr="004C1A6D">
        <w:rPr>
          <w:sz w:val="22"/>
          <w:szCs w:val="22"/>
        </w:rPr>
        <w:t>jekovima, trebalo b</w:t>
      </w:r>
      <w:r w:rsidR="007A0635" w:rsidRPr="004C1A6D">
        <w:rPr>
          <w:sz w:val="22"/>
          <w:szCs w:val="22"/>
        </w:rPr>
        <w:t>i ograničiti samo na pacijente kod</w:t>
      </w:r>
      <w:r w:rsidRPr="004C1A6D">
        <w:rPr>
          <w:sz w:val="22"/>
          <w:szCs w:val="22"/>
        </w:rPr>
        <w:t xml:space="preserve"> kojih je potrebno </w:t>
      </w:r>
      <w:r w:rsidR="007A4C1D" w:rsidRPr="004C1A6D">
        <w:rPr>
          <w:sz w:val="22"/>
          <w:szCs w:val="22"/>
        </w:rPr>
        <w:t xml:space="preserve">kontinuirano liječenje </w:t>
      </w:r>
      <w:r w:rsidR="009A55E3" w:rsidRPr="004C1A6D">
        <w:rPr>
          <w:sz w:val="22"/>
          <w:szCs w:val="22"/>
        </w:rPr>
        <w:t>ovim l</w:t>
      </w:r>
      <w:r w:rsidRPr="004C1A6D">
        <w:rPr>
          <w:sz w:val="22"/>
          <w:szCs w:val="22"/>
        </w:rPr>
        <w:t>jekovima i koji imaju povećan rizik od razvoja gastrointestinalnih komplikacija. Povećan rizik treba procjenjivati u skladu s individualnim faktorima rizika, npr. sta</w:t>
      </w:r>
      <w:r w:rsidR="00B071FA" w:rsidRPr="004C1A6D">
        <w:rPr>
          <w:sz w:val="22"/>
          <w:szCs w:val="22"/>
        </w:rPr>
        <w:t>rija životna dob (&gt;65 godina), istorija (anamneza) želudačnog</w:t>
      </w:r>
      <w:r w:rsidRPr="004C1A6D">
        <w:rPr>
          <w:sz w:val="22"/>
          <w:szCs w:val="22"/>
        </w:rPr>
        <w:t xml:space="preserve"> ili duodenalnog ulkusa ili krvarenja iz gornjeg dijela gastrointestinalnog trakta.</w:t>
      </w:r>
    </w:p>
    <w:p w:rsidR="00E05CC5" w:rsidRPr="004C1A6D" w:rsidRDefault="00E05CC5" w:rsidP="00992223">
      <w:pPr>
        <w:jc w:val="both"/>
        <w:rPr>
          <w:i/>
          <w:sz w:val="22"/>
          <w:szCs w:val="22"/>
        </w:rPr>
      </w:pPr>
    </w:p>
    <w:p w:rsidR="00E05CC5" w:rsidRPr="004C1A6D" w:rsidRDefault="002C210E" w:rsidP="00992223">
      <w:pPr>
        <w:jc w:val="both"/>
        <w:rPr>
          <w:sz w:val="22"/>
          <w:szCs w:val="22"/>
          <w:u w:val="single"/>
        </w:rPr>
      </w:pPr>
      <w:r w:rsidRPr="004C1A6D">
        <w:rPr>
          <w:sz w:val="22"/>
          <w:szCs w:val="22"/>
          <w:u w:val="single"/>
        </w:rPr>
        <w:t>Želudač</w:t>
      </w:r>
      <w:r w:rsidR="00E05CC5" w:rsidRPr="004C1A6D">
        <w:rPr>
          <w:sz w:val="22"/>
          <w:szCs w:val="22"/>
          <w:u w:val="single"/>
        </w:rPr>
        <w:t>ni malignitet</w:t>
      </w:r>
    </w:p>
    <w:p w:rsidR="00BD5508" w:rsidRPr="004C1A6D" w:rsidRDefault="00BD5508" w:rsidP="00992223">
      <w:pPr>
        <w:jc w:val="both"/>
        <w:rPr>
          <w:sz w:val="22"/>
          <w:szCs w:val="22"/>
          <w:u w:val="single"/>
        </w:rPr>
      </w:pPr>
    </w:p>
    <w:p w:rsidR="00E05CC5" w:rsidRPr="004C1A6D" w:rsidRDefault="00E05CC5" w:rsidP="00992223">
      <w:pPr>
        <w:jc w:val="both"/>
        <w:rPr>
          <w:sz w:val="22"/>
          <w:szCs w:val="22"/>
        </w:rPr>
      </w:pPr>
      <w:r w:rsidRPr="004C1A6D">
        <w:rPr>
          <w:sz w:val="22"/>
          <w:szCs w:val="22"/>
        </w:rPr>
        <w:t>Simptomatski odgov</w:t>
      </w:r>
      <w:r w:rsidR="002C210E" w:rsidRPr="004C1A6D">
        <w:rPr>
          <w:sz w:val="22"/>
          <w:szCs w:val="22"/>
        </w:rPr>
        <w:t>or na pantoprazol može da maskira simptome želudačnog maligniteta i može da odgodi</w:t>
      </w:r>
      <w:r w:rsidRPr="004C1A6D">
        <w:rPr>
          <w:sz w:val="22"/>
          <w:szCs w:val="22"/>
        </w:rPr>
        <w:t xml:space="preserve"> dijagnozu. Kod postojanja bilo kojeg alarmantnog simptoma (npr. značajan, nenamjeran gubitak tjelesne težine, povraćanje koje se ponavlja, disfagija, hematemeza, anemija i</w:t>
      </w:r>
      <w:r w:rsidR="002C210E" w:rsidRPr="004C1A6D">
        <w:rPr>
          <w:sz w:val="22"/>
          <w:szCs w:val="22"/>
        </w:rPr>
        <w:t>li melena) i onda kada se sumnja na želudačni</w:t>
      </w:r>
      <w:r w:rsidRPr="004C1A6D">
        <w:rPr>
          <w:sz w:val="22"/>
          <w:szCs w:val="22"/>
        </w:rPr>
        <w:t xml:space="preserve"> ulkus ili je on </w:t>
      </w:r>
      <w:r w:rsidR="002C210E" w:rsidRPr="004C1A6D">
        <w:rPr>
          <w:sz w:val="22"/>
          <w:szCs w:val="22"/>
        </w:rPr>
        <w:t>prisutan, potrebno je da se isključi</w:t>
      </w:r>
      <w:r w:rsidRPr="004C1A6D">
        <w:rPr>
          <w:sz w:val="22"/>
          <w:szCs w:val="22"/>
        </w:rPr>
        <w:t xml:space="preserve"> mogući malignitet.</w:t>
      </w:r>
    </w:p>
    <w:p w:rsidR="00E05CC5" w:rsidRPr="004C1A6D" w:rsidRDefault="00E05CC5" w:rsidP="00992223">
      <w:pPr>
        <w:jc w:val="both"/>
        <w:rPr>
          <w:sz w:val="22"/>
          <w:szCs w:val="22"/>
        </w:rPr>
      </w:pPr>
    </w:p>
    <w:p w:rsidR="00E05CC5" w:rsidRPr="004C1A6D" w:rsidRDefault="002C210E" w:rsidP="00992223">
      <w:pPr>
        <w:jc w:val="both"/>
        <w:rPr>
          <w:sz w:val="22"/>
          <w:szCs w:val="22"/>
        </w:rPr>
      </w:pPr>
      <w:r w:rsidRPr="004C1A6D">
        <w:rPr>
          <w:sz w:val="22"/>
          <w:szCs w:val="22"/>
        </w:rPr>
        <w:t>Dalje pretrage treba da se razmotre</w:t>
      </w:r>
      <w:r w:rsidR="00E05CC5" w:rsidRPr="004C1A6D">
        <w:rPr>
          <w:sz w:val="22"/>
          <w:szCs w:val="22"/>
        </w:rPr>
        <w:t xml:space="preserve"> ako simptomi perzistiraju uprkos odgovarajućem liječenju.</w:t>
      </w:r>
    </w:p>
    <w:p w:rsidR="00E05CC5" w:rsidRPr="004C1A6D" w:rsidRDefault="00E05CC5" w:rsidP="00992223">
      <w:pPr>
        <w:jc w:val="both"/>
        <w:rPr>
          <w:sz w:val="22"/>
          <w:szCs w:val="22"/>
        </w:rPr>
      </w:pPr>
    </w:p>
    <w:p w:rsidR="00E05CC5" w:rsidRPr="004C1A6D" w:rsidRDefault="00E05CC5" w:rsidP="00992223">
      <w:pPr>
        <w:jc w:val="both"/>
        <w:rPr>
          <w:sz w:val="22"/>
          <w:szCs w:val="22"/>
          <w:u w:val="single"/>
        </w:rPr>
      </w:pPr>
      <w:r w:rsidRPr="004C1A6D">
        <w:rPr>
          <w:sz w:val="22"/>
          <w:szCs w:val="22"/>
          <w:u w:val="single"/>
        </w:rPr>
        <w:t xml:space="preserve">Istovremena primjena s inhibitorima HIV </w:t>
      </w:r>
      <w:r w:rsidR="00BD5508" w:rsidRPr="004C1A6D">
        <w:rPr>
          <w:sz w:val="22"/>
          <w:szCs w:val="22"/>
          <w:u w:val="single"/>
        </w:rPr>
        <w:t>protease</w:t>
      </w:r>
    </w:p>
    <w:p w:rsidR="00BD5508" w:rsidRPr="004C1A6D" w:rsidRDefault="00BD5508" w:rsidP="00992223">
      <w:pPr>
        <w:jc w:val="both"/>
        <w:rPr>
          <w:sz w:val="22"/>
          <w:szCs w:val="22"/>
          <w:u w:val="single"/>
        </w:rPr>
      </w:pPr>
    </w:p>
    <w:p w:rsidR="00E05CC5" w:rsidRPr="004C1A6D" w:rsidRDefault="00E05CC5" w:rsidP="00992223">
      <w:pPr>
        <w:jc w:val="both"/>
        <w:rPr>
          <w:sz w:val="22"/>
          <w:szCs w:val="22"/>
        </w:rPr>
      </w:pPr>
      <w:r w:rsidRPr="004C1A6D">
        <w:rPr>
          <w:sz w:val="22"/>
          <w:szCs w:val="22"/>
        </w:rPr>
        <w:t>Ne preporučuje se istovremena primjena pantoprazola s inhi</w:t>
      </w:r>
      <w:r w:rsidR="002C210E" w:rsidRPr="004C1A6D">
        <w:rPr>
          <w:sz w:val="22"/>
          <w:szCs w:val="22"/>
        </w:rPr>
        <w:t xml:space="preserve">bitorima HIV proteaze čija </w:t>
      </w:r>
      <w:r w:rsidR="005A2A42" w:rsidRPr="004C1A6D">
        <w:rPr>
          <w:sz w:val="22"/>
          <w:szCs w:val="22"/>
        </w:rPr>
        <w:t>re</w:t>
      </w:r>
      <w:r w:rsidR="002C210E" w:rsidRPr="004C1A6D">
        <w:rPr>
          <w:sz w:val="22"/>
          <w:szCs w:val="22"/>
        </w:rPr>
        <w:t>sorpcija zavisi</w:t>
      </w:r>
      <w:r w:rsidRPr="004C1A6D">
        <w:rPr>
          <w:sz w:val="22"/>
          <w:szCs w:val="22"/>
        </w:rPr>
        <w:t xml:space="preserve"> o</w:t>
      </w:r>
      <w:r w:rsidR="002C210E" w:rsidRPr="004C1A6D">
        <w:rPr>
          <w:sz w:val="22"/>
          <w:szCs w:val="22"/>
        </w:rPr>
        <w:t>d kiselog intragastričnog</w:t>
      </w:r>
      <w:r w:rsidRPr="004C1A6D">
        <w:rPr>
          <w:sz w:val="22"/>
          <w:szCs w:val="22"/>
        </w:rPr>
        <w:t xml:space="preserve"> pH, poput atazanavira, zbog značajnog smanjenja nj</w:t>
      </w:r>
      <w:r w:rsidR="00220B0F" w:rsidRPr="004C1A6D">
        <w:rPr>
          <w:sz w:val="22"/>
          <w:szCs w:val="22"/>
        </w:rPr>
        <w:t>ihove bioraspoloživosti (pogledati</w:t>
      </w:r>
      <w:r w:rsidRPr="004C1A6D">
        <w:rPr>
          <w:sz w:val="22"/>
          <w:szCs w:val="22"/>
        </w:rPr>
        <w:t xml:space="preserve"> dio 4.5.).</w:t>
      </w:r>
    </w:p>
    <w:p w:rsidR="00E05CC5" w:rsidRPr="004C1A6D" w:rsidRDefault="00E05CC5" w:rsidP="00992223">
      <w:pPr>
        <w:jc w:val="both"/>
        <w:rPr>
          <w:sz w:val="22"/>
          <w:szCs w:val="22"/>
        </w:rPr>
      </w:pPr>
    </w:p>
    <w:p w:rsidR="00E05CC5" w:rsidRPr="004C1A6D" w:rsidRDefault="00D7774D" w:rsidP="00992223">
      <w:pPr>
        <w:jc w:val="both"/>
        <w:rPr>
          <w:sz w:val="22"/>
          <w:szCs w:val="22"/>
          <w:u w:val="single"/>
        </w:rPr>
      </w:pPr>
      <w:r w:rsidRPr="004C1A6D">
        <w:rPr>
          <w:sz w:val="22"/>
          <w:szCs w:val="22"/>
          <w:u w:val="single"/>
        </w:rPr>
        <w:t>Uticaj na re</w:t>
      </w:r>
      <w:r w:rsidR="00E05CC5" w:rsidRPr="004C1A6D">
        <w:rPr>
          <w:sz w:val="22"/>
          <w:szCs w:val="22"/>
          <w:u w:val="single"/>
        </w:rPr>
        <w:t>sorpciju vitamina B12</w:t>
      </w:r>
    </w:p>
    <w:p w:rsidR="00BD5508" w:rsidRPr="004C1A6D" w:rsidRDefault="00BD5508" w:rsidP="00992223">
      <w:pPr>
        <w:jc w:val="both"/>
        <w:rPr>
          <w:sz w:val="22"/>
          <w:szCs w:val="22"/>
          <w:u w:val="single"/>
        </w:rPr>
      </w:pPr>
    </w:p>
    <w:p w:rsidR="00E05CC5" w:rsidRPr="004C1A6D" w:rsidRDefault="00E05CC5" w:rsidP="00992223">
      <w:pPr>
        <w:jc w:val="both"/>
        <w:rPr>
          <w:sz w:val="22"/>
          <w:szCs w:val="22"/>
        </w:rPr>
      </w:pPr>
      <w:r w:rsidRPr="004C1A6D">
        <w:rPr>
          <w:sz w:val="22"/>
          <w:szCs w:val="22"/>
        </w:rPr>
        <w:t xml:space="preserve">Pantoprazol, </w:t>
      </w:r>
      <w:r w:rsidR="00785CEF" w:rsidRPr="004C1A6D">
        <w:rPr>
          <w:sz w:val="22"/>
          <w:szCs w:val="22"/>
        </w:rPr>
        <w:t>kao i svi l</w:t>
      </w:r>
      <w:r w:rsidRPr="004C1A6D">
        <w:rPr>
          <w:sz w:val="22"/>
          <w:szCs w:val="22"/>
        </w:rPr>
        <w:t>jekovi koji blokiraju lu</w:t>
      </w:r>
      <w:r w:rsidR="004337EC" w:rsidRPr="004C1A6D">
        <w:rPr>
          <w:sz w:val="22"/>
          <w:szCs w:val="22"/>
        </w:rPr>
        <w:t>čenje kis</w:t>
      </w:r>
      <w:r w:rsidR="002C210E" w:rsidRPr="004C1A6D">
        <w:rPr>
          <w:sz w:val="22"/>
          <w:szCs w:val="22"/>
        </w:rPr>
        <w:t>jeline, može da smanji</w:t>
      </w:r>
      <w:r w:rsidR="004337EC" w:rsidRPr="004C1A6D">
        <w:rPr>
          <w:sz w:val="22"/>
          <w:szCs w:val="22"/>
        </w:rPr>
        <w:t xml:space="preserve"> re</w:t>
      </w:r>
      <w:r w:rsidRPr="004C1A6D">
        <w:rPr>
          <w:sz w:val="22"/>
          <w:szCs w:val="22"/>
        </w:rPr>
        <w:t>sorpciju vitamina B12 (cijanokobalamin) usljed hipo- ili ahlorhi</w:t>
      </w:r>
      <w:r w:rsidR="00473072" w:rsidRPr="004C1A6D">
        <w:rPr>
          <w:sz w:val="22"/>
          <w:szCs w:val="22"/>
        </w:rPr>
        <w:t>drije. Ovo treba uzeti u obzir kod</w:t>
      </w:r>
      <w:r w:rsidRPr="004C1A6D">
        <w:rPr>
          <w:sz w:val="22"/>
          <w:szCs w:val="22"/>
        </w:rPr>
        <w:t xml:space="preserve"> pacijenata sa smanjenim tjelesnim zalihama vitamina B12 ili s </w:t>
      </w:r>
      <w:r w:rsidR="001D312A" w:rsidRPr="004C1A6D">
        <w:rPr>
          <w:sz w:val="22"/>
          <w:szCs w:val="22"/>
        </w:rPr>
        <w:t>faktorima rizika za smanjenje re</w:t>
      </w:r>
      <w:r w:rsidRPr="004C1A6D">
        <w:rPr>
          <w:sz w:val="22"/>
          <w:szCs w:val="22"/>
        </w:rPr>
        <w:t>sorpcije vitamina B12 pri dugotrajnoj terapiji, ili ako se uoče odgovarajući klinički simptomi.</w:t>
      </w:r>
    </w:p>
    <w:p w:rsidR="00E05CC5" w:rsidRPr="004C1A6D" w:rsidRDefault="00E05CC5" w:rsidP="00992223">
      <w:pPr>
        <w:jc w:val="both"/>
        <w:rPr>
          <w:sz w:val="22"/>
          <w:szCs w:val="22"/>
        </w:rPr>
      </w:pPr>
    </w:p>
    <w:p w:rsidR="00E05CC5" w:rsidRPr="004C1A6D" w:rsidRDefault="00E05CC5" w:rsidP="00992223">
      <w:pPr>
        <w:jc w:val="both"/>
        <w:rPr>
          <w:sz w:val="22"/>
          <w:szCs w:val="22"/>
          <w:u w:val="single"/>
        </w:rPr>
      </w:pPr>
      <w:r w:rsidRPr="004C1A6D">
        <w:rPr>
          <w:sz w:val="22"/>
          <w:szCs w:val="22"/>
          <w:u w:val="single"/>
        </w:rPr>
        <w:t>Dugotrajno liječenje</w:t>
      </w:r>
    </w:p>
    <w:p w:rsidR="00B42A21" w:rsidRPr="004C1A6D" w:rsidRDefault="00B42A21" w:rsidP="00992223">
      <w:pPr>
        <w:jc w:val="both"/>
        <w:rPr>
          <w:sz w:val="22"/>
          <w:szCs w:val="22"/>
          <w:u w:val="single"/>
        </w:rPr>
      </w:pPr>
    </w:p>
    <w:p w:rsidR="00E05CC5" w:rsidRPr="004C1A6D" w:rsidRDefault="00E05CC5" w:rsidP="00992223">
      <w:pPr>
        <w:jc w:val="both"/>
        <w:rPr>
          <w:sz w:val="22"/>
          <w:szCs w:val="22"/>
        </w:rPr>
      </w:pPr>
      <w:r w:rsidRPr="004C1A6D">
        <w:rPr>
          <w:sz w:val="22"/>
          <w:szCs w:val="22"/>
        </w:rPr>
        <w:t>Ko</w:t>
      </w:r>
      <w:r w:rsidR="00667E92" w:rsidRPr="004C1A6D">
        <w:rPr>
          <w:sz w:val="22"/>
          <w:szCs w:val="22"/>
        </w:rPr>
        <w:t>d dugotrajnog liječenja, naročito</w:t>
      </w:r>
      <w:r w:rsidRPr="004C1A6D">
        <w:rPr>
          <w:sz w:val="22"/>
          <w:szCs w:val="22"/>
        </w:rPr>
        <w:t xml:space="preserve"> dužeg od jedn</w:t>
      </w:r>
      <w:r w:rsidR="00667E92" w:rsidRPr="004C1A6D">
        <w:rPr>
          <w:sz w:val="22"/>
          <w:szCs w:val="22"/>
        </w:rPr>
        <w:t>e godine, pacijenti treba da budu</w:t>
      </w:r>
      <w:r w:rsidRPr="004C1A6D">
        <w:rPr>
          <w:sz w:val="22"/>
          <w:szCs w:val="22"/>
        </w:rPr>
        <w:t xml:space="preserve"> pod redovnom kontrolom.</w:t>
      </w:r>
    </w:p>
    <w:p w:rsidR="00E05CC5" w:rsidRPr="004C1A6D" w:rsidRDefault="00E05CC5" w:rsidP="00992223">
      <w:pPr>
        <w:jc w:val="both"/>
        <w:rPr>
          <w:sz w:val="22"/>
          <w:szCs w:val="22"/>
        </w:rPr>
      </w:pPr>
    </w:p>
    <w:p w:rsidR="00E05CC5" w:rsidRPr="004C1A6D" w:rsidRDefault="00E05CC5" w:rsidP="00992223">
      <w:pPr>
        <w:jc w:val="both"/>
        <w:rPr>
          <w:sz w:val="22"/>
          <w:szCs w:val="22"/>
          <w:u w:val="single"/>
        </w:rPr>
      </w:pPr>
      <w:r w:rsidRPr="004C1A6D">
        <w:rPr>
          <w:sz w:val="22"/>
          <w:szCs w:val="22"/>
          <w:u w:val="single"/>
        </w:rPr>
        <w:t>Gastrointestinalne infekcije uzrokovane bakterijama</w:t>
      </w:r>
    </w:p>
    <w:p w:rsidR="001A36E4" w:rsidRPr="004C1A6D" w:rsidRDefault="001A36E4" w:rsidP="00992223">
      <w:pPr>
        <w:jc w:val="both"/>
        <w:rPr>
          <w:sz w:val="22"/>
          <w:szCs w:val="22"/>
          <w:u w:val="single"/>
        </w:rPr>
      </w:pPr>
    </w:p>
    <w:p w:rsidR="00E05CC5" w:rsidRPr="004C1A6D" w:rsidRDefault="00E05CC5" w:rsidP="00992223">
      <w:pPr>
        <w:jc w:val="both"/>
        <w:rPr>
          <w:sz w:val="22"/>
          <w:szCs w:val="22"/>
        </w:rPr>
      </w:pPr>
      <w:r w:rsidRPr="004C1A6D">
        <w:rPr>
          <w:sz w:val="22"/>
          <w:szCs w:val="22"/>
        </w:rPr>
        <w:t>Lije</w:t>
      </w:r>
      <w:r w:rsidR="00667E92" w:rsidRPr="004C1A6D">
        <w:rPr>
          <w:sz w:val="22"/>
          <w:szCs w:val="22"/>
        </w:rPr>
        <w:t>čenje pantoprazolom može da dovede</w:t>
      </w:r>
      <w:r w:rsidRPr="004C1A6D">
        <w:rPr>
          <w:sz w:val="22"/>
          <w:szCs w:val="22"/>
        </w:rPr>
        <w:t xml:space="preserve"> do neznatno povećanog rizika od gastrointestinalnih infekcija uzrokovanih bakterijama, kao što su </w:t>
      </w:r>
      <w:r w:rsidRPr="004C1A6D">
        <w:rPr>
          <w:i/>
          <w:sz w:val="22"/>
          <w:szCs w:val="22"/>
        </w:rPr>
        <w:t>Salmonella</w:t>
      </w:r>
      <w:r w:rsidRPr="004C1A6D">
        <w:rPr>
          <w:sz w:val="22"/>
          <w:szCs w:val="22"/>
        </w:rPr>
        <w:t xml:space="preserve"> i </w:t>
      </w:r>
      <w:r w:rsidRPr="004C1A6D">
        <w:rPr>
          <w:i/>
          <w:sz w:val="22"/>
          <w:szCs w:val="22"/>
        </w:rPr>
        <w:t>Campylobacter</w:t>
      </w:r>
      <w:r w:rsidRPr="004C1A6D">
        <w:rPr>
          <w:sz w:val="22"/>
          <w:szCs w:val="22"/>
        </w:rPr>
        <w:t>,</w:t>
      </w:r>
      <w:r w:rsidRPr="004C1A6D">
        <w:rPr>
          <w:i/>
          <w:sz w:val="22"/>
          <w:szCs w:val="22"/>
        </w:rPr>
        <w:t xml:space="preserve"> </w:t>
      </w:r>
      <w:r w:rsidRPr="004C1A6D">
        <w:rPr>
          <w:sz w:val="22"/>
          <w:szCs w:val="22"/>
        </w:rPr>
        <w:t>ili</w:t>
      </w:r>
      <w:r w:rsidRPr="004C1A6D">
        <w:rPr>
          <w:i/>
          <w:iCs/>
          <w:sz w:val="22"/>
          <w:szCs w:val="22"/>
        </w:rPr>
        <w:t xml:space="preserve"> C. difficile</w:t>
      </w:r>
      <w:r w:rsidRPr="004C1A6D">
        <w:rPr>
          <w:sz w:val="22"/>
          <w:szCs w:val="22"/>
        </w:rPr>
        <w:t>.</w:t>
      </w:r>
    </w:p>
    <w:p w:rsidR="00E05CC5" w:rsidRPr="004C1A6D" w:rsidRDefault="00E05CC5" w:rsidP="00992223">
      <w:pPr>
        <w:jc w:val="both"/>
        <w:rPr>
          <w:sz w:val="22"/>
          <w:szCs w:val="22"/>
        </w:rPr>
      </w:pPr>
    </w:p>
    <w:p w:rsidR="00E05CC5" w:rsidRPr="004C1A6D" w:rsidRDefault="00E05CC5" w:rsidP="00992223">
      <w:pPr>
        <w:jc w:val="both"/>
        <w:rPr>
          <w:sz w:val="22"/>
          <w:szCs w:val="22"/>
          <w:u w:val="single"/>
        </w:rPr>
      </w:pPr>
      <w:r w:rsidRPr="004C1A6D">
        <w:rPr>
          <w:sz w:val="22"/>
          <w:szCs w:val="22"/>
          <w:u w:val="single"/>
        </w:rPr>
        <w:t>Hipomagnezijemija</w:t>
      </w:r>
    </w:p>
    <w:p w:rsidR="002503F2" w:rsidRPr="004C1A6D" w:rsidRDefault="002503F2" w:rsidP="00992223">
      <w:pPr>
        <w:jc w:val="both"/>
        <w:rPr>
          <w:sz w:val="22"/>
          <w:szCs w:val="22"/>
          <w:u w:val="single"/>
        </w:rPr>
      </w:pPr>
    </w:p>
    <w:p w:rsidR="00E05CC5" w:rsidRDefault="00E05CC5" w:rsidP="00992223">
      <w:pPr>
        <w:jc w:val="both"/>
        <w:rPr>
          <w:sz w:val="22"/>
          <w:szCs w:val="22"/>
        </w:rPr>
      </w:pPr>
      <w:r w:rsidRPr="004C1A6D">
        <w:rPr>
          <w:sz w:val="22"/>
          <w:szCs w:val="22"/>
        </w:rPr>
        <w:t>Teška hipomagnezijemija</w:t>
      </w:r>
      <w:r w:rsidR="00A02759" w:rsidRPr="004C1A6D">
        <w:rPr>
          <w:sz w:val="22"/>
          <w:szCs w:val="22"/>
        </w:rPr>
        <w:t xml:space="preserve"> prijavljena je kod</w:t>
      </w:r>
      <w:r w:rsidR="00920534" w:rsidRPr="004C1A6D">
        <w:rPr>
          <w:sz w:val="22"/>
          <w:szCs w:val="22"/>
        </w:rPr>
        <w:t xml:space="preserve"> pacijenata liječenih </w:t>
      </w:r>
      <w:r w:rsidRPr="004C1A6D">
        <w:rPr>
          <w:sz w:val="22"/>
          <w:szCs w:val="22"/>
        </w:rPr>
        <w:t>inhibitorima protonske pumpe, poput pantoprazola, u trajanju od najmanje tri mjeseca, a u većini slučajeva u trajanj</w:t>
      </w:r>
      <w:r w:rsidR="000144C2" w:rsidRPr="004C1A6D">
        <w:rPr>
          <w:sz w:val="22"/>
          <w:szCs w:val="22"/>
        </w:rPr>
        <w:t>u od godinu dana. Mogu da se jave</w:t>
      </w:r>
      <w:r w:rsidRPr="004C1A6D">
        <w:rPr>
          <w:sz w:val="22"/>
          <w:szCs w:val="22"/>
        </w:rPr>
        <w:t xml:space="preserve"> ozbiljne manifestacije hipomagnezijemije, kao što su umor, tetanija, delirij</w:t>
      </w:r>
      <w:r w:rsidR="000144C2" w:rsidRPr="004C1A6D">
        <w:rPr>
          <w:sz w:val="22"/>
          <w:szCs w:val="22"/>
        </w:rPr>
        <w:t>um</w:t>
      </w:r>
      <w:r w:rsidRPr="004C1A6D">
        <w:rPr>
          <w:sz w:val="22"/>
          <w:szCs w:val="22"/>
        </w:rPr>
        <w:t>, konvulzije, omaglica i ventrikularna aritmi</w:t>
      </w:r>
      <w:r w:rsidR="000144C2" w:rsidRPr="004C1A6D">
        <w:rPr>
          <w:sz w:val="22"/>
          <w:szCs w:val="22"/>
        </w:rPr>
        <w:t>ja, ali njihov početak može da bude</w:t>
      </w:r>
      <w:r w:rsidRPr="004C1A6D">
        <w:rPr>
          <w:sz w:val="22"/>
          <w:szCs w:val="22"/>
        </w:rPr>
        <w:t xml:space="preserve"> podmukao i može </w:t>
      </w:r>
      <w:r w:rsidR="000144C2" w:rsidRPr="004C1A6D">
        <w:rPr>
          <w:sz w:val="22"/>
          <w:szCs w:val="22"/>
        </w:rPr>
        <w:t>da se previdi. Hipomagnezijemija može da dovede</w:t>
      </w:r>
      <w:r w:rsidR="003070A6" w:rsidRPr="004C1A6D">
        <w:rPr>
          <w:sz w:val="22"/>
          <w:szCs w:val="22"/>
        </w:rPr>
        <w:t xml:space="preserve"> do hipokalcemije i/ili hipokalemije (pogledati dio 4.8). Kod većine pogođenih pacijenata, hipomagnezijemija (i hipomagnezijemija povezana s hipokalcemijeom i/ili hipokalemijom) se pobo</w:t>
      </w:r>
      <w:r w:rsidR="00002DB7" w:rsidRPr="004C1A6D">
        <w:rPr>
          <w:sz w:val="22"/>
          <w:szCs w:val="22"/>
        </w:rPr>
        <w:t>ljšala nakon nadoknade magnezijuma</w:t>
      </w:r>
      <w:r w:rsidR="003070A6" w:rsidRPr="004C1A6D">
        <w:rPr>
          <w:sz w:val="22"/>
          <w:szCs w:val="22"/>
        </w:rPr>
        <w:t xml:space="preserve"> i prekida primjene inhibitora protonske pumpe.</w:t>
      </w:r>
    </w:p>
    <w:p w:rsidR="004C1A6D" w:rsidRPr="004C1A6D" w:rsidRDefault="004C1A6D" w:rsidP="00992223">
      <w:pPr>
        <w:jc w:val="both"/>
        <w:rPr>
          <w:sz w:val="22"/>
          <w:szCs w:val="22"/>
        </w:rPr>
      </w:pPr>
    </w:p>
    <w:p w:rsidR="007A6472" w:rsidRPr="004C1A6D" w:rsidRDefault="0086274A" w:rsidP="00992223">
      <w:pPr>
        <w:jc w:val="both"/>
        <w:rPr>
          <w:sz w:val="22"/>
          <w:szCs w:val="22"/>
        </w:rPr>
      </w:pPr>
      <w:r w:rsidRPr="004C1A6D">
        <w:rPr>
          <w:sz w:val="22"/>
          <w:szCs w:val="22"/>
        </w:rPr>
        <w:t>Kod</w:t>
      </w:r>
      <w:r w:rsidR="00E05CC5" w:rsidRPr="004C1A6D">
        <w:rPr>
          <w:sz w:val="22"/>
          <w:szCs w:val="22"/>
        </w:rPr>
        <w:t xml:space="preserve"> pacijena</w:t>
      </w:r>
      <w:r w:rsidR="000144C2" w:rsidRPr="004C1A6D">
        <w:rPr>
          <w:sz w:val="22"/>
          <w:szCs w:val="22"/>
        </w:rPr>
        <w:t>ta za koje se očekuje da će da budu</w:t>
      </w:r>
      <w:r w:rsidR="00E05CC5" w:rsidRPr="004C1A6D">
        <w:rPr>
          <w:sz w:val="22"/>
          <w:szCs w:val="22"/>
        </w:rPr>
        <w:t xml:space="preserve"> na dugotrajnoj terapiji, ili </w:t>
      </w:r>
      <w:r w:rsidRPr="004C1A6D">
        <w:rPr>
          <w:sz w:val="22"/>
          <w:szCs w:val="22"/>
        </w:rPr>
        <w:t>kod</w:t>
      </w:r>
      <w:r w:rsidR="00E05CC5" w:rsidRPr="004C1A6D">
        <w:rPr>
          <w:sz w:val="22"/>
          <w:szCs w:val="22"/>
        </w:rPr>
        <w:t xml:space="preserve"> onih koji primaju inhibitore proto</w:t>
      </w:r>
      <w:r w:rsidR="00432864" w:rsidRPr="004C1A6D">
        <w:rPr>
          <w:sz w:val="22"/>
          <w:szCs w:val="22"/>
        </w:rPr>
        <w:t>nske pumpe s digoksinom ili s l</w:t>
      </w:r>
      <w:r w:rsidR="000144C2" w:rsidRPr="004C1A6D">
        <w:rPr>
          <w:sz w:val="22"/>
          <w:szCs w:val="22"/>
        </w:rPr>
        <w:t>jekovima koji mogu da uzrokuju</w:t>
      </w:r>
      <w:r w:rsidR="00E05CC5" w:rsidRPr="004C1A6D">
        <w:rPr>
          <w:sz w:val="22"/>
          <w:szCs w:val="22"/>
        </w:rPr>
        <w:t xml:space="preserve"> hipomagnezijemiju (npr.</w:t>
      </w:r>
      <w:r w:rsidR="000144C2" w:rsidRPr="004C1A6D">
        <w:rPr>
          <w:sz w:val="22"/>
          <w:szCs w:val="22"/>
        </w:rPr>
        <w:t xml:space="preserve"> diuretici), ljekari treba da razmotre</w:t>
      </w:r>
      <w:r w:rsidR="00C55A78" w:rsidRPr="004C1A6D">
        <w:rPr>
          <w:sz w:val="22"/>
          <w:szCs w:val="22"/>
        </w:rPr>
        <w:t xml:space="preserve"> mjerenje nivoa magnezijuma</w:t>
      </w:r>
      <w:r w:rsidR="00E05CC5" w:rsidRPr="004C1A6D">
        <w:rPr>
          <w:sz w:val="22"/>
          <w:szCs w:val="22"/>
        </w:rPr>
        <w:t xml:space="preserve"> prije početka liječenja s inhibitorom protonske pumpe, kao i periodično tokom liječenja.</w:t>
      </w:r>
    </w:p>
    <w:p w:rsidR="00E05CC5" w:rsidRPr="004C1A6D" w:rsidRDefault="00E05CC5" w:rsidP="00992223">
      <w:pPr>
        <w:jc w:val="both"/>
        <w:rPr>
          <w:iCs/>
          <w:sz w:val="22"/>
          <w:szCs w:val="22"/>
          <w:u w:val="single"/>
        </w:rPr>
      </w:pPr>
      <w:r w:rsidRPr="004C1A6D">
        <w:rPr>
          <w:iCs/>
          <w:sz w:val="22"/>
          <w:szCs w:val="22"/>
          <w:u w:val="single"/>
        </w:rPr>
        <w:lastRenderedPageBreak/>
        <w:t>Koštane frakture</w:t>
      </w:r>
    </w:p>
    <w:p w:rsidR="0020603D" w:rsidRPr="004C1A6D" w:rsidRDefault="0020603D" w:rsidP="00992223">
      <w:pPr>
        <w:jc w:val="both"/>
        <w:rPr>
          <w:iCs/>
          <w:sz w:val="22"/>
          <w:szCs w:val="22"/>
          <w:u w:val="single"/>
        </w:rPr>
      </w:pPr>
    </w:p>
    <w:p w:rsidR="00E05CC5" w:rsidRPr="004C1A6D" w:rsidRDefault="00E05CC5" w:rsidP="00992223">
      <w:pPr>
        <w:jc w:val="both"/>
        <w:rPr>
          <w:sz w:val="22"/>
          <w:szCs w:val="22"/>
        </w:rPr>
      </w:pPr>
      <w:r w:rsidRPr="004C1A6D">
        <w:rPr>
          <w:sz w:val="22"/>
          <w:szCs w:val="22"/>
        </w:rPr>
        <w:t>Inhibitori protonske pumpe, posebno ako se primjenjuju u visokim dozama i kroz dugi vremenski period (duže od j</w:t>
      </w:r>
      <w:r w:rsidR="007A6472" w:rsidRPr="004C1A6D">
        <w:rPr>
          <w:sz w:val="22"/>
          <w:szCs w:val="22"/>
        </w:rPr>
        <w:t>edne godine), mogu malo da povećaju</w:t>
      </w:r>
      <w:r w:rsidRPr="004C1A6D">
        <w:rPr>
          <w:sz w:val="22"/>
          <w:szCs w:val="22"/>
        </w:rPr>
        <w:t xml:space="preserve"> rizik od frakture kuka, ručnog zgloba i kičme, posebno </w:t>
      </w:r>
      <w:r w:rsidR="00290982" w:rsidRPr="004C1A6D">
        <w:rPr>
          <w:sz w:val="22"/>
          <w:szCs w:val="22"/>
        </w:rPr>
        <w:t>kod</w:t>
      </w:r>
      <w:r w:rsidRPr="004C1A6D">
        <w:rPr>
          <w:sz w:val="22"/>
          <w:szCs w:val="22"/>
        </w:rPr>
        <w:t xml:space="preserve"> starijih pacijenata, ili ako su prisutni drugi poznati faktori rizika. </w:t>
      </w:r>
      <w:r w:rsidR="007A6472" w:rsidRPr="004C1A6D">
        <w:rPr>
          <w:sz w:val="22"/>
          <w:szCs w:val="22"/>
        </w:rPr>
        <w:t>Opservacijske studije sugerišu</w:t>
      </w:r>
      <w:r w:rsidRPr="004C1A6D">
        <w:rPr>
          <w:sz w:val="22"/>
          <w:szCs w:val="22"/>
        </w:rPr>
        <w:t xml:space="preserve"> da inhibito</w:t>
      </w:r>
      <w:r w:rsidR="007A6472" w:rsidRPr="004C1A6D">
        <w:rPr>
          <w:sz w:val="22"/>
          <w:szCs w:val="22"/>
        </w:rPr>
        <w:t>ri protonske pumpe mogu da povećaju</w:t>
      </w:r>
      <w:r w:rsidRPr="004C1A6D">
        <w:rPr>
          <w:sz w:val="22"/>
          <w:szCs w:val="22"/>
        </w:rPr>
        <w:t xml:space="preserve"> ukupni rizik od frakture za 10-40%. Jedan dio ovog povećanja može biti rezultat drugih faktora rizika. Pacijenti s rizi</w:t>
      </w:r>
      <w:r w:rsidR="007A6472" w:rsidRPr="004C1A6D">
        <w:rPr>
          <w:sz w:val="22"/>
          <w:szCs w:val="22"/>
        </w:rPr>
        <w:t>kom od osteoporoze treba da imaju njegu</w:t>
      </w:r>
      <w:r w:rsidRPr="004C1A6D">
        <w:rPr>
          <w:sz w:val="22"/>
          <w:szCs w:val="22"/>
        </w:rPr>
        <w:t xml:space="preserve"> u skladu</w:t>
      </w:r>
      <w:r w:rsidR="007A6472" w:rsidRPr="004C1A6D">
        <w:rPr>
          <w:sz w:val="22"/>
          <w:szCs w:val="22"/>
        </w:rPr>
        <w:t xml:space="preserve"> s važećim kliničkim preporukama i treba da imaju</w:t>
      </w:r>
      <w:r w:rsidRPr="004C1A6D">
        <w:rPr>
          <w:sz w:val="22"/>
          <w:szCs w:val="22"/>
        </w:rPr>
        <w:t xml:space="preserve"> odgovar</w:t>
      </w:r>
      <w:r w:rsidR="005E65D5" w:rsidRPr="004C1A6D">
        <w:rPr>
          <w:sz w:val="22"/>
          <w:szCs w:val="22"/>
        </w:rPr>
        <w:t>ajući unos vitamina D i kalcijuma.</w:t>
      </w:r>
    </w:p>
    <w:p w:rsidR="00E05CC5" w:rsidRPr="004C1A6D" w:rsidRDefault="00E05CC5" w:rsidP="00992223">
      <w:pPr>
        <w:pStyle w:val="Default"/>
        <w:jc w:val="both"/>
        <w:rPr>
          <w:color w:val="auto"/>
          <w:sz w:val="22"/>
          <w:szCs w:val="22"/>
          <w:lang w:eastAsia="en-US"/>
        </w:rPr>
      </w:pPr>
    </w:p>
    <w:p w:rsidR="00E05CC5" w:rsidRPr="004C1A6D" w:rsidRDefault="00E05CC5" w:rsidP="00992223">
      <w:pPr>
        <w:pStyle w:val="Default"/>
        <w:jc w:val="both"/>
        <w:rPr>
          <w:color w:val="auto"/>
          <w:sz w:val="22"/>
          <w:szCs w:val="22"/>
          <w:u w:val="single"/>
        </w:rPr>
      </w:pPr>
      <w:r w:rsidRPr="004C1A6D">
        <w:rPr>
          <w:color w:val="auto"/>
          <w:sz w:val="22"/>
          <w:szCs w:val="22"/>
          <w:u w:val="single"/>
        </w:rPr>
        <w:t xml:space="preserve">Subakutni kožni lupus eritematozus – SCLE (od engl. subacute cutaneous lupus erythematosus) </w:t>
      </w:r>
    </w:p>
    <w:p w:rsidR="0020603D" w:rsidRPr="004C1A6D" w:rsidRDefault="0020603D" w:rsidP="00992223">
      <w:pPr>
        <w:pStyle w:val="Default"/>
        <w:jc w:val="both"/>
        <w:rPr>
          <w:color w:val="auto"/>
          <w:sz w:val="22"/>
          <w:szCs w:val="22"/>
          <w:u w:val="single"/>
        </w:rPr>
      </w:pPr>
    </w:p>
    <w:p w:rsidR="00E05CC5" w:rsidRPr="004C1A6D" w:rsidRDefault="00E05CC5" w:rsidP="00992223">
      <w:pPr>
        <w:jc w:val="both"/>
        <w:rPr>
          <w:sz w:val="22"/>
          <w:szCs w:val="22"/>
        </w:rPr>
      </w:pPr>
      <w:r w:rsidRPr="004C1A6D">
        <w:rPr>
          <w:sz w:val="22"/>
          <w:szCs w:val="22"/>
        </w:rPr>
        <w:t>Inhibitori protonske pumpe povezani su s vrlo rijetkim slučajevima SCLE-a. U slučaju pojave lezija, posebno na područjima kože izloženim suncu, i ako su lezije p</w:t>
      </w:r>
      <w:r w:rsidR="00762384" w:rsidRPr="004C1A6D">
        <w:rPr>
          <w:sz w:val="22"/>
          <w:szCs w:val="22"/>
        </w:rPr>
        <w:t>r</w:t>
      </w:r>
      <w:r w:rsidRPr="004C1A6D">
        <w:rPr>
          <w:sz w:val="22"/>
          <w:szCs w:val="22"/>
        </w:rPr>
        <w:t>opraćene artralgijo</w:t>
      </w:r>
      <w:r w:rsidR="00762384" w:rsidRPr="004C1A6D">
        <w:rPr>
          <w:sz w:val="22"/>
          <w:szCs w:val="22"/>
        </w:rPr>
        <w:t>m,</w:t>
      </w:r>
      <w:r w:rsidR="007132DD" w:rsidRPr="004C1A6D">
        <w:rPr>
          <w:sz w:val="22"/>
          <w:szCs w:val="22"/>
        </w:rPr>
        <w:t xml:space="preserve"> pacijent treba odmah da potraži</w:t>
      </w:r>
      <w:r w:rsidR="00762384" w:rsidRPr="004C1A6D">
        <w:rPr>
          <w:sz w:val="22"/>
          <w:szCs w:val="22"/>
        </w:rPr>
        <w:t xml:space="preserve"> </w:t>
      </w:r>
      <w:r w:rsidRPr="004C1A6D">
        <w:rPr>
          <w:sz w:val="22"/>
          <w:szCs w:val="22"/>
        </w:rPr>
        <w:t xml:space="preserve">i medicinsku </w:t>
      </w:r>
      <w:r w:rsidR="00762384" w:rsidRPr="004C1A6D">
        <w:rPr>
          <w:sz w:val="22"/>
          <w:szCs w:val="22"/>
        </w:rPr>
        <w:t>pomoć, a ljekar treba da razmotri</w:t>
      </w:r>
      <w:r w:rsidRPr="004C1A6D">
        <w:rPr>
          <w:sz w:val="22"/>
          <w:szCs w:val="22"/>
        </w:rPr>
        <w:t xml:space="preserve"> prekid primjene pantoprazola. Pojava SCLE-a nakon prethodnog liječenja s inhibitoro</w:t>
      </w:r>
      <w:r w:rsidR="00762384" w:rsidRPr="004C1A6D">
        <w:rPr>
          <w:sz w:val="22"/>
          <w:szCs w:val="22"/>
        </w:rPr>
        <w:t>m protonske pumpe, može da poveća</w:t>
      </w:r>
      <w:r w:rsidRPr="004C1A6D">
        <w:rPr>
          <w:sz w:val="22"/>
          <w:szCs w:val="22"/>
        </w:rPr>
        <w:t xml:space="preserve"> rizik od SCLE-a i uz druge inhibitore protonske pumpe.</w:t>
      </w:r>
    </w:p>
    <w:p w:rsidR="00E05CC5" w:rsidRPr="004C1A6D" w:rsidRDefault="00E05CC5" w:rsidP="00992223">
      <w:pPr>
        <w:jc w:val="both"/>
        <w:rPr>
          <w:sz w:val="22"/>
          <w:szCs w:val="22"/>
        </w:rPr>
      </w:pPr>
    </w:p>
    <w:p w:rsidR="00E05CC5" w:rsidRPr="004C1A6D" w:rsidRDefault="00E05CC5" w:rsidP="00992223">
      <w:pPr>
        <w:pStyle w:val="Default"/>
        <w:jc w:val="both"/>
        <w:rPr>
          <w:iCs/>
          <w:color w:val="auto"/>
          <w:sz w:val="22"/>
          <w:szCs w:val="22"/>
          <w:u w:val="single"/>
        </w:rPr>
      </w:pPr>
      <w:r w:rsidRPr="004C1A6D">
        <w:rPr>
          <w:iCs/>
          <w:color w:val="auto"/>
          <w:sz w:val="22"/>
          <w:szCs w:val="22"/>
          <w:u w:val="single"/>
        </w:rPr>
        <w:t xml:space="preserve">Interferencija s laboratorijskim testovima </w:t>
      </w:r>
    </w:p>
    <w:p w:rsidR="007C3DBB" w:rsidRPr="004C1A6D" w:rsidRDefault="007C3DBB" w:rsidP="00992223">
      <w:pPr>
        <w:pStyle w:val="Default"/>
        <w:jc w:val="both"/>
        <w:rPr>
          <w:iCs/>
          <w:color w:val="auto"/>
          <w:sz w:val="22"/>
          <w:szCs w:val="22"/>
          <w:u w:val="single"/>
        </w:rPr>
      </w:pPr>
    </w:p>
    <w:p w:rsidR="00E05CC5" w:rsidRPr="004C1A6D" w:rsidRDefault="00E05CC5" w:rsidP="00992223">
      <w:pPr>
        <w:jc w:val="both"/>
        <w:rPr>
          <w:sz w:val="22"/>
          <w:szCs w:val="22"/>
        </w:rPr>
      </w:pPr>
      <w:r w:rsidRPr="004C1A6D">
        <w:rPr>
          <w:sz w:val="22"/>
          <w:szCs w:val="22"/>
        </w:rPr>
        <w:t>Povišen nivo hromogr</w:t>
      </w:r>
      <w:r w:rsidR="00762384" w:rsidRPr="004C1A6D">
        <w:rPr>
          <w:sz w:val="22"/>
          <w:szCs w:val="22"/>
        </w:rPr>
        <w:t>anina A (CgA) može da interferira</w:t>
      </w:r>
      <w:r w:rsidRPr="004C1A6D">
        <w:rPr>
          <w:sz w:val="22"/>
          <w:szCs w:val="22"/>
        </w:rPr>
        <w:t xml:space="preserve"> s pretragama za neuroendokrine tumore. Kako bi se izbjegla ova interferencija, liječenje pan</w:t>
      </w:r>
      <w:r w:rsidR="00762384" w:rsidRPr="004C1A6D">
        <w:rPr>
          <w:sz w:val="22"/>
          <w:szCs w:val="22"/>
        </w:rPr>
        <w:t>toprazolom potrebno je da se prekine</w:t>
      </w:r>
      <w:r w:rsidRPr="004C1A6D">
        <w:rPr>
          <w:sz w:val="22"/>
          <w:szCs w:val="22"/>
        </w:rPr>
        <w:t xml:space="preserve"> najmanje 5 dana prije m</w:t>
      </w:r>
      <w:r w:rsidR="003C62B7" w:rsidRPr="004C1A6D">
        <w:rPr>
          <w:sz w:val="22"/>
          <w:szCs w:val="22"/>
        </w:rPr>
        <w:t>jerenja nivoa CgA (pogledati</w:t>
      </w:r>
      <w:r w:rsidRPr="004C1A6D">
        <w:rPr>
          <w:sz w:val="22"/>
          <w:szCs w:val="22"/>
        </w:rPr>
        <w:t xml:space="preserve"> dio 5.1.). Ako se nakon početnog mjerenja nivoi CgA i gastrina ne vrate unutar raspona referentnih vrij</w:t>
      </w:r>
      <w:r w:rsidR="00762384" w:rsidRPr="004C1A6D">
        <w:rPr>
          <w:sz w:val="22"/>
          <w:szCs w:val="22"/>
        </w:rPr>
        <w:t>edno</w:t>
      </w:r>
      <w:r w:rsidR="003503F0" w:rsidRPr="004C1A6D">
        <w:rPr>
          <w:sz w:val="22"/>
          <w:szCs w:val="22"/>
        </w:rPr>
        <w:t>sti, mjerenja treba da se ponove</w:t>
      </w:r>
      <w:r w:rsidRPr="004C1A6D">
        <w:rPr>
          <w:sz w:val="22"/>
          <w:szCs w:val="22"/>
        </w:rPr>
        <w:t xml:space="preserve"> 14 dana nakon prekida liječenja s inhibitorom protonske pumpe.</w:t>
      </w:r>
    </w:p>
    <w:p w:rsidR="005F7DE4" w:rsidRPr="004C1A6D" w:rsidRDefault="005F7DE4" w:rsidP="005F7DE4">
      <w:pPr>
        <w:tabs>
          <w:tab w:val="left" w:pos="540"/>
          <w:tab w:val="left" w:pos="569"/>
        </w:tabs>
        <w:jc w:val="both"/>
        <w:rPr>
          <w:bCs/>
          <w:noProof/>
          <w:sz w:val="22"/>
          <w:szCs w:val="22"/>
          <w:u w:val="single"/>
          <w:lang w:val="hr-BA"/>
        </w:rPr>
      </w:pPr>
    </w:p>
    <w:p w:rsidR="005F7DE4" w:rsidRPr="004C1A6D" w:rsidRDefault="00C52938" w:rsidP="005F7DE4">
      <w:pPr>
        <w:tabs>
          <w:tab w:val="left" w:pos="540"/>
          <w:tab w:val="left" w:pos="569"/>
        </w:tabs>
        <w:jc w:val="both"/>
        <w:rPr>
          <w:bCs/>
          <w:noProof/>
          <w:sz w:val="22"/>
          <w:szCs w:val="22"/>
          <w:u w:val="single"/>
          <w:lang w:val="hr-BA"/>
        </w:rPr>
      </w:pPr>
      <w:r w:rsidRPr="004C1A6D">
        <w:rPr>
          <w:bCs/>
          <w:noProof/>
          <w:sz w:val="22"/>
          <w:szCs w:val="22"/>
          <w:u w:val="single"/>
          <w:lang w:val="hr-BA"/>
        </w:rPr>
        <w:t xml:space="preserve">Lijek FENIX </w:t>
      </w:r>
      <w:r w:rsidR="005F7DE4" w:rsidRPr="004C1A6D">
        <w:rPr>
          <w:bCs/>
          <w:noProof/>
          <w:sz w:val="22"/>
          <w:szCs w:val="22"/>
          <w:u w:val="single"/>
          <w:lang w:val="hr-BA"/>
        </w:rPr>
        <w:t xml:space="preserve"> sadrži natrijum</w:t>
      </w:r>
    </w:p>
    <w:p w:rsidR="005F7DE4" w:rsidRPr="004C1A6D" w:rsidRDefault="005F7DE4" w:rsidP="005F7DE4">
      <w:pPr>
        <w:tabs>
          <w:tab w:val="left" w:pos="540"/>
          <w:tab w:val="left" w:pos="569"/>
        </w:tabs>
        <w:jc w:val="both"/>
        <w:rPr>
          <w:bCs/>
          <w:noProof/>
          <w:sz w:val="22"/>
          <w:szCs w:val="22"/>
          <w:lang w:val="hr-BA"/>
        </w:rPr>
      </w:pPr>
      <w:r w:rsidRPr="004C1A6D">
        <w:rPr>
          <w:bCs/>
          <w:noProof/>
          <w:sz w:val="22"/>
          <w:szCs w:val="22"/>
          <w:lang w:val="hr-BA"/>
        </w:rPr>
        <w:t>Ovaj lijek sadrži natrijum, manje od 1 mmola (23 mg) po jednoj dozi, u osnovi ne sadrži natrijum.</w:t>
      </w:r>
    </w:p>
    <w:p w:rsidR="005F7DE4" w:rsidRPr="004C1A6D" w:rsidRDefault="005F7DE4" w:rsidP="00992223">
      <w:pPr>
        <w:tabs>
          <w:tab w:val="left" w:pos="540"/>
          <w:tab w:val="left" w:pos="569"/>
        </w:tabs>
        <w:jc w:val="both"/>
        <w:rPr>
          <w:bCs/>
          <w:sz w:val="22"/>
          <w:szCs w:val="22"/>
        </w:rPr>
      </w:pPr>
    </w:p>
    <w:p w:rsidR="00411B4B" w:rsidRPr="004C1A6D" w:rsidRDefault="00411B4B" w:rsidP="00992223">
      <w:pPr>
        <w:tabs>
          <w:tab w:val="left" w:pos="540"/>
          <w:tab w:val="left" w:pos="569"/>
        </w:tabs>
        <w:jc w:val="both"/>
        <w:rPr>
          <w:b/>
          <w:bCs/>
          <w:sz w:val="22"/>
          <w:szCs w:val="22"/>
        </w:rPr>
      </w:pPr>
      <w:r w:rsidRPr="004C1A6D">
        <w:rPr>
          <w:b/>
          <w:bCs/>
          <w:sz w:val="22"/>
          <w:szCs w:val="22"/>
        </w:rPr>
        <w:t>4.5.</w:t>
      </w:r>
      <w:r w:rsidR="000D60CC" w:rsidRPr="004C1A6D">
        <w:rPr>
          <w:b/>
          <w:bCs/>
          <w:sz w:val="22"/>
          <w:szCs w:val="22"/>
        </w:rPr>
        <w:tab/>
      </w:r>
      <w:r w:rsidRPr="004C1A6D">
        <w:rPr>
          <w:b/>
          <w:bCs/>
          <w:sz w:val="22"/>
          <w:szCs w:val="22"/>
        </w:rPr>
        <w:t>Interakcije sa drugim ljekovima i druge vrste interakcija</w:t>
      </w:r>
    </w:p>
    <w:p w:rsidR="003477BE" w:rsidRPr="004C1A6D" w:rsidRDefault="003477BE" w:rsidP="00992223">
      <w:pPr>
        <w:tabs>
          <w:tab w:val="left" w:pos="540"/>
          <w:tab w:val="left" w:pos="569"/>
        </w:tabs>
        <w:jc w:val="both"/>
        <w:rPr>
          <w:b/>
          <w:bCs/>
          <w:sz w:val="22"/>
          <w:szCs w:val="22"/>
        </w:rPr>
      </w:pPr>
    </w:p>
    <w:p w:rsidR="003477BE" w:rsidRPr="004C1A6D" w:rsidRDefault="00BB4A50" w:rsidP="00992223">
      <w:pPr>
        <w:jc w:val="both"/>
        <w:rPr>
          <w:iCs/>
          <w:sz w:val="22"/>
          <w:szCs w:val="22"/>
          <w:u w:val="single"/>
        </w:rPr>
      </w:pPr>
      <w:r w:rsidRPr="004C1A6D">
        <w:rPr>
          <w:iCs/>
          <w:sz w:val="22"/>
          <w:szCs w:val="22"/>
          <w:u w:val="single"/>
        </w:rPr>
        <w:t>L</w:t>
      </w:r>
      <w:r w:rsidR="00702FA1" w:rsidRPr="004C1A6D">
        <w:rPr>
          <w:iCs/>
          <w:sz w:val="22"/>
          <w:szCs w:val="22"/>
          <w:u w:val="single"/>
        </w:rPr>
        <w:t>jekovi s pH-ovisnom re</w:t>
      </w:r>
      <w:r w:rsidR="003477BE" w:rsidRPr="004C1A6D">
        <w:rPr>
          <w:iCs/>
          <w:sz w:val="22"/>
          <w:szCs w:val="22"/>
          <w:u w:val="single"/>
        </w:rPr>
        <w:t>sorpcijskom farmakokinetikom</w:t>
      </w:r>
    </w:p>
    <w:p w:rsidR="009D396F" w:rsidRPr="004C1A6D" w:rsidRDefault="009D396F" w:rsidP="00992223">
      <w:pPr>
        <w:jc w:val="both"/>
        <w:rPr>
          <w:iCs/>
          <w:sz w:val="22"/>
          <w:szCs w:val="22"/>
          <w:u w:val="single"/>
        </w:rPr>
      </w:pPr>
    </w:p>
    <w:p w:rsidR="003477BE" w:rsidRPr="004C1A6D" w:rsidRDefault="003477BE" w:rsidP="00992223">
      <w:pPr>
        <w:jc w:val="both"/>
        <w:rPr>
          <w:sz w:val="22"/>
          <w:szCs w:val="22"/>
        </w:rPr>
      </w:pPr>
      <w:r w:rsidRPr="004C1A6D">
        <w:rPr>
          <w:sz w:val="22"/>
          <w:szCs w:val="22"/>
        </w:rPr>
        <w:t>Zbog snažne i dugotr</w:t>
      </w:r>
      <w:r w:rsidR="00D04722" w:rsidRPr="004C1A6D">
        <w:rPr>
          <w:sz w:val="22"/>
          <w:szCs w:val="22"/>
        </w:rPr>
        <w:t>ajne inhibicije sekrecije želudač</w:t>
      </w:r>
      <w:r w:rsidRPr="004C1A6D">
        <w:rPr>
          <w:sz w:val="22"/>
          <w:szCs w:val="22"/>
        </w:rPr>
        <w:t>ne kis</w:t>
      </w:r>
      <w:r w:rsidR="00D04722" w:rsidRPr="004C1A6D">
        <w:rPr>
          <w:sz w:val="22"/>
          <w:szCs w:val="22"/>
        </w:rPr>
        <w:t>jeline, pantoprazol može da interferira</w:t>
      </w:r>
      <w:r w:rsidR="000C6241" w:rsidRPr="004C1A6D">
        <w:rPr>
          <w:sz w:val="22"/>
          <w:szCs w:val="22"/>
        </w:rPr>
        <w:t xml:space="preserve"> s re</w:t>
      </w:r>
      <w:r w:rsidR="00914A55" w:rsidRPr="004C1A6D">
        <w:rPr>
          <w:sz w:val="22"/>
          <w:szCs w:val="22"/>
        </w:rPr>
        <w:t>sorpcijom drugih l</w:t>
      </w:r>
      <w:r w:rsidRPr="004C1A6D">
        <w:rPr>
          <w:sz w:val="22"/>
          <w:szCs w:val="22"/>
        </w:rPr>
        <w:t>jekova kod kojih je gastrični pH važna determinanta oralne raspoloživosti, npr. neki azolni antimikotici poput ketokonazola, itrakon</w:t>
      </w:r>
      <w:r w:rsidR="00D04722" w:rsidRPr="004C1A6D">
        <w:rPr>
          <w:sz w:val="22"/>
          <w:szCs w:val="22"/>
        </w:rPr>
        <w:t>azola, posakonazola i</w:t>
      </w:r>
      <w:r w:rsidR="00EA1D7A" w:rsidRPr="004C1A6D">
        <w:rPr>
          <w:sz w:val="22"/>
          <w:szCs w:val="22"/>
        </w:rPr>
        <w:t xml:space="preserve"> drugi l</w:t>
      </w:r>
      <w:r w:rsidRPr="004C1A6D">
        <w:rPr>
          <w:sz w:val="22"/>
          <w:szCs w:val="22"/>
        </w:rPr>
        <w:t>jekovi poput erlotiniba.</w:t>
      </w:r>
    </w:p>
    <w:p w:rsidR="00E253EB" w:rsidRPr="004C1A6D" w:rsidRDefault="00E253EB" w:rsidP="00992223">
      <w:pPr>
        <w:jc w:val="both"/>
        <w:rPr>
          <w:i/>
          <w:sz w:val="22"/>
          <w:szCs w:val="22"/>
        </w:rPr>
      </w:pPr>
    </w:p>
    <w:p w:rsidR="003477BE" w:rsidRPr="004C1A6D" w:rsidRDefault="003477BE" w:rsidP="00992223">
      <w:pPr>
        <w:jc w:val="both"/>
        <w:rPr>
          <w:iCs/>
          <w:sz w:val="22"/>
          <w:szCs w:val="22"/>
          <w:u w:val="single"/>
        </w:rPr>
      </w:pPr>
      <w:r w:rsidRPr="004C1A6D">
        <w:rPr>
          <w:iCs/>
          <w:sz w:val="22"/>
          <w:szCs w:val="22"/>
          <w:u w:val="single"/>
        </w:rPr>
        <w:t xml:space="preserve">Inhibitori HIV </w:t>
      </w:r>
      <w:r w:rsidR="00AD4D74" w:rsidRPr="004C1A6D">
        <w:rPr>
          <w:iCs/>
          <w:sz w:val="22"/>
          <w:szCs w:val="22"/>
          <w:u w:val="single"/>
        </w:rPr>
        <w:t>proteaz</w:t>
      </w:r>
      <w:r w:rsidR="00E879EF" w:rsidRPr="004C1A6D">
        <w:rPr>
          <w:iCs/>
          <w:sz w:val="22"/>
          <w:szCs w:val="22"/>
          <w:u w:val="single"/>
        </w:rPr>
        <w:t>e</w:t>
      </w:r>
    </w:p>
    <w:p w:rsidR="00E879EF" w:rsidRPr="004C1A6D" w:rsidRDefault="00E879EF" w:rsidP="00992223">
      <w:pPr>
        <w:jc w:val="both"/>
        <w:rPr>
          <w:iCs/>
          <w:sz w:val="22"/>
          <w:szCs w:val="22"/>
          <w:u w:val="single"/>
        </w:rPr>
      </w:pPr>
    </w:p>
    <w:p w:rsidR="003477BE" w:rsidRPr="004C1A6D" w:rsidRDefault="003477BE" w:rsidP="00992223">
      <w:pPr>
        <w:jc w:val="both"/>
        <w:rPr>
          <w:sz w:val="22"/>
          <w:szCs w:val="22"/>
        </w:rPr>
      </w:pPr>
      <w:r w:rsidRPr="004C1A6D">
        <w:rPr>
          <w:sz w:val="22"/>
          <w:szCs w:val="22"/>
        </w:rPr>
        <w:t>Ne preporučuje se istovremena primjena pantoprazola s inhi</w:t>
      </w:r>
      <w:r w:rsidR="005360DA" w:rsidRPr="004C1A6D">
        <w:rPr>
          <w:sz w:val="22"/>
          <w:szCs w:val="22"/>
        </w:rPr>
        <w:t>bitorima HIV proteaze čija je re</w:t>
      </w:r>
      <w:r w:rsidR="00D04722" w:rsidRPr="004C1A6D">
        <w:rPr>
          <w:sz w:val="22"/>
          <w:szCs w:val="22"/>
        </w:rPr>
        <w:t>sorpcija za</w:t>
      </w:r>
      <w:r w:rsidRPr="004C1A6D">
        <w:rPr>
          <w:sz w:val="22"/>
          <w:szCs w:val="22"/>
        </w:rPr>
        <w:t>visna o</w:t>
      </w:r>
      <w:r w:rsidR="00D04722" w:rsidRPr="004C1A6D">
        <w:rPr>
          <w:sz w:val="22"/>
          <w:szCs w:val="22"/>
        </w:rPr>
        <w:t>d kiselog intragastričnog</w:t>
      </w:r>
      <w:r w:rsidRPr="004C1A6D">
        <w:rPr>
          <w:sz w:val="22"/>
          <w:szCs w:val="22"/>
        </w:rPr>
        <w:t xml:space="preserve"> pH, poput atazanavira, zbog značajnog smanjenja nj</w:t>
      </w:r>
      <w:r w:rsidR="006A2A28" w:rsidRPr="004C1A6D">
        <w:rPr>
          <w:sz w:val="22"/>
          <w:szCs w:val="22"/>
        </w:rPr>
        <w:t>ihove bioraspoloživosti (pogledati</w:t>
      </w:r>
      <w:r w:rsidRPr="004C1A6D">
        <w:rPr>
          <w:sz w:val="22"/>
          <w:szCs w:val="22"/>
        </w:rPr>
        <w:t xml:space="preserve"> dio 4.4.).</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Ako se prosudi da je kombinacija inhibitora HIV proteaze s inhibitorom protonske pumpe neizbježna, preporučuje se pažljivo kliničko praćenje (npr. količine virusa). Doza od 20 mg pantoprazola na dan ne smije biti prekoračena. Može biti potrebno podešavanje doze inhibitora HIV proteaze.</w:t>
      </w:r>
    </w:p>
    <w:p w:rsidR="003477BE" w:rsidRPr="004C1A6D" w:rsidRDefault="003477BE" w:rsidP="00992223">
      <w:pPr>
        <w:jc w:val="both"/>
        <w:rPr>
          <w:i/>
          <w:sz w:val="22"/>
          <w:szCs w:val="22"/>
        </w:rPr>
      </w:pPr>
    </w:p>
    <w:p w:rsidR="003477BE" w:rsidRPr="004C1A6D" w:rsidRDefault="003477BE" w:rsidP="00992223">
      <w:pPr>
        <w:jc w:val="both"/>
        <w:rPr>
          <w:iCs/>
          <w:sz w:val="22"/>
          <w:szCs w:val="22"/>
          <w:u w:val="single"/>
        </w:rPr>
      </w:pPr>
      <w:r w:rsidRPr="004C1A6D">
        <w:rPr>
          <w:iCs/>
          <w:sz w:val="22"/>
          <w:szCs w:val="22"/>
          <w:u w:val="single"/>
        </w:rPr>
        <w:t xml:space="preserve">Kumarinski antikoagulansi (fenprokumon ili varfarin) </w:t>
      </w:r>
    </w:p>
    <w:p w:rsidR="007B3190" w:rsidRPr="004C1A6D" w:rsidRDefault="007B3190" w:rsidP="00992223">
      <w:pPr>
        <w:jc w:val="both"/>
        <w:rPr>
          <w:iCs/>
          <w:sz w:val="22"/>
          <w:szCs w:val="22"/>
          <w:u w:val="single"/>
        </w:rPr>
      </w:pPr>
    </w:p>
    <w:p w:rsidR="003477BE" w:rsidRPr="004C1A6D" w:rsidRDefault="003477BE" w:rsidP="00992223">
      <w:pPr>
        <w:jc w:val="both"/>
        <w:rPr>
          <w:sz w:val="22"/>
          <w:szCs w:val="22"/>
        </w:rPr>
      </w:pPr>
      <w:r w:rsidRPr="004C1A6D">
        <w:rPr>
          <w:sz w:val="22"/>
          <w:szCs w:val="22"/>
        </w:rPr>
        <w:t xml:space="preserve">Istovremena primjena pantoprazola s varfarinom ili fenprokumonom nije uticala na farmakokinetiku varfarina, fenprokumona ili na INR. Međutim, bilo je izvještaja o povećanom INR-u i protrombinskom vremenu </w:t>
      </w:r>
      <w:r w:rsidR="00F72609" w:rsidRPr="004C1A6D">
        <w:rPr>
          <w:sz w:val="22"/>
          <w:szCs w:val="22"/>
        </w:rPr>
        <w:t>kod</w:t>
      </w:r>
      <w:r w:rsidRPr="004C1A6D">
        <w:rPr>
          <w:sz w:val="22"/>
          <w:szCs w:val="22"/>
        </w:rPr>
        <w:t xml:space="preserve"> pacijenata koji su istovremeno primali inhibitire protonske pumpe i varfarin ili fenprokumon. Povećanja INR-a i protrombinskog vremena mogu dovesti do abnormalnog krvarenja, pa čak i do smrti. Pacijente liječene pantoprazolom i varfarinom ili fenprokumonom može biti potrebno pratiti u odnosu na povećanje INR-a i protrombinskog vremena. </w:t>
      </w:r>
    </w:p>
    <w:p w:rsidR="003477BE" w:rsidRPr="004C1A6D" w:rsidRDefault="003477BE" w:rsidP="00992223">
      <w:pPr>
        <w:pStyle w:val="Default"/>
        <w:jc w:val="both"/>
        <w:rPr>
          <w:iCs/>
          <w:color w:val="auto"/>
          <w:sz w:val="22"/>
          <w:szCs w:val="22"/>
          <w:u w:val="single"/>
        </w:rPr>
      </w:pPr>
      <w:r w:rsidRPr="004C1A6D">
        <w:rPr>
          <w:iCs/>
          <w:color w:val="auto"/>
          <w:sz w:val="22"/>
          <w:szCs w:val="22"/>
          <w:u w:val="single"/>
        </w:rPr>
        <w:lastRenderedPageBreak/>
        <w:t xml:space="preserve">Metotreksat </w:t>
      </w:r>
    </w:p>
    <w:p w:rsidR="003103DB" w:rsidRPr="004C1A6D" w:rsidRDefault="003103DB" w:rsidP="00992223">
      <w:pPr>
        <w:pStyle w:val="Default"/>
        <w:jc w:val="both"/>
        <w:rPr>
          <w:iCs/>
          <w:color w:val="auto"/>
          <w:sz w:val="22"/>
          <w:szCs w:val="22"/>
          <w:u w:val="single"/>
        </w:rPr>
      </w:pPr>
    </w:p>
    <w:p w:rsidR="003477BE" w:rsidRPr="004C1A6D" w:rsidRDefault="003477BE" w:rsidP="00992223">
      <w:pPr>
        <w:jc w:val="both"/>
        <w:rPr>
          <w:sz w:val="22"/>
          <w:szCs w:val="22"/>
          <w:lang w:val="hr-HR"/>
        </w:rPr>
      </w:pPr>
      <w:r w:rsidRPr="004C1A6D">
        <w:rPr>
          <w:sz w:val="22"/>
          <w:szCs w:val="22"/>
          <w:lang w:val="hr-HR"/>
        </w:rPr>
        <w:t>Zabilježeno je da istovremena primjena visokih doza metotreksata (npr. 300 mg) i inhibitor</w:t>
      </w:r>
      <w:r w:rsidR="00582CD3" w:rsidRPr="004C1A6D">
        <w:rPr>
          <w:sz w:val="22"/>
          <w:szCs w:val="22"/>
          <w:lang w:val="hr-HR"/>
        </w:rPr>
        <w:t>a protonske pumpe, može da povisi nivoe metotreksata kod</w:t>
      </w:r>
      <w:r w:rsidRPr="004C1A6D">
        <w:rPr>
          <w:sz w:val="22"/>
          <w:szCs w:val="22"/>
          <w:lang w:val="hr-HR"/>
        </w:rPr>
        <w:t xml:space="preserve"> nekih pacijenata. Stoga, u slučajevima gdje se primjenjuju visoke doze metotreksata, npr.</w:t>
      </w:r>
      <w:r w:rsidR="00582CD3" w:rsidRPr="004C1A6D">
        <w:rPr>
          <w:sz w:val="22"/>
          <w:szCs w:val="22"/>
          <w:lang w:val="hr-HR"/>
        </w:rPr>
        <w:t xml:space="preserve"> kod karcinoma i psorijaze, možda će biti potrebno da se razmotri</w:t>
      </w:r>
      <w:r w:rsidRPr="004C1A6D">
        <w:rPr>
          <w:sz w:val="22"/>
          <w:szCs w:val="22"/>
          <w:lang w:val="hr-HR"/>
        </w:rPr>
        <w:t xml:space="preserve"> privremeni prekid primjene pantoprazola.</w:t>
      </w:r>
    </w:p>
    <w:p w:rsidR="003477BE" w:rsidRPr="004C1A6D" w:rsidRDefault="003477BE" w:rsidP="00992223">
      <w:pPr>
        <w:jc w:val="both"/>
        <w:rPr>
          <w:sz w:val="22"/>
          <w:szCs w:val="22"/>
          <w:lang w:val="hr-HR"/>
        </w:rPr>
      </w:pPr>
    </w:p>
    <w:p w:rsidR="003477BE" w:rsidRPr="004C1A6D" w:rsidRDefault="003477BE" w:rsidP="00992223">
      <w:pPr>
        <w:jc w:val="both"/>
        <w:rPr>
          <w:iCs/>
          <w:sz w:val="22"/>
          <w:szCs w:val="22"/>
          <w:u w:val="single"/>
        </w:rPr>
      </w:pPr>
      <w:r w:rsidRPr="004C1A6D">
        <w:rPr>
          <w:iCs/>
          <w:sz w:val="22"/>
          <w:szCs w:val="22"/>
          <w:u w:val="single"/>
        </w:rPr>
        <w:t>Druge studije interakcija</w:t>
      </w:r>
    </w:p>
    <w:p w:rsidR="00A91535" w:rsidRPr="004C1A6D" w:rsidRDefault="00A91535" w:rsidP="00992223">
      <w:pPr>
        <w:jc w:val="both"/>
        <w:rPr>
          <w:iCs/>
          <w:sz w:val="22"/>
          <w:szCs w:val="22"/>
          <w:u w:val="single"/>
        </w:rPr>
      </w:pPr>
    </w:p>
    <w:p w:rsidR="003477BE" w:rsidRPr="004C1A6D" w:rsidRDefault="003477BE" w:rsidP="00992223">
      <w:pPr>
        <w:jc w:val="both"/>
        <w:rPr>
          <w:sz w:val="22"/>
          <w:szCs w:val="22"/>
        </w:rPr>
      </w:pPr>
      <w:r w:rsidRPr="004C1A6D">
        <w:rPr>
          <w:sz w:val="22"/>
          <w:szCs w:val="22"/>
        </w:rPr>
        <w:t>Pan</w:t>
      </w:r>
      <w:r w:rsidR="00582CD3" w:rsidRPr="004C1A6D">
        <w:rPr>
          <w:sz w:val="22"/>
          <w:szCs w:val="22"/>
        </w:rPr>
        <w:t>toprazol se opsežno metabolizuje</w:t>
      </w:r>
      <w:r w:rsidRPr="004C1A6D">
        <w:rPr>
          <w:sz w:val="22"/>
          <w:szCs w:val="22"/>
        </w:rPr>
        <w:t xml:space="preserve"> u jetri posredstvom citohrom P450 enzimskog sistema. Glavni metabolički put je demetilacija putem CYP2C19, a ostali metabolički putevi uključuju oksidaciju putem CYP3A4.</w:t>
      </w:r>
    </w:p>
    <w:p w:rsidR="003477BE" w:rsidRPr="004C1A6D" w:rsidRDefault="003477BE" w:rsidP="00992223">
      <w:pPr>
        <w:jc w:val="both"/>
        <w:rPr>
          <w:sz w:val="22"/>
          <w:szCs w:val="22"/>
        </w:rPr>
      </w:pPr>
    </w:p>
    <w:p w:rsidR="003477BE" w:rsidRPr="004C1A6D" w:rsidRDefault="0069679A" w:rsidP="00992223">
      <w:pPr>
        <w:jc w:val="both"/>
        <w:rPr>
          <w:sz w:val="22"/>
          <w:szCs w:val="22"/>
        </w:rPr>
      </w:pPr>
      <w:r w:rsidRPr="004C1A6D">
        <w:rPr>
          <w:sz w:val="22"/>
          <w:szCs w:val="22"/>
        </w:rPr>
        <w:t>Studije interakcija s l</w:t>
      </w:r>
      <w:r w:rsidR="00582CD3" w:rsidRPr="004C1A6D">
        <w:rPr>
          <w:sz w:val="22"/>
          <w:szCs w:val="22"/>
        </w:rPr>
        <w:t>jekovima koji se takođe metabolizuju</w:t>
      </w:r>
      <w:r w:rsidR="003477BE" w:rsidRPr="004C1A6D">
        <w:rPr>
          <w:sz w:val="22"/>
          <w:szCs w:val="22"/>
        </w:rPr>
        <w:t xml:space="preserve"> na ovaj način, poput karbamazepina, diazepama, glibenklamida, nifedipina i oralnih kontraceptiva koji sadrže levonorgestrel i etinilestradiol, nisu otkrile klinički značajne interakcije. </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 xml:space="preserve">Ne može </w:t>
      </w:r>
      <w:r w:rsidR="00582CD3" w:rsidRPr="004C1A6D">
        <w:rPr>
          <w:sz w:val="22"/>
          <w:szCs w:val="22"/>
        </w:rPr>
        <w:t>da se isključi</w:t>
      </w:r>
      <w:r w:rsidRPr="004C1A6D">
        <w:rPr>
          <w:sz w:val="22"/>
          <w:szCs w:val="22"/>
        </w:rPr>
        <w:t xml:space="preserve"> inte</w:t>
      </w:r>
      <w:r w:rsidR="001B325F" w:rsidRPr="004C1A6D">
        <w:rPr>
          <w:sz w:val="22"/>
          <w:szCs w:val="22"/>
        </w:rPr>
        <w:t>rakcija pantoprazola s drugim l</w:t>
      </w:r>
      <w:r w:rsidRPr="004C1A6D">
        <w:rPr>
          <w:sz w:val="22"/>
          <w:szCs w:val="22"/>
        </w:rPr>
        <w:t xml:space="preserve">jekovima ili </w:t>
      </w:r>
      <w:r w:rsidR="00582CD3" w:rsidRPr="004C1A6D">
        <w:rPr>
          <w:sz w:val="22"/>
          <w:szCs w:val="22"/>
        </w:rPr>
        <w:t>spojevima koji se metabolizuju</w:t>
      </w:r>
      <w:r w:rsidRPr="004C1A6D">
        <w:rPr>
          <w:sz w:val="22"/>
          <w:szCs w:val="22"/>
        </w:rPr>
        <w:t xml:space="preserve"> putem istog enzimskog sistema.</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 xml:space="preserve">Rezultati brojnih studija interakcija pokazuju da pantoprazol ne utiče na metabolizam aktivnih </w:t>
      </w:r>
      <w:r w:rsidR="00582CD3" w:rsidRPr="004C1A6D">
        <w:rPr>
          <w:sz w:val="22"/>
          <w:szCs w:val="22"/>
        </w:rPr>
        <w:t>supstanci koje se metabolizuju</w:t>
      </w:r>
      <w:r w:rsidRPr="004C1A6D">
        <w:rPr>
          <w:sz w:val="22"/>
          <w:szCs w:val="22"/>
        </w:rPr>
        <w:t xml:space="preserve"> putem enzima CYP1A2 (kao što su kofein, teofilin), CYP2C9 (kao što su piroksikam, diklofenak, naproksen), CYP2D6 (kao što je metoprolol), CYP2E1 (kao što j</w:t>
      </w:r>
      <w:r w:rsidR="006B1FA1" w:rsidRPr="004C1A6D">
        <w:rPr>
          <w:sz w:val="22"/>
          <w:szCs w:val="22"/>
        </w:rPr>
        <w:t>e etanol), niti interferira s re</w:t>
      </w:r>
      <w:r w:rsidRPr="004C1A6D">
        <w:rPr>
          <w:sz w:val="22"/>
          <w:szCs w:val="22"/>
        </w:rPr>
        <w:t>sorpcijom digoksina povezanom s p-glikoproteinom.</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Nisu zabilježene interakcije s istovremeno primijenjenim antacidima.</w:t>
      </w:r>
    </w:p>
    <w:p w:rsidR="003477BE" w:rsidRPr="004C1A6D" w:rsidRDefault="003477BE" w:rsidP="00992223">
      <w:pPr>
        <w:jc w:val="both"/>
        <w:rPr>
          <w:sz w:val="22"/>
          <w:szCs w:val="22"/>
        </w:rPr>
      </w:pPr>
    </w:p>
    <w:p w:rsidR="003477BE" w:rsidRPr="004C1A6D" w:rsidRDefault="00083883" w:rsidP="00992223">
      <w:pPr>
        <w:jc w:val="both"/>
        <w:rPr>
          <w:sz w:val="22"/>
          <w:szCs w:val="22"/>
        </w:rPr>
      </w:pPr>
      <w:r w:rsidRPr="004C1A6D">
        <w:rPr>
          <w:sz w:val="22"/>
          <w:szCs w:val="22"/>
        </w:rPr>
        <w:t>Studije interakcija takođe</w:t>
      </w:r>
      <w:r w:rsidR="003477BE" w:rsidRPr="004C1A6D">
        <w:rPr>
          <w:sz w:val="22"/>
          <w:szCs w:val="22"/>
        </w:rPr>
        <w:t xml:space="preserve"> su provedene tokom istovremene primjene pantoprazola s odgovarajućim antibioticima (klaritromicin, metronidazol, amoksicilin). Nisu ustanovljene nikakve klinički značajne interakcije.</w:t>
      </w:r>
    </w:p>
    <w:p w:rsidR="003477BE" w:rsidRPr="004C1A6D" w:rsidRDefault="003477BE" w:rsidP="00992223">
      <w:pPr>
        <w:jc w:val="both"/>
        <w:rPr>
          <w:sz w:val="22"/>
          <w:szCs w:val="22"/>
        </w:rPr>
      </w:pPr>
    </w:p>
    <w:p w:rsidR="003477BE" w:rsidRPr="004C1A6D" w:rsidRDefault="00F6119A" w:rsidP="00992223">
      <w:pPr>
        <w:jc w:val="both"/>
        <w:rPr>
          <w:i/>
          <w:iCs/>
          <w:sz w:val="22"/>
          <w:szCs w:val="22"/>
        </w:rPr>
      </w:pPr>
      <w:r w:rsidRPr="004C1A6D">
        <w:rPr>
          <w:i/>
          <w:iCs/>
          <w:sz w:val="22"/>
          <w:szCs w:val="22"/>
        </w:rPr>
        <w:t>L</w:t>
      </w:r>
      <w:r w:rsidR="003477BE" w:rsidRPr="004C1A6D">
        <w:rPr>
          <w:i/>
          <w:iCs/>
          <w:sz w:val="22"/>
          <w:szCs w:val="22"/>
        </w:rPr>
        <w:t>jekovi koji inhibiraju ili induciraju CYP2C19</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Inhibitori CYP2C19, p</w:t>
      </w:r>
      <w:r w:rsidR="00083883" w:rsidRPr="004C1A6D">
        <w:rPr>
          <w:sz w:val="22"/>
          <w:szCs w:val="22"/>
        </w:rPr>
        <w:t>oput fluvoksamina, mogu da povećaju</w:t>
      </w:r>
      <w:r w:rsidRPr="004C1A6D">
        <w:rPr>
          <w:sz w:val="22"/>
          <w:szCs w:val="22"/>
        </w:rPr>
        <w:t xml:space="preserve"> sistemsku ekspoziciju pantoprazola. Smanjenje doze može </w:t>
      </w:r>
      <w:r w:rsidR="00083883" w:rsidRPr="004C1A6D">
        <w:rPr>
          <w:sz w:val="22"/>
          <w:szCs w:val="22"/>
        </w:rPr>
        <w:t>da se razmotri</w:t>
      </w:r>
      <w:r w:rsidRPr="004C1A6D">
        <w:rPr>
          <w:sz w:val="22"/>
          <w:szCs w:val="22"/>
        </w:rPr>
        <w:t xml:space="preserve"> za pacijente koji se dugotrajno liječe visokim dozama pantopra</w:t>
      </w:r>
      <w:r w:rsidR="00083883" w:rsidRPr="004C1A6D">
        <w:rPr>
          <w:sz w:val="22"/>
          <w:szCs w:val="22"/>
        </w:rPr>
        <w:t>zola ili za pacijente s</w:t>
      </w:r>
      <w:r w:rsidRPr="004C1A6D">
        <w:rPr>
          <w:sz w:val="22"/>
          <w:szCs w:val="22"/>
        </w:rPr>
        <w:t xml:space="preserve"> oštećenjem</w:t>
      </w:r>
      <w:r w:rsidR="00083883" w:rsidRPr="004C1A6D">
        <w:rPr>
          <w:sz w:val="22"/>
          <w:szCs w:val="22"/>
        </w:rPr>
        <w:t xml:space="preserve"> jetre</w:t>
      </w:r>
      <w:r w:rsidRPr="004C1A6D">
        <w:rPr>
          <w:sz w:val="22"/>
          <w:szCs w:val="22"/>
        </w:rPr>
        <w:t>.</w:t>
      </w:r>
    </w:p>
    <w:p w:rsidR="003477BE" w:rsidRPr="004C1A6D" w:rsidRDefault="003477BE" w:rsidP="00992223">
      <w:pPr>
        <w:jc w:val="both"/>
        <w:rPr>
          <w:sz w:val="22"/>
          <w:szCs w:val="22"/>
        </w:rPr>
      </w:pPr>
    </w:p>
    <w:p w:rsidR="003477BE" w:rsidRPr="004C1A6D" w:rsidRDefault="003477BE" w:rsidP="00992223">
      <w:pPr>
        <w:jc w:val="both"/>
        <w:rPr>
          <w:sz w:val="22"/>
          <w:szCs w:val="22"/>
        </w:rPr>
      </w:pPr>
      <w:r w:rsidRPr="004C1A6D">
        <w:rPr>
          <w:sz w:val="22"/>
          <w:szCs w:val="22"/>
        </w:rPr>
        <w:t>Induktori enzima koji utiču na CYP2C19 i CYP3A4, poput rifampicina i kantariona (</w:t>
      </w:r>
      <w:r w:rsidRPr="004C1A6D">
        <w:rPr>
          <w:i/>
          <w:sz w:val="22"/>
          <w:szCs w:val="22"/>
        </w:rPr>
        <w:t>Hypericum perforatum</w:t>
      </w:r>
      <w:r w:rsidRPr="004C1A6D">
        <w:rPr>
          <w:sz w:val="22"/>
          <w:szCs w:val="22"/>
        </w:rPr>
        <w:t xml:space="preserve">), mogu </w:t>
      </w:r>
      <w:r w:rsidR="00083883" w:rsidRPr="004C1A6D">
        <w:rPr>
          <w:sz w:val="22"/>
          <w:szCs w:val="22"/>
        </w:rPr>
        <w:t>da smanje</w:t>
      </w:r>
      <w:r w:rsidRPr="004C1A6D">
        <w:rPr>
          <w:sz w:val="22"/>
          <w:szCs w:val="22"/>
        </w:rPr>
        <w:t xml:space="preserve"> plazmatske koncentracije inhibtora proton</w:t>
      </w:r>
      <w:r w:rsidR="00083883" w:rsidRPr="004C1A6D">
        <w:rPr>
          <w:sz w:val="22"/>
          <w:szCs w:val="22"/>
        </w:rPr>
        <w:t>ske pumpe koji se metabolizuju</w:t>
      </w:r>
      <w:r w:rsidRPr="004C1A6D">
        <w:rPr>
          <w:sz w:val="22"/>
          <w:szCs w:val="22"/>
        </w:rPr>
        <w:t xml:space="preserve"> putem ovih enzimskih sistema.</w:t>
      </w:r>
    </w:p>
    <w:p w:rsidR="0072020E" w:rsidRPr="004C1A6D" w:rsidRDefault="0072020E"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sz w:val="22"/>
          <w:szCs w:val="22"/>
          <w:lang w:val="sr-Latn-CS"/>
        </w:rPr>
      </w:pPr>
      <w:r w:rsidRPr="004C1A6D">
        <w:rPr>
          <w:b/>
          <w:bCs/>
          <w:sz w:val="22"/>
          <w:szCs w:val="22"/>
        </w:rPr>
        <w:t xml:space="preserve">4.6. </w:t>
      </w:r>
      <w:r w:rsidR="00480FB1" w:rsidRPr="004C1A6D">
        <w:rPr>
          <w:b/>
          <w:bCs/>
          <w:sz w:val="22"/>
          <w:szCs w:val="22"/>
        </w:rPr>
        <w:tab/>
      </w:r>
      <w:r w:rsidR="006D20A5" w:rsidRPr="004C1A6D">
        <w:rPr>
          <w:b/>
          <w:sz w:val="22"/>
          <w:szCs w:val="22"/>
          <w:lang w:val="sr-Latn-CS"/>
        </w:rPr>
        <w:t>Plodnost, trudnoća i dojenje</w:t>
      </w:r>
    </w:p>
    <w:p w:rsidR="002031B3" w:rsidRPr="004C1A6D" w:rsidRDefault="002031B3" w:rsidP="00992223">
      <w:pPr>
        <w:tabs>
          <w:tab w:val="left" w:pos="540"/>
          <w:tab w:val="left" w:pos="569"/>
        </w:tabs>
        <w:jc w:val="both"/>
        <w:rPr>
          <w:sz w:val="22"/>
          <w:szCs w:val="22"/>
          <w:u w:val="single"/>
        </w:rPr>
      </w:pPr>
    </w:p>
    <w:p w:rsidR="007A3ECB" w:rsidRPr="004C1A6D" w:rsidRDefault="007A3ECB" w:rsidP="00992223">
      <w:pPr>
        <w:tabs>
          <w:tab w:val="left" w:pos="540"/>
          <w:tab w:val="left" w:pos="569"/>
        </w:tabs>
        <w:jc w:val="both"/>
        <w:rPr>
          <w:sz w:val="22"/>
          <w:szCs w:val="22"/>
          <w:u w:val="single"/>
        </w:rPr>
      </w:pPr>
      <w:r w:rsidRPr="004C1A6D">
        <w:rPr>
          <w:sz w:val="22"/>
          <w:szCs w:val="22"/>
          <w:u w:val="single"/>
        </w:rPr>
        <w:t>Trudnoća</w:t>
      </w:r>
    </w:p>
    <w:p w:rsidR="00DD05F0" w:rsidRPr="004C1A6D" w:rsidRDefault="00DD05F0" w:rsidP="00992223">
      <w:pPr>
        <w:jc w:val="both"/>
        <w:rPr>
          <w:sz w:val="22"/>
          <w:szCs w:val="22"/>
        </w:rPr>
      </w:pPr>
      <w:r w:rsidRPr="004C1A6D">
        <w:rPr>
          <w:sz w:val="22"/>
          <w:szCs w:val="22"/>
        </w:rPr>
        <w:t>Umjerena količina podataka koji se odnose na trudnice (između 300 i 1000 ishoda trudnoće), ne upućuje na postojanje malformativne ili feto/neonatalne toksičnosti pantoprazola.</w:t>
      </w:r>
    </w:p>
    <w:p w:rsidR="00DD05F0" w:rsidRPr="004C1A6D" w:rsidRDefault="00DD05F0" w:rsidP="00992223">
      <w:pPr>
        <w:jc w:val="both"/>
        <w:rPr>
          <w:sz w:val="22"/>
          <w:szCs w:val="22"/>
        </w:rPr>
      </w:pPr>
    </w:p>
    <w:p w:rsidR="00DD05F0" w:rsidRPr="004C1A6D" w:rsidRDefault="00DD05F0" w:rsidP="00992223">
      <w:pPr>
        <w:jc w:val="both"/>
        <w:rPr>
          <w:sz w:val="22"/>
          <w:szCs w:val="22"/>
        </w:rPr>
      </w:pPr>
      <w:r w:rsidRPr="004C1A6D">
        <w:rPr>
          <w:sz w:val="22"/>
          <w:szCs w:val="22"/>
        </w:rPr>
        <w:t>Studije na životinjama otkrile su r</w:t>
      </w:r>
      <w:r w:rsidR="00131244" w:rsidRPr="004C1A6D">
        <w:rPr>
          <w:sz w:val="22"/>
          <w:szCs w:val="22"/>
        </w:rPr>
        <w:t>eproduktivnu toksičnost (pogledati</w:t>
      </w:r>
      <w:r w:rsidRPr="004C1A6D">
        <w:rPr>
          <w:sz w:val="22"/>
          <w:szCs w:val="22"/>
        </w:rPr>
        <w:t xml:space="preserve"> dio 5.3.).</w:t>
      </w:r>
    </w:p>
    <w:p w:rsidR="00DD05F0" w:rsidRPr="004C1A6D" w:rsidRDefault="00DD05F0" w:rsidP="00992223">
      <w:pPr>
        <w:jc w:val="both"/>
        <w:rPr>
          <w:sz w:val="22"/>
          <w:szCs w:val="22"/>
        </w:rPr>
      </w:pPr>
    </w:p>
    <w:p w:rsidR="00DD05F0" w:rsidRPr="004C1A6D" w:rsidRDefault="00DD05F0" w:rsidP="00992223">
      <w:pPr>
        <w:jc w:val="both"/>
        <w:rPr>
          <w:sz w:val="22"/>
          <w:szCs w:val="22"/>
        </w:rPr>
      </w:pPr>
      <w:r w:rsidRPr="004C1A6D">
        <w:rPr>
          <w:sz w:val="22"/>
          <w:szCs w:val="22"/>
        </w:rPr>
        <w:t xml:space="preserve">Kao mjera </w:t>
      </w:r>
      <w:r w:rsidR="00083883" w:rsidRPr="004C1A6D">
        <w:rPr>
          <w:sz w:val="22"/>
          <w:szCs w:val="22"/>
        </w:rPr>
        <w:t>opreza, preferira se izbjegavanje primjene</w:t>
      </w:r>
      <w:r w:rsidRPr="004C1A6D">
        <w:rPr>
          <w:sz w:val="22"/>
          <w:szCs w:val="22"/>
        </w:rPr>
        <w:t xml:space="preserve"> </w:t>
      </w:r>
      <w:r w:rsidR="00FD2F34" w:rsidRPr="004C1A6D">
        <w:rPr>
          <w:sz w:val="22"/>
          <w:szCs w:val="22"/>
        </w:rPr>
        <w:t xml:space="preserve">lijeka </w:t>
      </w:r>
      <w:r w:rsidRPr="004C1A6D">
        <w:rPr>
          <w:sz w:val="22"/>
          <w:szCs w:val="22"/>
        </w:rPr>
        <w:t>FENIX tokom trudnoće.</w:t>
      </w:r>
    </w:p>
    <w:p w:rsidR="002031B3" w:rsidRPr="004C1A6D" w:rsidRDefault="002031B3" w:rsidP="00992223">
      <w:pPr>
        <w:tabs>
          <w:tab w:val="left" w:pos="540"/>
          <w:tab w:val="left" w:pos="569"/>
        </w:tabs>
        <w:jc w:val="both"/>
        <w:rPr>
          <w:sz w:val="22"/>
          <w:szCs w:val="22"/>
          <w:u w:val="single"/>
        </w:rPr>
      </w:pPr>
    </w:p>
    <w:p w:rsidR="0072020E" w:rsidRPr="004C1A6D" w:rsidRDefault="007A3ECB" w:rsidP="00992223">
      <w:pPr>
        <w:tabs>
          <w:tab w:val="left" w:pos="540"/>
          <w:tab w:val="left" w:pos="569"/>
        </w:tabs>
        <w:jc w:val="both"/>
        <w:rPr>
          <w:b/>
          <w:bCs/>
          <w:sz w:val="22"/>
          <w:szCs w:val="22"/>
        </w:rPr>
      </w:pPr>
      <w:r w:rsidRPr="004C1A6D">
        <w:rPr>
          <w:sz w:val="22"/>
          <w:szCs w:val="22"/>
          <w:u w:val="single"/>
        </w:rPr>
        <w:t xml:space="preserve">Dojenje </w:t>
      </w:r>
    </w:p>
    <w:p w:rsidR="00DD05F0" w:rsidRPr="004C1A6D" w:rsidRDefault="00DD05F0" w:rsidP="00992223">
      <w:pPr>
        <w:jc w:val="both"/>
        <w:rPr>
          <w:sz w:val="22"/>
          <w:szCs w:val="22"/>
        </w:rPr>
      </w:pPr>
      <w:r w:rsidRPr="004C1A6D">
        <w:rPr>
          <w:sz w:val="22"/>
          <w:szCs w:val="22"/>
        </w:rPr>
        <w:t xml:space="preserve">Studije na životinjama su pokazale da se pantoprazol izlučuje u majčino mlijeko. Nema dovoljno podataka o izlučivanju pantoprazola u humano majčino mlijeko, ali je ono zabilježeno. Ne može </w:t>
      </w:r>
      <w:r w:rsidR="00083883" w:rsidRPr="004C1A6D">
        <w:rPr>
          <w:sz w:val="22"/>
          <w:szCs w:val="22"/>
        </w:rPr>
        <w:t>da se isključi</w:t>
      </w:r>
      <w:r w:rsidRPr="004C1A6D">
        <w:rPr>
          <w:sz w:val="22"/>
          <w:szCs w:val="22"/>
        </w:rPr>
        <w:t xml:space="preserve"> rizik za novorođenčad/dojenčad. Stoga, pri donošenju odluke o eventualnom prekidu dojenja </w:t>
      </w:r>
      <w:r w:rsidRPr="004C1A6D">
        <w:rPr>
          <w:sz w:val="22"/>
          <w:szCs w:val="22"/>
        </w:rPr>
        <w:lastRenderedPageBreak/>
        <w:t>ili prekidu terapije</w:t>
      </w:r>
      <w:r w:rsidR="00BB27A6" w:rsidRPr="004C1A6D">
        <w:rPr>
          <w:sz w:val="22"/>
          <w:szCs w:val="22"/>
        </w:rPr>
        <w:t xml:space="preserve"> lijekom</w:t>
      </w:r>
      <w:r w:rsidRPr="004C1A6D">
        <w:rPr>
          <w:sz w:val="22"/>
          <w:szCs w:val="22"/>
        </w:rPr>
        <w:t xml:space="preserve"> FENIX, treba uzeti u obzir dobrobit dojenja za dijete i dobrobit liječenja </w:t>
      </w:r>
      <w:r w:rsidR="00C518D9" w:rsidRPr="004C1A6D">
        <w:rPr>
          <w:sz w:val="22"/>
          <w:szCs w:val="22"/>
        </w:rPr>
        <w:t xml:space="preserve">lijekom </w:t>
      </w:r>
      <w:r w:rsidRPr="004C1A6D">
        <w:rPr>
          <w:sz w:val="22"/>
          <w:szCs w:val="22"/>
        </w:rPr>
        <w:t>FENIX za majku.</w:t>
      </w:r>
    </w:p>
    <w:p w:rsidR="00227BDB" w:rsidRPr="004C1A6D" w:rsidRDefault="00227BDB" w:rsidP="00992223">
      <w:pPr>
        <w:tabs>
          <w:tab w:val="left" w:pos="540"/>
          <w:tab w:val="left" w:pos="569"/>
        </w:tabs>
        <w:ind w:left="540" w:hanging="540"/>
        <w:jc w:val="both"/>
        <w:rPr>
          <w:b/>
          <w:bCs/>
          <w:sz w:val="22"/>
          <w:szCs w:val="22"/>
        </w:rPr>
      </w:pPr>
    </w:p>
    <w:p w:rsidR="00AB1575" w:rsidRPr="004C1A6D" w:rsidRDefault="00AB1575" w:rsidP="00992223">
      <w:pPr>
        <w:tabs>
          <w:tab w:val="left" w:pos="540"/>
          <w:tab w:val="left" w:pos="569"/>
        </w:tabs>
        <w:jc w:val="both"/>
        <w:rPr>
          <w:sz w:val="22"/>
          <w:szCs w:val="22"/>
          <w:u w:val="single"/>
        </w:rPr>
      </w:pPr>
      <w:r w:rsidRPr="004C1A6D">
        <w:rPr>
          <w:sz w:val="22"/>
          <w:szCs w:val="22"/>
          <w:u w:val="single"/>
        </w:rPr>
        <w:t>Plodnost</w:t>
      </w:r>
    </w:p>
    <w:p w:rsidR="00AB1575" w:rsidRPr="004C1A6D" w:rsidRDefault="00AB1575" w:rsidP="00992223">
      <w:pPr>
        <w:jc w:val="both"/>
        <w:rPr>
          <w:sz w:val="22"/>
          <w:szCs w:val="22"/>
        </w:rPr>
      </w:pPr>
      <w:r w:rsidRPr="004C1A6D">
        <w:rPr>
          <w:sz w:val="22"/>
          <w:szCs w:val="22"/>
        </w:rPr>
        <w:t>U studijama na životinjama nije bilo dokaza o oštećenoj plodnosti nakon primjene pantoprazola (pogledati dio 5.3.).</w:t>
      </w:r>
    </w:p>
    <w:p w:rsidR="00AB1575" w:rsidRPr="004C1A6D" w:rsidRDefault="00AB1575" w:rsidP="00992223">
      <w:pPr>
        <w:tabs>
          <w:tab w:val="left" w:pos="540"/>
          <w:tab w:val="left" w:pos="569"/>
        </w:tabs>
        <w:ind w:left="540" w:hanging="540"/>
        <w:jc w:val="both"/>
        <w:rPr>
          <w:b/>
          <w:bCs/>
          <w:sz w:val="22"/>
          <w:szCs w:val="22"/>
        </w:rPr>
      </w:pPr>
    </w:p>
    <w:p w:rsidR="0072020E" w:rsidRPr="004C1A6D" w:rsidRDefault="0072020E" w:rsidP="00992223">
      <w:pPr>
        <w:tabs>
          <w:tab w:val="left" w:pos="540"/>
          <w:tab w:val="left" w:pos="569"/>
        </w:tabs>
        <w:ind w:left="540" w:hanging="540"/>
        <w:jc w:val="both"/>
        <w:rPr>
          <w:b/>
          <w:bCs/>
          <w:sz w:val="22"/>
          <w:szCs w:val="22"/>
        </w:rPr>
      </w:pPr>
      <w:r w:rsidRPr="004C1A6D">
        <w:rPr>
          <w:b/>
          <w:bCs/>
          <w:sz w:val="22"/>
          <w:szCs w:val="22"/>
        </w:rPr>
        <w:t xml:space="preserve">4.7. </w:t>
      </w:r>
      <w:r w:rsidR="00480FB1" w:rsidRPr="004C1A6D">
        <w:rPr>
          <w:b/>
          <w:bCs/>
          <w:sz w:val="22"/>
          <w:szCs w:val="22"/>
        </w:rPr>
        <w:tab/>
      </w:r>
      <w:r w:rsidRPr="004C1A6D">
        <w:rPr>
          <w:b/>
          <w:bCs/>
          <w:sz w:val="22"/>
          <w:szCs w:val="22"/>
        </w:rPr>
        <w:t xml:space="preserve">Uticaj na </w:t>
      </w:r>
      <w:r w:rsidR="002031B3" w:rsidRPr="004C1A6D">
        <w:rPr>
          <w:b/>
          <w:bCs/>
          <w:sz w:val="22"/>
          <w:szCs w:val="22"/>
        </w:rPr>
        <w:t xml:space="preserve">sposobnost </w:t>
      </w:r>
      <w:r w:rsidR="00F34554" w:rsidRPr="004C1A6D">
        <w:rPr>
          <w:b/>
          <w:bCs/>
          <w:sz w:val="22"/>
          <w:szCs w:val="22"/>
        </w:rPr>
        <w:t>upravljanja vozili</w:t>
      </w:r>
      <w:r w:rsidRPr="004C1A6D">
        <w:rPr>
          <w:b/>
          <w:bCs/>
          <w:sz w:val="22"/>
          <w:szCs w:val="22"/>
        </w:rPr>
        <w:t>m</w:t>
      </w:r>
      <w:r w:rsidR="00F34554" w:rsidRPr="004C1A6D">
        <w:rPr>
          <w:b/>
          <w:bCs/>
          <w:sz w:val="22"/>
          <w:szCs w:val="22"/>
        </w:rPr>
        <w:t>a</w:t>
      </w:r>
      <w:r w:rsidRPr="004C1A6D">
        <w:rPr>
          <w:b/>
          <w:bCs/>
          <w:sz w:val="22"/>
          <w:szCs w:val="22"/>
        </w:rPr>
        <w:t xml:space="preserve"> i </w:t>
      </w:r>
      <w:r w:rsidR="000D3449" w:rsidRPr="004C1A6D">
        <w:rPr>
          <w:b/>
          <w:bCs/>
          <w:sz w:val="22"/>
          <w:szCs w:val="22"/>
        </w:rPr>
        <w:t xml:space="preserve">rukovanje </w:t>
      </w:r>
      <w:r w:rsidRPr="004C1A6D">
        <w:rPr>
          <w:b/>
          <w:bCs/>
          <w:sz w:val="22"/>
          <w:szCs w:val="22"/>
        </w:rPr>
        <w:t>mašinama</w:t>
      </w:r>
    </w:p>
    <w:p w:rsidR="004C1A6D" w:rsidRDefault="004C1A6D" w:rsidP="00992223">
      <w:pPr>
        <w:jc w:val="both"/>
        <w:rPr>
          <w:sz w:val="22"/>
          <w:szCs w:val="22"/>
        </w:rPr>
      </w:pPr>
    </w:p>
    <w:p w:rsidR="00C173E0" w:rsidRPr="004C1A6D" w:rsidRDefault="00C173E0" w:rsidP="00992223">
      <w:pPr>
        <w:jc w:val="both"/>
        <w:rPr>
          <w:sz w:val="22"/>
          <w:szCs w:val="22"/>
        </w:rPr>
      </w:pPr>
      <w:r w:rsidRPr="004C1A6D">
        <w:rPr>
          <w:sz w:val="22"/>
          <w:szCs w:val="22"/>
        </w:rPr>
        <w:t>Pantoprazol ne utiče ili ima zanemariv uticaj na sposobnost upravljanja vozilima i rada na mašinama.</w:t>
      </w:r>
    </w:p>
    <w:p w:rsidR="00C173E0" w:rsidRPr="004C1A6D" w:rsidRDefault="00C173E0" w:rsidP="00992223">
      <w:pPr>
        <w:jc w:val="both"/>
        <w:rPr>
          <w:sz w:val="22"/>
          <w:szCs w:val="22"/>
        </w:rPr>
      </w:pPr>
    </w:p>
    <w:p w:rsidR="00C173E0" w:rsidRPr="004C1A6D" w:rsidRDefault="00C173E0" w:rsidP="00992223">
      <w:pPr>
        <w:jc w:val="both"/>
        <w:rPr>
          <w:sz w:val="22"/>
          <w:szCs w:val="22"/>
        </w:rPr>
      </w:pPr>
      <w:r w:rsidRPr="004C1A6D">
        <w:rPr>
          <w:sz w:val="22"/>
          <w:szCs w:val="22"/>
        </w:rPr>
        <w:t xml:space="preserve">Mogu </w:t>
      </w:r>
      <w:r w:rsidR="00083883" w:rsidRPr="004C1A6D">
        <w:rPr>
          <w:sz w:val="22"/>
          <w:szCs w:val="22"/>
        </w:rPr>
        <w:t>da se jave</w:t>
      </w:r>
      <w:r w:rsidRPr="004C1A6D">
        <w:rPr>
          <w:sz w:val="22"/>
          <w:szCs w:val="22"/>
        </w:rPr>
        <w:t xml:space="preserve"> neželjene reakcije poput </w:t>
      </w:r>
      <w:r w:rsidR="00DB0332" w:rsidRPr="004C1A6D">
        <w:rPr>
          <w:sz w:val="22"/>
          <w:szCs w:val="22"/>
        </w:rPr>
        <w:t>omaglice i smetnji vida (pogledati</w:t>
      </w:r>
      <w:r w:rsidRPr="004C1A6D">
        <w:rPr>
          <w:sz w:val="22"/>
          <w:szCs w:val="22"/>
        </w:rPr>
        <w:t xml:space="preserve"> dio 4.8.). U takvim slučajevima, pacijenti ne bi trebali</w:t>
      </w:r>
      <w:r w:rsidR="00083883" w:rsidRPr="004C1A6D">
        <w:rPr>
          <w:sz w:val="22"/>
          <w:szCs w:val="22"/>
        </w:rPr>
        <w:t xml:space="preserve"> da  upravljaju</w:t>
      </w:r>
      <w:r w:rsidRPr="004C1A6D">
        <w:rPr>
          <w:sz w:val="22"/>
          <w:szCs w:val="22"/>
        </w:rPr>
        <w:t xml:space="preserve"> vozilima i </w:t>
      </w:r>
      <w:r w:rsidR="00083883" w:rsidRPr="004C1A6D">
        <w:rPr>
          <w:sz w:val="22"/>
          <w:szCs w:val="22"/>
        </w:rPr>
        <w:t>da rade</w:t>
      </w:r>
      <w:r w:rsidRPr="004C1A6D">
        <w:rPr>
          <w:sz w:val="22"/>
          <w:szCs w:val="22"/>
        </w:rPr>
        <w:t xml:space="preserve"> na mašinama.</w:t>
      </w:r>
    </w:p>
    <w:p w:rsidR="0072020E" w:rsidRPr="004C1A6D" w:rsidRDefault="0072020E" w:rsidP="00992223">
      <w:pPr>
        <w:tabs>
          <w:tab w:val="left" w:pos="540"/>
          <w:tab w:val="left" w:pos="569"/>
        </w:tabs>
        <w:jc w:val="both"/>
        <w:rPr>
          <w:b/>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4.8. </w:t>
      </w:r>
      <w:r w:rsidR="00480FB1" w:rsidRPr="004C1A6D">
        <w:rPr>
          <w:b/>
          <w:bCs/>
          <w:sz w:val="22"/>
          <w:szCs w:val="22"/>
        </w:rPr>
        <w:tab/>
      </w:r>
      <w:r w:rsidRPr="004C1A6D">
        <w:rPr>
          <w:b/>
          <w:bCs/>
          <w:sz w:val="22"/>
          <w:szCs w:val="22"/>
        </w:rPr>
        <w:t>Neželjena dejstva</w:t>
      </w:r>
    </w:p>
    <w:p w:rsidR="004E70AD" w:rsidRPr="004C1A6D" w:rsidRDefault="004E70AD" w:rsidP="00992223">
      <w:pPr>
        <w:tabs>
          <w:tab w:val="left" w:pos="540"/>
          <w:tab w:val="left" w:pos="569"/>
        </w:tabs>
        <w:jc w:val="both"/>
        <w:rPr>
          <w:b/>
          <w:bCs/>
          <w:sz w:val="22"/>
          <w:szCs w:val="22"/>
        </w:rPr>
      </w:pPr>
    </w:p>
    <w:p w:rsidR="00C05061" w:rsidRPr="004C1A6D" w:rsidRDefault="001B5BFC" w:rsidP="00992223">
      <w:pPr>
        <w:autoSpaceDE w:val="0"/>
        <w:autoSpaceDN w:val="0"/>
        <w:adjustRightInd w:val="0"/>
        <w:jc w:val="both"/>
        <w:rPr>
          <w:sz w:val="22"/>
          <w:szCs w:val="22"/>
        </w:rPr>
      </w:pPr>
      <w:r w:rsidRPr="004C1A6D">
        <w:rPr>
          <w:sz w:val="22"/>
          <w:szCs w:val="22"/>
        </w:rPr>
        <w:t>Kod</w:t>
      </w:r>
      <w:r w:rsidR="00C8136B" w:rsidRPr="004C1A6D">
        <w:rPr>
          <w:sz w:val="22"/>
          <w:szCs w:val="22"/>
        </w:rPr>
        <w:t xml:space="preserve"> otprilike 5% pacijenata očekuje se pojava neželjenih reakcija. </w:t>
      </w:r>
    </w:p>
    <w:p w:rsidR="00C05061" w:rsidRPr="004C1A6D" w:rsidRDefault="00C05061" w:rsidP="00992223">
      <w:pPr>
        <w:autoSpaceDE w:val="0"/>
        <w:autoSpaceDN w:val="0"/>
        <w:adjustRightInd w:val="0"/>
        <w:jc w:val="both"/>
        <w:rPr>
          <w:sz w:val="22"/>
          <w:szCs w:val="22"/>
        </w:rPr>
      </w:pPr>
    </w:p>
    <w:p w:rsidR="00C8136B" w:rsidRPr="004C1A6D" w:rsidRDefault="00C8136B" w:rsidP="00992223">
      <w:pPr>
        <w:autoSpaceDE w:val="0"/>
        <w:autoSpaceDN w:val="0"/>
        <w:adjustRightInd w:val="0"/>
        <w:jc w:val="both"/>
        <w:rPr>
          <w:sz w:val="22"/>
          <w:szCs w:val="22"/>
        </w:rPr>
      </w:pPr>
      <w:r w:rsidRPr="004C1A6D">
        <w:rPr>
          <w:sz w:val="22"/>
          <w:szCs w:val="22"/>
        </w:rPr>
        <w:t>U ispod navedenoj tabeli naznačene su neželjene reakci</w:t>
      </w:r>
      <w:r w:rsidR="00083883" w:rsidRPr="004C1A6D">
        <w:rPr>
          <w:sz w:val="22"/>
          <w:szCs w:val="22"/>
        </w:rPr>
        <w:t>je na pantoprazol, klasifikovane</w:t>
      </w:r>
      <w:r w:rsidRPr="004C1A6D">
        <w:rPr>
          <w:sz w:val="22"/>
          <w:szCs w:val="22"/>
        </w:rPr>
        <w:t xml:space="preserve"> prema učestalosti javljanja na sljedeći način: v</w:t>
      </w:r>
      <w:r w:rsidR="00C05061" w:rsidRPr="004C1A6D">
        <w:rPr>
          <w:sz w:val="22"/>
          <w:szCs w:val="22"/>
        </w:rPr>
        <w:t>eoma</w:t>
      </w:r>
      <w:r w:rsidRPr="004C1A6D">
        <w:rPr>
          <w:sz w:val="22"/>
          <w:szCs w:val="22"/>
        </w:rPr>
        <w:t xml:space="preserve"> česte (≥1/10), česte (≥1/100 do &lt;1/10), </w:t>
      </w:r>
      <w:r w:rsidR="00C05061" w:rsidRPr="004C1A6D">
        <w:rPr>
          <w:sz w:val="22"/>
          <w:szCs w:val="22"/>
        </w:rPr>
        <w:t>povremene</w:t>
      </w:r>
      <w:r w:rsidRPr="004C1A6D">
        <w:rPr>
          <w:sz w:val="22"/>
          <w:szCs w:val="22"/>
        </w:rPr>
        <w:t xml:space="preserve"> (≥1/1.000 do &lt;1/100), rijetke (≥1/10.000 do &lt;1/1.000), v</w:t>
      </w:r>
      <w:r w:rsidR="00C05061" w:rsidRPr="004C1A6D">
        <w:rPr>
          <w:sz w:val="22"/>
          <w:szCs w:val="22"/>
        </w:rPr>
        <w:t>eoma</w:t>
      </w:r>
      <w:r w:rsidRPr="004C1A6D">
        <w:rPr>
          <w:sz w:val="22"/>
          <w:szCs w:val="22"/>
        </w:rPr>
        <w:t xml:space="preserve"> rijetke (&lt;1/10.000), nepoznate (učestalos</w:t>
      </w:r>
      <w:r w:rsidR="00C72F38" w:rsidRPr="004C1A6D">
        <w:rPr>
          <w:sz w:val="22"/>
          <w:szCs w:val="22"/>
        </w:rPr>
        <w:t xml:space="preserve">t </w:t>
      </w:r>
      <w:r w:rsidRPr="004C1A6D">
        <w:rPr>
          <w:sz w:val="22"/>
          <w:szCs w:val="22"/>
        </w:rPr>
        <w:t xml:space="preserve"> ne može </w:t>
      </w:r>
      <w:r w:rsidR="00C72F38" w:rsidRPr="004C1A6D">
        <w:rPr>
          <w:sz w:val="22"/>
          <w:szCs w:val="22"/>
        </w:rPr>
        <w:t>da se procijeni na osnovu</w:t>
      </w:r>
      <w:r w:rsidRPr="004C1A6D">
        <w:rPr>
          <w:sz w:val="22"/>
          <w:szCs w:val="22"/>
        </w:rPr>
        <w:t xml:space="preserve"> raspoloživih podataka). </w:t>
      </w:r>
    </w:p>
    <w:p w:rsidR="00C8136B" w:rsidRPr="004C1A6D" w:rsidRDefault="00C8136B" w:rsidP="00992223">
      <w:pPr>
        <w:autoSpaceDE w:val="0"/>
        <w:autoSpaceDN w:val="0"/>
        <w:adjustRightInd w:val="0"/>
        <w:jc w:val="both"/>
        <w:rPr>
          <w:sz w:val="22"/>
          <w:szCs w:val="22"/>
        </w:rPr>
      </w:pPr>
    </w:p>
    <w:p w:rsidR="00C8136B" w:rsidRPr="004C1A6D" w:rsidRDefault="00C8136B" w:rsidP="00992223">
      <w:pPr>
        <w:autoSpaceDE w:val="0"/>
        <w:autoSpaceDN w:val="0"/>
        <w:adjustRightInd w:val="0"/>
        <w:jc w:val="both"/>
        <w:rPr>
          <w:sz w:val="22"/>
          <w:szCs w:val="22"/>
        </w:rPr>
      </w:pPr>
      <w:r w:rsidRPr="004C1A6D">
        <w:rPr>
          <w:sz w:val="22"/>
          <w:szCs w:val="22"/>
        </w:rPr>
        <w:t>Za sve neželjene reakcije koje su prijavljene nakon stavljanja lijeka u promet nije moguće o</w:t>
      </w:r>
      <w:r w:rsidR="005A7C5C" w:rsidRPr="004C1A6D">
        <w:rPr>
          <w:sz w:val="22"/>
          <w:szCs w:val="22"/>
        </w:rPr>
        <w:t>drediti učestalost javljanja i</w:t>
      </w:r>
      <w:r w:rsidR="00C72F38" w:rsidRPr="004C1A6D">
        <w:rPr>
          <w:sz w:val="22"/>
          <w:szCs w:val="22"/>
        </w:rPr>
        <w:t xml:space="preserve"> zato su </w:t>
      </w:r>
      <w:r w:rsidRPr="004C1A6D">
        <w:rPr>
          <w:sz w:val="22"/>
          <w:szCs w:val="22"/>
        </w:rPr>
        <w:t xml:space="preserve"> one navedene kao „ nepoznate“.</w:t>
      </w:r>
    </w:p>
    <w:p w:rsidR="00C8136B" w:rsidRPr="004C1A6D" w:rsidRDefault="00C8136B" w:rsidP="00992223">
      <w:pPr>
        <w:autoSpaceDE w:val="0"/>
        <w:autoSpaceDN w:val="0"/>
        <w:adjustRightInd w:val="0"/>
        <w:jc w:val="both"/>
        <w:rPr>
          <w:sz w:val="22"/>
          <w:szCs w:val="22"/>
        </w:rPr>
      </w:pPr>
    </w:p>
    <w:p w:rsidR="00C8136B" w:rsidRPr="004C1A6D" w:rsidRDefault="00C8136B" w:rsidP="00992223">
      <w:pPr>
        <w:autoSpaceDE w:val="0"/>
        <w:autoSpaceDN w:val="0"/>
        <w:adjustRightInd w:val="0"/>
        <w:jc w:val="both"/>
        <w:rPr>
          <w:sz w:val="22"/>
          <w:szCs w:val="22"/>
        </w:rPr>
      </w:pPr>
      <w:r w:rsidRPr="004C1A6D">
        <w:rPr>
          <w:sz w:val="22"/>
          <w:szCs w:val="22"/>
        </w:rPr>
        <w:t>Unutar svake grupe učestalosti, neželjene reakcije su prikazane u padajućem nizu u odnosu na stepen njihove ozbiljnosti.</w:t>
      </w:r>
    </w:p>
    <w:p w:rsidR="00C8136B" w:rsidRPr="004C1A6D" w:rsidRDefault="00C8136B" w:rsidP="00992223">
      <w:pPr>
        <w:autoSpaceDE w:val="0"/>
        <w:autoSpaceDN w:val="0"/>
        <w:adjustRightInd w:val="0"/>
        <w:jc w:val="both"/>
        <w:rPr>
          <w:sz w:val="22"/>
          <w:szCs w:val="22"/>
        </w:rPr>
      </w:pPr>
    </w:p>
    <w:p w:rsidR="00C8136B" w:rsidRPr="004C1A6D" w:rsidRDefault="00C8136B" w:rsidP="00992223">
      <w:pPr>
        <w:autoSpaceDE w:val="0"/>
        <w:autoSpaceDN w:val="0"/>
        <w:adjustRightInd w:val="0"/>
        <w:jc w:val="both"/>
        <w:rPr>
          <w:sz w:val="22"/>
          <w:szCs w:val="22"/>
        </w:rPr>
      </w:pPr>
      <w:r w:rsidRPr="004C1A6D">
        <w:rPr>
          <w:sz w:val="22"/>
          <w:szCs w:val="22"/>
        </w:rPr>
        <w:t xml:space="preserve">Tabela 1. Neželjene reakcije na pantoprazol iz kliničkih ispitivanja i postmarketinškog iskustva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1"/>
        <w:gridCol w:w="1369"/>
        <w:gridCol w:w="1652"/>
        <w:gridCol w:w="1750"/>
        <w:gridCol w:w="1842"/>
      </w:tblGrid>
      <w:tr w:rsidR="00FA1E5C" w:rsidRPr="004C1A6D" w:rsidTr="0055009A">
        <w:tc>
          <w:tcPr>
            <w:tcW w:w="1510" w:type="dxa"/>
            <w:vMerge w:val="restart"/>
          </w:tcPr>
          <w:p w:rsidR="00FA1E5C" w:rsidRPr="004C1A6D" w:rsidRDefault="00FA1E5C" w:rsidP="00992223">
            <w:pPr>
              <w:autoSpaceDE w:val="0"/>
              <w:autoSpaceDN w:val="0"/>
              <w:adjustRightInd w:val="0"/>
              <w:jc w:val="both"/>
              <w:rPr>
                <w:b/>
                <w:sz w:val="22"/>
                <w:szCs w:val="22"/>
              </w:rPr>
            </w:pPr>
            <w:r w:rsidRPr="004C1A6D">
              <w:rPr>
                <w:b/>
                <w:sz w:val="22"/>
                <w:szCs w:val="22"/>
              </w:rPr>
              <w:t>Učestalost/</w:t>
            </w:r>
          </w:p>
          <w:p w:rsidR="00FA1E5C" w:rsidRPr="004C1A6D" w:rsidRDefault="00FA1E5C" w:rsidP="00992223">
            <w:pPr>
              <w:autoSpaceDE w:val="0"/>
              <w:autoSpaceDN w:val="0"/>
              <w:adjustRightInd w:val="0"/>
              <w:jc w:val="both"/>
              <w:rPr>
                <w:b/>
                <w:sz w:val="22"/>
                <w:szCs w:val="22"/>
              </w:rPr>
            </w:pPr>
            <w:r w:rsidRPr="004C1A6D">
              <w:rPr>
                <w:b/>
                <w:sz w:val="22"/>
                <w:szCs w:val="22"/>
              </w:rPr>
              <w:t>Organski sistem</w:t>
            </w:r>
          </w:p>
        </w:tc>
        <w:tc>
          <w:tcPr>
            <w:tcW w:w="1511" w:type="dxa"/>
            <w:tcBorders>
              <w:bottom w:val="nil"/>
            </w:tcBorders>
          </w:tcPr>
          <w:p w:rsidR="00FA1E5C" w:rsidRPr="004C1A6D" w:rsidRDefault="00FA1E5C" w:rsidP="00992223">
            <w:pPr>
              <w:autoSpaceDE w:val="0"/>
              <w:autoSpaceDN w:val="0"/>
              <w:adjustRightInd w:val="0"/>
              <w:jc w:val="both"/>
              <w:rPr>
                <w:b/>
                <w:sz w:val="22"/>
                <w:szCs w:val="22"/>
              </w:rPr>
            </w:pPr>
            <w:r w:rsidRPr="004C1A6D">
              <w:rPr>
                <w:b/>
                <w:sz w:val="22"/>
                <w:szCs w:val="22"/>
              </w:rPr>
              <w:t>Česte</w:t>
            </w:r>
          </w:p>
        </w:tc>
        <w:tc>
          <w:tcPr>
            <w:tcW w:w="1369" w:type="dxa"/>
            <w:vMerge w:val="restart"/>
          </w:tcPr>
          <w:p w:rsidR="00FA1E5C" w:rsidRPr="004C1A6D" w:rsidRDefault="00FA1E5C" w:rsidP="00992223">
            <w:pPr>
              <w:autoSpaceDE w:val="0"/>
              <w:autoSpaceDN w:val="0"/>
              <w:adjustRightInd w:val="0"/>
              <w:jc w:val="both"/>
              <w:rPr>
                <w:b/>
                <w:sz w:val="22"/>
                <w:szCs w:val="22"/>
              </w:rPr>
            </w:pPr>
            <w:r w:rsidRPr="004C1A6D">
              <w:rPr>
                <w:b/>
                <w:sz w:val="22"/>
                <w:szCs w:val="22"/>
              </w:rPr>
              <w:t>Povremene</w:t>
            </w:r>
          </w:p>
        </w:tc>
        <w:tc>
          <w:tcPr>
            <w:tcW w:w="1652" w:type="dxa"/>
            <w:vMerge w:val="restart"/>
          </w:tcPr>
          <w:p w:rsidR="00FA1E5C" w:rsidRPr="004C1A6D" w:rsidRDefault="00FA1E5C" w:rsidP="00992223">
            <w:pPr>
              <w:autoSpaceDE w:val="0"/>
              <w:autoSpaceDN w:val="0"/>
              <w:adjustRightInd w:val="0"/>
              <w:jc w:val="both"/>
              <w:rPr>
                <w:b/>
                <w:sz w:val="22"/>
                <w:szCs w:val="22"/>
              </w:rPr>
            </w:pPr>
            <w:r w:rsidRPr="004C1A6D">
              <w:rPr>
                <w:b/>
                <w:sz w:val="22"/>
                <w:szCs w:val="22"/>
              </w:rPr>
              <w:t>Rijetke</w:t>
            </w:r>
          </w:p>
        </w:tc>
        <w:tc>
          <w:tcPr>
            <w:tcW w:w="1750" w:type="dxa"/>
            <w:vMerge w:val="restart"/>
          </w:tcPr>
          <w:p w:rsidR="00FA1E5C" w:rsidRPr="004C1A6D" w:rsidRDefault="00FA1E5C" w:rsidP="00992223">
            <w:pPr>
              <w:autoSpaceDE w:val="0"/>
              <w:autoSpaceDN w:val="0"/>
              <w:adjustRightInd w:val="0"/>
              <w:jc w:val="both"/>
              <w:rPr>
                <w:b/>
                <w:sz w:val="22"/>
                <w:szCs w:val="22"/>
              </w:rPr>
            </w:pPr>
            <w:r w:rsidRPr="004C1A6D">
              <w:rPr>
                <w:b/>
                <w:sz w:val="22"/>
                <w:szCs w:val="22"/>
              </w:rPr>
              <w:t>Vrlo rijetke</w:t>
            </w:r>
          </w:p>
        </w:tc>
        <w:tc>
          <w:tcPr>
            <w:tcW w:w="1842" w:type="dxa"/>
            <w:vMerge w:val="restart"/>
          </w:tcPr>
          <w:p w:rsidR="00FA1E5C" w:rsidRPr="004C1A6D" w:rsidRDefault="00FA1E5C" w:rsidP="00992223">
            <w:pPr>
              <w:autoSpaceDE w:val="0"/>
              <w:autoSpaceDN w:val="0"/>
              <w:adjustRightInd w:val="0"/>
              <w:jc w:val="both"/>
              <w:rPr>
                <w:b/>
                <w:sz w:val="22"/>
                <w:szCs w:val="22"/>
              </w:rPr>
            </w:pPr>
            <w:r w:rsidRPr="004C1A6D">
              <w:rPr>
                <w:b/>
                <w:sz w:val="22"/>
                <w:szCs w:val="22"/>
              </w:rPr>
              <w:t xml:space="preserve">Nepoznate </w:t>
            </w:r>
          </w:p>
        </w:tc>
      </w:tr>
      <w:tr w:rsidR="00FA1E5C" w:rsidRPr="004C1A6D" w:rsidTr="0055009A">
        <w:tc>
          <w:tcPr>
            <w:tcW w:w="1510" w:type="dxa"/>
            <w:vMerge/>
          </w:tcPr>
          <w:p w:rsidR="00FA1E5C" w:rsidRPr="004C1A6D" w:rsidRDefault="00FA1E5C" w:rsidP="00992223">
            <w:pPr>
              <w:autoSpaceDE w:val="0"/>
              <w:autoSpaceDN w:val="0"/>
              <w:adjustRightInd w:val="0"/>
              <w:jc w:val="both"/>
              <w:rPr>
                <w:b/>
                <w:sz w:val="22"/>
                <w:szCs w:val="22"/>
              </w:rPr>
            </w:pPr>
          </w:p>
        </w:tc>
        <w:tc>
          <w:tcPr>
            <w:tcW w:w="1511" w:type="dxa"/>
            <w:tcBorders>
              <w:top w:val="nil"/>
            </w:tcBorders>
          </w:tcPr>
          <w:p w:rsidR="00FA1E5C" w:rsidRPr="004C1A6D" w:rsidRDefault="00FA1E5C" w:rsidP="00992223">
            <w:pPr>
              <w:autoSpaceDE w:val="0"/>
              <w:autoSpaceDN w:val="0"/>
              <w:adjustRightInd w:val="0"/>
              <w:jc w:val="both"/>
              <w:rPr>
                <w:sz w:val="22"/>
                <w:szCs w:val="22"/>
              </w:rPr>
            </w:pPr>
          </w:p>
        </w:tc>
        <w:tc>
          <w:tcPr>
            <w:tcW w:w="1369" w:type="dxa"/>
            <w:vMerge/>
          </w:tcPr>
          <w:p w:rsidR="00FA1E5C" w:rsidRPr="004C1A6D" w:rsidRDefault="00FA1E5C" w:rsidP="00992223">
            <w:pPr>
              <w:autoSpaceDE w:val="0"/>
              <w:autoSpaceDN w:val="0"/>
              <w:adjustRightInd w:val="0"/>
              <w:jc w:val="both"/>
              <w:rPr>
                <w:sz w:val="22"/>
                <w:szCs w:val="22"/>
              </w:rPr>
            </w:pPr>
          </w:p>
        </w:tc>
        <w:tc>
          <w:tcPr>
            <w:tcW w:w="1652" w:type="dxa"/>
            <w:vMerge/>
          </w:tcPr>
          <w:p w:rsidR="00FA1E5C" w:rsidRPr="004C1A6D" w:rsidRDefault="00FA1E5C" w:rsidP="00992223">
            <w:pPr>
              <w:autoSpaceDE w:val="0"/>
              <w:autoSpaceDN w:val="0"/>
              <w:adjustRightInd w:val="0"/>
              <w:jc w:val="both"/>
              <w:rPr>
                <w:sz w:val="22"/>
                <w:szCs w:val="22"/>
              </w:rPr>
            </w:pPr>
          </w:p>
        </w:tc>
        <w:tc>
          <w:tcPr>
            <w:tcW w:w="1750" w:type="dxa"/>
            <w:vMerge/>
          </w:tcPr>
          <w:p w:rsidR="00FA1E5C" w:rsidRPr="004C1A6D" w:rsidRDefault="00FA1E5C" w:rsidP="00992223">
            <w:pPr>
              <w:autoSpaceDE w:val="0"/>
              <w:autoSpaceDN w:val="0"/>
              <w:adjustRightInd w:val="0"/>
              <w:jc w:val="both"/>
              <w:rPr>
                <w:sz w:val="22"/>
                <w:szCs w:val="22"/>
              </w:rPr>
            </w:pPr>
          </w:p>
        </w:tc>
        <w:tc>
          <w:tcPr>
            <w:tcW w:w="1842" w:type="dxa"/>
            <w:vMerge/>
          </w:tcPr>
          <w:p w:rsidR="00FA1E5C" w:rsidRPr="004C1A6D" w:rsidRDefault="00FA1E5C" w:rsidP="00992223">
            <w:pPr>
              <w:autoSpaceDE w:val="0"/>
              <w:autoSpaceDN w:val="0"/>
              <w:adjustRightInd w:val="0"/>
              <w:jc w:val="both"/>
              <w:rPr>
                <w:sz w:val="22"/>
                <w:szCs w:val="22"/>
              </w:rPr>
            </w:pP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Poremećaji krvi i limfnog sistema</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p>
        </w:tc>
        <w:tc>
          <w:tcPr>
            <w:tcW w:w="1652" w:type="dxa"/>
          </w:tcPr>
          <w:p w:rsidR="00D44225" w:rsidRPr="004C1A6D" w:rsidRDefault="00D44225" w:rsidP="00992223">
            <w:pPr>
              <w:autoSpaceDE w:val="0"/>
              <w:autoSpaceDN w:val="0"/>
              <w:adjustRightInd w:val="0"/>
              <w:jc w:val="both"/>
              <w:rPr>
                <w:sz w:val="22"/>
                <w:szCs w:val="22"/>
              </w:rPr>
            </w:pPr>
            <w:r w:rsidRPr="004C1A6D">
              <w:rPr>
                <w:sz w:val="22"/>
                <w:szCs w:val="22"/>
              </w:rPr>
              <w:t>Agranulocitoza</w:t>
            </w:r>
          </w:p>
        </w:tc>
        <w:tc>
          <w:tcPr>
            <w:tcW w:w="1750" w:type="dxa"/>
          </w:tcPr>
          <w:p w:rsidR="00D44225" w:rsidRPr="004C1A6D" w:rsidRDefault="00D44225" w:rsidP="00992223">
            <w:pPr>
              <w:autoSpaceDE w:val="0"/>
              <w:autoSpaceDN w:val="0"/>
              <w:adjustRightInd w:val="0"/>
              <w:jc w:val="both"/>
              <w:rPr>
                <w:sz w:val="22"/>
                <w:szCs w:val="22"/>
              </w:rPr>
            </w:pPr>
            <w:r w:rsidRPr="004C1A6D">
              <w:rPr>
                <w:sz w:val="22"/>
                <w:szCs w:val="22"/>
              </w:rPr>
              <w:t>Trombocitopenija, Leukopenija, Pancitopenija</w:t>
            </w:r>
          </w:p>
        </w:tc>
        <w:tc>
          <w:tcPr>
            <w:tcW w:w="1842" w:type="dxa"/>
          </w:tcPr>
          <w:p w:rsidR="00D44225" w:rsidRPr="004C1A6D" w:rsidRDefault="00D44225" w:rsidP="00992223">
            <w:pPr>
              <w:autoSpaceDE w:val="0"/>
              <w:autoSpaceDN w:val="0"/>
              <w:adjustRightInd w:val="0"/>
              <w:jc w:val="both"/>
              <w:rPr>
                <w:sz w:val="22"/>
                <w:szCs w:val="22"/>
              </w:rPr>
            </w:pP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Poremećaji imunološkog sistema</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p>
        </w:tc>
        <w:tc>
          <w:tcPr>
            <w:tcW w:w="1652" w:type="dxa"/>
          </w:tcPr>
          <w:p w:rsidR="00D44225" w:rsidRPr="004C1A6D" w:rsidRDefault="00D44225" w:rsidP="00992223">
            <w:pPr>
              <w:autoSpaceDE w:val="0"/>
              <w:autoSpaceDN w:val="0"/>
              <w:adjustRightInd w:val="0"/>
              <w:jc w:val="both"/>
              <w:rPr>
                <w:sz w:val="22"/>
                <w:szCs w:val="22"/>
              </w:rPr>
            </w:pPr>
            <w:r w:rsidRPr="004C1A6D">
              <w:rPr>
                <w:sz w:val="22"/>
                <w:szCs w:val="22"/>
              </w:rPr>
              <w:t>Preosjetljivost (uključujući i anafilaktičke reakcije i anafilaktički šok)</w:t>
            </w:r>
          </w:p>
        </w:tc>
        <w:tc>
          <w:tcPr>
            <w:tcW w:w="1750" w:type="dxa"/>
          </w:tcPr>
          <w:p w:rsidR="00D44225" w:rsidRPr="004C1A6D" w:rsidRDefault="00D44225" w:rsidP="00992223">
            <w:pPr>
              <w:autoSpaceDE w:val="0"/>
              <w:autoSpaceDN w:val="0"/>
              <w:adjustRightInd w:val="0"/>
              <w:jc w:val="both"/>
              <w:rPr>
                <w:sz w:val="22"/>
                <w:szCs w:val="22"/>
              </w:rPr>
            </w:pPr>
          </w:p>
        </w:tc>
        <w:tc>
          <w:tcPr>
            <w:tcW w:w="1842" w:type="dxa"/>
          </w:tcPr>
          <w:p w:rsidR="00D44225" w:rsidRPr="004C1A6D" w:rsidRDefault="00D44225" w:rsidP="00992223">
            <w:pPr>
              <w:autoSpaceDE w:val="0"/>
              <w:autoSpaceDN w:val="0"/>
              <w:adjustRightInd w:val="0"/>
              <w:jc w:val="both"/>
              <w:rPr>
                <w:sz w:val="22"/>
                <w:szCs w:val="22"/>
              </w:rPr>
            </w:pP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Poremećaji metabolizma i prehrane</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p>
        </w:tc>
        <w:tc>
          <w:tcPr>
            <w:tcW w:w="1652" w:type="dxa"/>
          </w:tcPr>
          <w:p w:rsidR="00D44225" w:rsidRPr="004C1A6D" w:rsidRDefault="00D44225" w:rsidP="00992223">
            <w:pPr>
              <w:autoSpaceDE w:val="0"/>
              <w:autoSpaceDN w:val="0"/>
              <w:adjustRightInd w:val="0"/>
              <w:jc w:val="both"/>
              <w:rPr>
                <w:sz w:val="22"/>
                <w:szCs w:val="22"/>
              </w:rPr>
            </w:pPr>
            <w:r w:rsidRPr="004C1A6D">
              <w:rPr>
                <w:sz w:val="22"/>
                <w:szCs w:val="22"/>
              </w:rPr>
              <w:t>Hiperlipidemije i povećanja lipida (trigliceridi, holesterol),</w:t>
            </w:r>
          </w:p>
          <w:p w:rsidR="00D44225" w:rsidRPr="004C1A6D" w:rsidRDefault="00D44225" w:rsidP="00992223">
            <w:pPr>
              <w:autoSpaceDE w:val="0"/>
              <w:autoSpaceDN w:val="0"/>
              <w:adjustRightInd w:val="0"/>
              <w:jc w:val="both"/>
              <w:rPr>
                <w:sz w:val="22"/>
                <w:szCs w:val="22"/>
              </w:rPr>
            </w:pPr>
            <w:r w:rsidRPr="004C1A6D">
              <w:rPr>
                <w:sz w:val="22"/>
                <w:szCs w:val="22"/>
              </w:rPr>
              <w:t>Promjene tjelesne težine</w:t>
            </w:r>
          </w:p>
        </w:tc>
        <w:tc>
          <w:tcPr>
            <w:tcW w:w="1750" w:type="dxa"/>
          </w:tcPr>
          <w:p w:rsidR="00D44225" w:rsidRPr="004C1A6D" w:rsidRDefault="00D44225" w:rsidP="00992223">
            <w:pPr>
              <w:autoSpaceDE w:val="0"/>
              <w:autoSpaceDN w:val="0"/>
              <w:adjustRightInd w:val="0"/>
              <w:jc w:val="both"/>
              <w:rPr>
                <w:sz w:val="22"/>
                <w:szCs w:val="22"/>
              </w:rPr>
            </w:pPr>
          </w:p>
        </w:tc>
        <w:tc>
          <w:tcPr>
            <w:tcW w:w="1842" w:type="dxa"/>
          </w:tcPr>
          <w:p w:rsidR="00D44225" w:rsidRPr="004C1A6D" w:rsidRDefault="00D44225" w:rsidP="00992223">
            <w:pPr>
              <w:autoSpaceDE w:val="0"/>
              <w:autoSpaceDN w:val="0"/>
              <w:adjustRightInd w:val="0"/>
              <w:jc w:val="both"/>
              <w:rPr>
                <w:sz w:val="22"/>
                <w:szCs w:val="22"/>
              </w:rPr>
            </w:pPr>
            <w:r w:rsidRPr="004C1A6D">
              <w:rPr>
                <w:sz w:val="22"/>
                <w:szCs w:val="22"/>
              </w:rPr>
              <w:t xml:space="preserve">Hiponatrijemija, </w:t>
            </w:r>
          </w:p>
          <w:p w:rsidR="00D44225" w:rsidRPr="004C1A6D" w:rsidRDefault="00D44225" w:rsidP="00992223">
            <w:pPr>
              <w:autoSpaceDE w:val="0"/>
              <w:autoSpaceDN w:val="0"/>
              <w:adjustRightInd w:val="0"/>
              <w:jc w:val="both"/>
              <w:rPr>
                <w:sz w:val="22"/>
                <w:szCs w:val="22"/>
              </w:rPr>
            </w:pPr>
            <w:r w:rsidRPr="004C1A6D">
              <w:rPr>
                <w:sz w:val="22"/>
                <w:szCs w:val="22"/>
              </w:rPr>
              <w:t xml:space="preserve">Hipomagnezijemija </w:t>
            </w:r>
          </w:p>
          <w:p w:rsidR="00D44225" w:rsidRPr="004C1A6D" w:rsidRDefault="003104C2" w:rsidP="00992223">
            <w:pPr>
              <w:autoSpaceDE w:val="0"/>
              <w:autoSpaceDN w:val="0"/>
              <w:adjustRightInd w:val="0"/>
              <w:jc w:val="both"/>
              <w:rPr>
                <w:sz w:val="22"/>
                <w:szCs w:val="22"/>
              </w:rPr>
            </w:pPr>
            <w:r w:rsidRPr="004C1A6D">
              <w:rPr>
                <w:sz w:val="22"/>
                <w:szCs w:val="22"/>
              </w:rPr>
              <w:t>(pogledati</w:t>
            </w:r>
            <w:r w:rsidR="00D44225" w:rsidRPr="004C1A6D">
              <w:rPr>
                <w:sz w:val="22"/>
                <w:szCs w:val="22"/>
              </w:rPr>
              <w:t xml:space="preserve"> dio 4.4.),</w:t>
            </w:r>
          </w:p>
          <w:p w:rsidR="00D44225" w:rsidRPr="004C1A6D" w:rsidRDefault="00D44225" w:rsidP="00992223">
            <w:pPr>
              <w:autoSpaceDE w:val="0"/>
              <w:autoSpaceDN w:val="0"/>
              <w:adjustRightInd w:val="0"/>
              <w:jc w:val="both"/>
              <w:rPr>
                <w:sz w:val="22"/>
                <w:szCs w:val="22"/>
              </w:rPr>
            </w:pPr>
            <w:r w:rsidRPr="004C1A6D">
              <w:rPr>
                <w:sz w:val="22"/>
                <w:szCs w:val="22"/>
              </w:rPr>
              <w:t>Hipokalcijemija</w:t>
            </w:r>
            <w:r w:rsidRPr="004C1A6D">
              <w:rPr>
                <w:sz w:val="22"/>
                <w:szCs w:val="22"/>
                <w:vertAlign w:val="superscript"/>
              </w:rPr>
              <w:t>(1)</w:t>
            </w:r>
            <w:r w:rsidR="007022F9" w:rsidRPr="004C1A6D">
              <w:rPr>
                <w:sz w:val="22"/>
                <w:szCs w:val="22"/>
              </w:rPr>
              <w:t>,</w:t>
            </w:r>
          </w:p>
          <w:p w:rsidR="00D44225" w:rsidRPr="004C1A6D" w:rsidRDefault="00D44225" w:rsidP="00992223">
            <w:pPr>
              <w:autoSpaceDE w:val="0"/>
              <w:autoSpaceDN w:val="0"/>
              <w:adjustRightInd w:val="0"/>
              <w:jc w:val="both"/>
              <w:rPr>
                <w:sz w:val="22"/>
                <w:szCs w:val="22"/>
              </w:rPr>
            </w:pPr>
            <w:r w:rsidRPr="004C1A6D">
              <w:rPr>
                <w:sz w:val="22"/>
                <w:szCs w:val="22"/>
              </w:rPr>
              <w:t>Hipokalijemija</w:t>
            </w:r>
            <w:r w:rsidR="005850EF" w:rsidRPr="004C1A6D">
              <w:rPr>
                <w:sz w:val="22"/>
                <w:szCs w:val="22"/>
                <w:vertAlign w:val="superscript"/>
              </w:rPr>
              <w:t>(1)</w:t>
            </w: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Psihijatrijski poremećaji</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r w:rsidRPr="004C1A6D">
              <w:rPr>
                <w:sz w:val="22"/>
                <w:szCs w:val="22"/>
              </w:rPr>
              <w:t>Poremećaji sna</w:t>
            </w:r>
          </w:p>
        </w:tc>
        <w:tc>
          <w:tcPr>
            <w:tcW w:w="1652" w:type="dxa"/>
          </w:tcPr>
          <w:p w:rsidR="00D44225" w:rsidRPr="004C1A6D" w:rsidRDefault="00D44225" w:rsidP="00992223">
            <w:pPr>
              <w:autoSpaceDE w:val="0"/>
              <w:autoSpaceDN w:val="0"/>
              <w:adjustRightInd w:val="0"/>
              <w:jc w:val="both"/>
              <w:rPr>
                <w:sz w:val="22"/>
                <w:szCs w:val="22"/>
              </w:rPr>
            </w:pPr>
            <w:r w:rsidRPr="004C1A6D">
              <w:rPr>
                <w:sz w:val="22"/>
                <w:szCs w:val="22"/>
              </w:rPr>
              <w:t>Depresija (i sva pogoršanja)</w:t>
            </w:r>
          </w:p>
        </w:tc>
        <w:tc>
          <w:tcPr>
            <w:tcW w:w="1750" w:type="dxa"/>
          </w:tcPr>
          <w:p w:rsidR="00D44225" w:rsidRPr="004C1A6D" w:rsidRDefault="00D44225" w:rsidP="00992223">
            <w:pPr>
              <w:autoSpaceDE w:val="0"/>
              <w:autoSpaceDN w:val="0"/>
              <w:adjustRightInd w:val="0"/>
              <w:jc w:val="both"/>
              <w:rPr>
                <w:sz w:val="22"/>
                <w:szCs w:val="22"/>
              </w:rPr>
            </w:pPr>
            <w:r w:rsidRPr="004C1A6D">
              <w:rPr>
                <w:sz w:val="22"/>
                <w:szCs w:val="22"/>
              </w:rPr>
              <w:t>Dezorijentacija (i sva pogoršanja)</w:t>
            </w:r>
          </w:p>
        </w:tc>
        <w:tc>
          <w:tcPr>
            <w:tcW w:w="1842" w:type="dxa"/>
          </w:tcPr>
          <w:p w:rsidR="00D44225" w:rsidRPr="004C1A6D" w:rsidRDefault="00D44225" w:rsidP="00992223">
            <w:pPr>
              <w:autoSpaceDE w:val="0"/>
              <w:autoSpaceDN w:val="0"/>
              <w:adjustRightInd w:val="0"/>
              <w:jc w:val="both"/>
              <w:rPr>
                <w:sz w:val="22"/>
                <w:szCs w:val="22"/>
              </w:rPr>
            </w:pPr>
            <w:r w:rsidRPr="004C1A6D">
              <w:rPr>
                <w:sz w:val="22"/>
                <w:szCs w:val="22"/>
              </w:rPr>
              <w:t xml:space="preserve">Halucinacije, </w:t>
            </w:r>
          </w:p>
          <w:p w:rsidR="00D44225" w:rsidRPr="004C1A6D" w:rsidRDefault="00D44225" w:rsidP="00992223">
            <w:pPr>
              <w:autoSpaceDE w:val="0"/>
              <w:autoSpaceDN w:val="0"/>
              <w:adjustRightInd w:val="0"/>
              <w:jc w:val="both"/>
              <w:rPr>
                <w:sz w:val="22"/>
                <w:szCs w:val="22"/>
              </w:rPr>
            </w:pPr>
            <w:r w:rsidRPr="004C1A6D">
              <w:rPr>
                <w:sz w:val="22"/>
                <w:szCs w:val="22"/>
              </w:rPr>
              <w:t xml:space="preserve">Konfuzija </w:t>
            </w:r>
          </w:p>
          <w:p w:rsidR="00D44225" w:rsidRPr="004C1A6D" w:rsidRDefault="000000CC" w:rsidP="00992223">
            <w:pPr>
              <w:autoSpaceDE w:val="0"/>
              <w:autoSpaceDN w:val="0"/>
              <w:adjustRightInd w:val="0"/>
              <w:jc w:val="both"/>
              <w:rPr>
                <w:sz w:val="22"/>
                <w:szCs w:val="22"/>
              </w:rPr>
            </w:pPr>
            <w:r w:rsidRPr="004C1A6D">
              <w:rPr>
                <w:sz w:val="22"/>
                <w:szCs w:val="22"/>
              </w:rPr>
              <w:t>(posebno kod</w:t>
            </w:r>
            <w:r w:rsidR="00D44225" w:rsidRPr="004C1A6D">
              <w:rPr>
                <w:sz w:val="22"/>
                <w:szCs w:val="22"/>
              </w:rPr>
              <w:t xml:space="preserve"> </w:t>
            </w:r>
          </w:p>
          <w:p w:rsidR="00D44225" w:rsidRPr="004C1A6D" w:rsidRDefault="00D44225" w:rsidP="00992223">
            <w:pPr>
              <w:autoSpaceDE w:val="0"/>
              <w:autoSpaceDN w:val="0"/>
              <w:adjustRightInd w:val="0"/>
              <w:jc w:val="both"/>
              <w:rPr>
                <w:sz w:val="22"/>
                <w:szCs w:val="22"/>
              </w:rPr>
            </w:pPr>
            <w:r w:rsidRPr="004C1A6D">
              <w:rPr>
                <w:sz w:val="22"/>
                <w:szCs w:val="22"/>
              </w:rPr>
              <w:t xml:space="preserve">predisponiranih </w:t>
            </w:r>
          </w:p>
          <w:p w:rsidR="00D44225" w:rsidRPr="004C1A6D" w:rsidRDefault="00D44225" w:rsidP="00992223">
            <w:pPr>
              <w:autoSpaceDE w:val="0"/>
              <w:autoSpaceDN w:val="0"/>
              <w:adjustRightInd w:val="0"/>
              <w:jc w:val="both"/>
              <w:rPr>
                <w:sz w:val="22"/>
                <w:szCs w:val="22"/>
              </w:rPr>
            </w:pPr>
            <w:r w:rsidRPr="004C1A6D">
              <w:rPr>
                <w:sz w:val="22"/>
                <w:szCs w:val="22"/>
              </w:rPr>
              <w:t xml:space="preserve">pacijenata, </w:t>
            </w:r>
          </w:p>
          <w:p w:rsidR="00D44225" w:rsidRPr="004C1A6D" w:rsidRDefault="00D44225" w:rsidP="00992223">
            <w:pPr>
              <w:autoSpaceDE w:val="0"/>
              <w:autoSpaceDN w:val="0"/>
              <w:adjustRightInd w:val="0"/>
              <w:jc w:val="both"/>
              <w:rPr>
                <w:sz w:val="22"/>
                <w:szCs w:val="22"/>
              </w:rPr>
            </w:pPr>
            <w:r w:rsidRPr="004C1A6D">
              <w:rPr>
                <w:sz w:val="22"/>
                <w:szCs w:val="22"/>
              </w:rPr>
              <w:t xml:space="preserve">kao i pogoršanje </w:t>
            </w:r>
          </w:p>
          <w:p w:rsidR="00D44225" w:rsidRPr="004C1A6D" w:rsidRDefault="00D44225" w:rsidP="00992223">
            <w:pPr>
              <w:autoSpaceDE w:val="0"/>
              <w:autoSpaceDN w:val="0"/>
              <w:adjustRightInd w:val="0"/>
              <w:jc w:val="both"/>
              <w:rPr>
                <w:sz w:val="22"/>
                <w:szCs w:val="22"/>
              </w:rPr>
            </w:pPr>
            <w:r w:rsidRPr="004C1A6D">
              <w:rPr>
                <w:sz w:val="22"/>
                <w:szCs w:val="22"/>
              </w:rPr>
              <w:lastRenderedPageBreak/>
              <w:t xml:space="preserve">tih simptoma </w:t>
            </w:r>
          </w:p>
          <w:p w:rsidR="00D44225" w:rsidRPr="004C1A6D" w:rsidRDefault="00D44225" w:rsidP="00992223">
            <w:pPr>
              <w:autoSpaceDE w:val="0"/>
              <w:autoSpaceDN w:val="0"/>
              <w:adjustRightInd w:val="0"/>
              <w:jc w:val="both"/>
              <w:rPr>
                <w:sz w:val="22"/>
                <w:szCs w:val="22"/>
              </w:rPr>
            </w:pPr>
            <w:r w:rsidRPr="004C1A6D">
              <w:rPr>
                <w:sz w:val="22"/>
                <w:szCs w:val="22"/>
              </w:rPr>
              <w:t>ako su već bili prisutni)</w:t>
            </w: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lastRenderedPageBreak/>
              <w:t>Poremećaji nervnog sistema</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r w:rsidRPr="004C1A6D">
              <w:rPr>
                <w:sz w:val="22"/>
                <w:szCs w:val="22"/>
              </w:rPr>
              <w:t>Glavobolja, Omaglica</w:t>
            </w:r>
          </w:p>
          <w:p w:rsidR="00D44225" w:rsidRPr="004C1A6D" w:rsidRDefault="00D44225" w:rsidP="00992223">
            <w:pPr>
              <w:autoSpaceDE w:val="0"/>
              <w:autoSpaceDN w:val="0"/>
              <w:adjustRightInd w:val="0"/>
              <w:jc w:val="both"/>
              <w:rPr>
                <w:sz w:val="22"/>
                <w:szCs w:val="22"/>
              </w:rPr>
            </w:pPr>
          </w:p>
        </w:tc>
        <w:tc>
          <w:tcPr>
            <w:tcW w:w="1652" w:type="dxa"/>
          </w:tcPr>
          <w:p w:rsidR="00D44225" w:rsidRPr="004C1A6D" w:rsidRDefault="000000CC" w:rsidP="00992223">
            <w:pPr>
              <w:autoSpaceDE w:val="0"/>
              <w:autoSpaceDN w:val="0"/>
              <w:adjustRightInd w:val="0"/>
              <w:jc w:val="both"/>
              <w:rPr>
                <w:sz w:val="22"/>
                <w:szCs w:val="22"/>
              </w:rPr>
            </w:pPr>
            <w:r w:rsidRPr="004C1A6D">
              <w:rPr>
                <w:sz w:val="22"/>
                <w:szCs w:val="22"/>
              </w:rPr>
              <w:t>Poremećaji u</w:t>
            </w:r>
            <w:r w:rsidR="00D44225" w:rsidRPr="004C1A6D">
              <w:rPr>
                <w:sz w:val="22"/>
                <w:szCs w:val="22"/>
              </w:rPr>
              <w:t>kusa</w:t>
            </w:r>
          </w:p>
        </w:tc>
        <w:tc>
          <w:tcPr>
            <w:tcW w:w="1750" w:type="dxa"/>
          </w:tcPr>
          <w:p w:rsidR="00D44225" w:rsidRPr="004C1A6D" w:rsidRDefault="00D44225" w:rsidP="00992223">
            <w:pPr>
              <w:autoSpaceDE w:val="0"/>
              <w:autoSpaceDN w:val="0"/>
              <w:adjustRightInd w:val="0"/>
              <w:jc w:val="both"/>
              <w:rPr>
                <w:sz w:val="22"/>
                <w:szCs w:val="22"/>
              </w:rPr>
            </w:pPr>
          </w:p>
        </w:tc>
        <w:tc>
          <w:tcPr>
            <w:tcW w:w="1842" w:type="dxa"/>
          </w:tcPr>
          <w:p w:rsidR="00D44225" w:rsidRPr="004C1A6D" w:rsidRDefault="00D44225" w:rsidP="00992223">
            <w:pPr>
              <w:autoSpaceDE w:val="0"/>
              <w:autoSpaceDN w:val="0"/>
              <w:adjustRightInd w:val="0"/>
              <w:jc w:val="both"/>
              <w:rPr>
                <w:sz w:val="22"/>
                <w:szCs w:val="22"/>
              </w:rPr>
            </w:pPr>
            <w:r w:rsidRPr="004C1A6D">
              <w:rPr>
                <w:sz w:val="22"/>
                <w:szCs w:val="22"/>
              </w:rPr>
              <w:t>Parestezija</w:t>
            </w: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Poremećaji oka</w:t>
            </w:r>
          </w:p>
        </w:tc>
        <w:tc>
          <w:tcPr>
            <w:tcW w:w="1511" w:type="dxa"/>
          </w:tcPr>
          <w:p w:rsidR="00D44225" w:rsidRPr="004C1A6D" w:rsidRDefault="00D44225" w:rsidP="00992223">
            <w:pPr>
              <w:autoSpaceDE w:val="0"/>
              <w:autoSpaceDN w:val="0"/>
              <w:adjustRightInd w:val="0"/>
              <w:jc w:val="both"/>
              <w:rPr>
                <w:sz w:val="22"/>
                <w:szCs w:val="22"/>
              </w:rPr>
            </w:pPr>
          </w:p>
        </w:tc>
        <w:tc>
          <w:tcPr>
            <w:tcW w:w="1369" w:type="dxa"/>
          </w:tcPr>
          <w:p w:rsidR="00D44225" w:rsidRPr="004C1A6D" w:rsidRDefault="00D44225" w:rsidP="00992223">
            <w:pPr>
              <w:autoSpaceDE w:val="0"/>
              <w:autoSpaceDN w:val="0"/>
              <w:adjustRightInd w:val="0"/>
              <w:jc w:val="both"/>
              <w:rPr>
                <w:sz w:val="22"/>
                <w:szCs w:val="22"/>
              </w:rPr>
            </w:pPr>
          </w:p>
        </w:tc>
        <w:tc>
          <w:tcPr>
            <w:tcW w:w="1652" w:type="dxa"/>
          </w:tcPr>
          <w:p w:rsidR="00D44225" w:rsidRPr="004C1A6D" w:rsidRDefault="00D44225" w:rsidP="00992223">
            <w:pPr>
              <w:autoSpaceDE w:val="0"/>
              <w:autoSpaceDN w:val="0"/>
              <w:adjustRightInd w:val="0"/>
              <w:jc w:val="both"/>
              <w:rPr>
                <w:sz w:val="22"/>
                <w:szCs w:val="22"/>
              </w:rPr>
            </w:pPr>
            <w:r w:rsidRPr="004C1A6D">
              <w:rPr>
                <w:sz w:val="22"/>
                <w:szCs w:val="22"/>
              </w:rPr>
              <w:t>Smetnje vida/zamućen vid</w:t>
            </w:r>
          </w:p>
        </w:tc>
        <w:tc>
          <w:tcPr>
            <w:tcW w:w="1750" w:type="dxa"/>
          </w:tcPr>
          <w:p w:rsidR="00D44225" w:rsidRPr="004C1A6D" w:rsidRDefault="00D44225" w:rsidP="00992223">
            <w:pPr>
              <w:autoSpaceDE w:val="0"/>
              <w:autoSpaceDN w:val="0"/>
              <w:adjustRightInd w:val="0"/>
              <w:jc w:val="both"/>
              <w:rPr>
                <w:sz w:val="22"/>
                <w:szCs w:val="22"/>
              </w:rPr>
            </w:pPr>
          </w:p>
        </w:tc>
        <w:tc>
          <w:tcPr>
            <w:tcW w:w="1842" w:type="dxa"/>
          </w:tcPr>
          <w:p w:rsidR="00D44225" w:rsidRPr="004C1A6D" w:rsidRDefault="00D44225" w:rsidP="00992223">
            <w:pPr>
              <w:autoSpaceDE w:val="0"/>
              <w:autoSpaceDN w:val="0"/>
              <w:adjustRightInd w:val="0"/>
              <w:jc w:val="both"/>
              <w:rPr>
                <w:sz w:val="22"/>
                <w:szCs w:val="22"/>
              </w:rPr>
            </w:pPr>
          </w:p>
        </w:tc>
      </w:tr>
      <w:tr w:rsidR="00D44225" w:rsidRPr="004C1A6D" w:rsidTr="0055009A">
        <w:tc>
          <w:tcPr>
            <w:tcW w:w="1510" w:type="dxa"/>
          </w:tcPr>
          <w:p w:rsidR="00D44225" w:rsidRPr="004C1A6D" w:rsidRDefault="00D44225" w:rsidP="00992223">
            <w:pPr>
              <w:autoSpaceDE w:val="0"/>
              <w:autoSpaceDN w:val="0"/>
              <w:adjustRightInd w:val="0"/>
              <w:jc w:val="both"/>
              <w:rPr>
                <w:sz w:val="22"/>
                <w:szCs w:val="22"/>
              </w:rPr>
            </w:pPr>
            <w:r w:rsidRPr="004C1A6D">
              <w:rPr>
                <w:sz w:val="22"/>
                <w:szCs w:val="22"/>
              </w:rPr>
              <w:t>Gastrointestinalni poremećaji</w:t>
            </w:r>
          </w:p>
        </w:tc>
        <w:tc>
          <w:tcPr>
            <w:tcW w:w="1511" w:type="dxa"/>
          </w:tcPr>
          <w:p w:rsidR="00D44225" w:rsidRPr="004C1A6D" w:rsidRDefault="00D44225" w:rsidP="00992223">
            <w:pPr>
              <w:pStyle w:val="Default"/>
              <w:jc w:val="both"/>
              <w:rPr>
                <w:color w:val="auto"/>
                <w:sz w:val="22"/>
                <w:szCs w:val="22"/>
              </w:rPr>
            </w:pPr>
            <w:r w:rsidRPr="004C1A6D">
              <w:rPr>
                <w:color w:val="auto"/>
                <w:sz w:val="22"/>
                <w:szCs w:val="22"/>
              </w:rPr>
              <w:t>Polipi fundus</w:t>
            </w:r>
          </w:p>
          <w:p w:rsidR="00D44225" w:rsidRPr="004C1A6D" w:rsidRDefault="00D44225" w:rsidP="00992223">
            <w:pPr>
              <w:pStyle w:val="Default"/>
              <w:jc w:val="both"/>
              <w:rPr>
                <w:color w:val="auto"/>
                <w:sz w:val="22"/>
                <w:szCs w:val="22"/>
              </w:rPr>
            </w:pPr>
            <w:r w:rsidRPr="004C1A6D">
              <w:rPr>
                <w:color w:val="auto"/>
                <w:sz w:val="22"/>
                <w:szCs w:val="22"/>
              </w:rPr>
              <w:t xml:space="preserve">nih </w:t>
            </w:r>
            <w:r w:rsidR="00AC1347" w:rsidRPr="004C1A6D">
              <w:rPr>
                <w:color w:val="auto"/>
                <w:sz w:val="22"/>
                <w:szCs w:val="22"/>
              </w:rPr>
              <w:t>žlijezda</w:t>
            </w:r>
          </w:p>
          <w:p w:rsidR="00D44225" w:rsidRPr="004C1A6D" w:rsidRDefault="00D44225" w:rsidP="00992223">
            <w:pPr>
              <w:autoSpaceDE w:val="0"/>
              <w:autoSpaceDN w:val="0"/>
              <w:adjustRightInd w:val="0"/>
              <w:jc w:val="both"/>
              <w:rPr>
                <w:sz w:val="22"/>
                <w:szCs w:val="22"/>
              </w:rPr>
            </w:pPr>
            <w:r w:rsidRPr="004C1A6D">
              <w:rPr>
                <w:sz w:val="22"/>
                <w:szCs w:val="22"/>
              </w:rPr>
              <w:t xml:space="preserve">(dobroćudni) </w:t>
            </w:r>
          </w:p>
        </w:tc>
        <w:tc>
          <w:tcPr>
            <w:tcW w:w="1369" w:type="dxa"/>
          </w:tcPr>
          <w:p w:rsidR="00D44225" w:rsidRPr="004C1A6D" w:rsidRDefault="00D44225" w:rsidP="00992223">
            <w:pPr>
              <w:autoSpaceDE w:val="0"/>
              <w:autoSpaceDN w:val="0"/>
              <w:adjustRightInd w:val="0"/>
              <w:jc w:val="both"/>
              <w:rPr>
                <w:sz w:val="22"/>
                <w:szCs w:val="22"/>
              </w:rPr>
            </w:pPr>
            <w:r w:rsidRPr="004C1A6D">
              <w:rPr>
                <w:sz w:val="22"/>
                <w:szCs w:val="22"/>
              </w:rPr>
              <w:t>Dijareja, Mučnina/povraćanje, Abdominalna distenzi</w:t>
            </w:r>
            <w:r w:rsidR="00FD63C2" w:rsidRPr="004C1A6D">
              <w:rPr>
                <w:sz w:val="22"/>
                <w:szCs w:val="22"/>
              </w:rPr>
              <w:t>ja i nadutost, Konstipacija, Suv</w:t>
            </w:r>
            <w:r w:rsidRPr="004C1A6D">
              <w:rPr>
                <w:sz w:val="22"/>
                <w:szCs w:val="22"/>
              </w:rPr>
              <w:t>a usta, Bol i nelagoda u abdomenu</w:t>
            </w:r>
          </w:p>
        </w:tc>
        <w:tc>
          <w:tcPr>
            <w:tcW w:w="1652" w:type="dxa"/>
          </w:tcPr>
          <w:p w:rsidR="00D44225" w:rsidRPr="004C1A6D" w:rsidRDefault="00D44225" w:rsidP="00992223">
            <w:pPr>
              <w:autoSpaceDE w:val="0"/>
              <w:autoSpaceDN w:val="0"/>
              <w:adjustRightInd w:val="0"/>
              <w:jc w:val="both"/>
              <w:rPr>
                <w:sz w:val="22"/>
                <w:szCs w:val="22"/>
              </w:rPr>
            </w:pPr>
          </w:p>
        </w:tc>
        <w:tc>
          <w:tcPr>
            <w:tcW w:w="1750" w:type="dxa"/>
          </w:tcPr>
          <w:p w:rsidR="00D44225" w:rsidRPr="004C1A6D" w:rsidRDefault="00D44225" w:rsidP="00992223">
            <w:pPr>
              <w:autoSpaceDE w:val="0"/>
              <w:autoSpaceDN w:val="0"/>
              <w:adjustRightInd w:val="0"/>
              <w:jc w:val="both"/>
              <w:rPr>
                <w:sz w:val="22"/>
                <w:szCs w:val="22"/>
              </w:rPr>
            </w:pPr>
          </w:p>
        </w:tc>
        <w:tc>
          <w:tcPr>
            <w:tcW w:w="1842" w:type="dxa"/>
          </w:tcPr>
          <w:p w:rsidR="00D44225" w:rsidRPr="004C1A6D" w:rsidRDefault="00D44225" w:rsidP="00992223">
            <w:pPr>
              <w:autoSpaceDE w:val="0"/>
              <w:autoSpaceDN w:val="0"/>
              <w:adjustRightInd w:val="0"/>
              <w:jc w:val="both"/>
              <w:rPr>
                <w:sz w:val="22"/>
                <w:szCs w:val="22"/>
              </w:rPr>
            </w:pPr>
            <w:r w:rsidRPr="004C1A6D">
              <w:rPr>
                <w:sz w:val="22"/>
                <w:szCs w:val="22"/>
              </w:rPr>
              <w:t>Mikroskopski kolitis</w:t>
            </w: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Hepatobilijarni poremećaji</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580F67" w:rsidP="00992223">
            <w:pPr>
              <w:autoSpaceDE w:val="0"/>
              <w:autoSpaceDN w:val="0"/>
              <w:adjustRightInd w:val="0"/>
              <w:jc w:val="both"/>
              <w:rPr>
                <w:sz w:val="22"/>
                <w:szCs w:val="22"/>
              </w:rPr>
            </w:pPr>
            <w:r w:rsidRPr="004C1A6D">
              <w:rPr>
                <w:sz w:val="22"/>
                <w:szCs w:val="22"/>
              </w:rPr>
              <w:t xml:space="preserve">Povećani </w:t>
            </w:r>
            <w:r w:rsidR="00D44225" w:rsidRPr="004C1A6D">
              <w:rPr>
                <w:sz w:val="22"/>
                <w:szCs w:val="22"/>
              </w:rPr>
              <w:t xml:space="preserve">enzimi </w:t>
            </w:r>
            <w:r w:rsidRPr="004C1A6D">
              <w:rPr>
                <w:sz w:val="22"/>
                <w:szCs w:val="22"/>
              </w:rPr>
              <w:t xml:space="preserve">jetre </w:t>
            </w:r>
            <w:r w:rsidR="00D44225" w:rsidRPr="004C1A6D">
              <w:rPr>
                <w:sz w:val="22"/>
                <w:szCs w:val="22"/>
              </w:rPr>
              <w:t>(transaminaze, γ-GT)</w:t>
            </w: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Povećan bilirubin</w:t>
            </w: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 xml:space="preserve">Hepatocelularno </w:t>
            </w:r>
          </w:p>
          <w:p w:rsidR="00D44225" w:rsidRPr="004C1A6D" w:rsidRDefault="00D44225" w:rsidP="00992223">
            <w:pPr>
              <w:autoSpaceDE w:val="0"/>
              <w:autoSpaceDN w:val="0"/>
              <w:adjustRightInd w:val="0"/>
              <w:jc w:val="both"/>
              <w:rPr>
                <w:sz w:val="22"/>
                <w:szCs w:val="22"/>
              </w:rPr>
            </w:pPr>
            <w:r w:rsidRPr="004C1A6D">
              <w:rPr>
                <w:sz w:val="22"/>
                <w:szCs w:val="22"/>
              </w:rPr>
              <w:t xml:space="preserve">oštećenje, </w:t>
            </w:r>
          </w:p>
          <w:p w:rsidR="00D44225" w:rsidRPr="004C1A6D" w:rsidRDefault="00D44225" w:rsidP="00992223">
            <w:pPr>
              <w:autoSpaceDE w:val="0"/>
              <w:autoSpaceDN w:val="0"/>
              <w:adjustRightInd w:val="0"/>
              <w:jc w:val="both"/>
              <w:rPr>
                <w:sz w:val="22"/>
                <w:szCs w:val="22"/>
              </w:rPr>
            </w:pPr>
            <w:r w:rsidRPr="004C1A6D">
              <w:rPr>
                <w:sz w:val="22"/>
                <w:szCs w:val="22"/>
              </w:rPr>
              <w:t xml:space="preserve">Žutica, </w:t>
            </w:r>
          </w:p>
          <w:p w:rsidR="00D44225" w:rsidRPr="004C1A6D" w:rsidRDefault="00580F67" w:rsidP="00992223">
            <w:pPr>
              <w:autoSpaceDE w:val="0"/>
              <w:autoSpaceDN w:val="0"/>
              <w:adjustRightInd w:val="0"/>
              <w:jc w:val="both"/>
              <w:rPr>
                <w:sz w:val="22"/>
                <w:szCs w:val="22"/>
              </w:rPr>
            </w:pPr>
            <w:r w:rsidRPr="004C1A6D">
              <w:rPr>
                <w:sz w:val="22"/>
                <w:szCs w:val="22"/>
              </w:rPr>
              <w:t>Hepatocelularni</w:t>
            </w:r>
            <w:r w:rsidR="00D44225" w:rsidRPr="004C1A6D">
              <w:rPr>
                <w:sz w:val="22"/>
                <w:szCs w:val="22"/>
              </w:rPr>
              <w:t xml:space="preserve"> </w:t>
            </w:r>
          </w:p>
          <w:p w:rsidR="00D44225" w:rsidRPr="004C1A6D" w:rsidRDefault="00D44225" w:rsidP="00992223">
            <w:pPr>
              <w:autoSpaceDE w:val="0"/>
              <w:autoSpaceDN w:val="0"/>
              <w:adjustRightInd w:val="0"/>
              <w:jc w:val="both"/>
              <w:rPr>
                <w:sz w:val="22"/>
                <w:szCs w:val="22"/>
              </w:rPr>
            </w:pPr>
            <w:r w:rsidRPr="004C1A6D">
              <w:rPr>
                <w:sz w:val="22"/>
                <w:szCs w:val="22"/>
              </w:rPr>
              <w:t>za</w:t>
            </w:r>
            <w:r w:rsidR="00580F67" w:rsidRPr="004C1A6D">
              <w:rPr>
                <w:sz w:val="22"/>
                <w:szCs w:val="22"/>
              </w:rPr>
              <w:t>stoj</w:t>
            </w: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Poremećaji kože i potkožnog tkiva</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Osip/</w:t>
            </w:r>
          </w:p>
          <w:p w:rsidR="00D44225" w:rsidRPr="004C1A6D" w:rsidRDefault="00D44225" w:rsidP="00992223">
            <w:pPr>
              <w:autoSpaceDE w:val="0"/>
              <w:autoSpaceDN w:val="0"/>
              <w:adjustRightInd w:val="0"/>
              <w:jc w:val="both"/>
              <w:rPr>
                <w:sz w:val="22"/>
                <w:szCs w:val="22"/>
              </w:rPr>
            </w:pPr>
            <w:r w:rsidRPr="004C1A6D">
              <w:rPr>
                <w:sz w:val="22"/>
                <w:szCs w:val="22"/>
              </w:rPr>
              <w:t>egzantem/</w:t>
            </w:r>
          </w:p>
          <w:p w:rsidR="00D44225" w:rsidRPr="004C1A6D" w:rsidRDefault="00D44225" w:rsidP="00992223">
            <w:pPr>
              <w:autoSpaceDE w:val="0"/>
              <w:autoSpaceDN w:val="0"/>
              <w:adjustRightInd w:val="0"/>
              <w:jc w:val="both"/>
              <w:rPr>
                <w:sz w:val="22"/>
                <w:szCs w:val="22"/>
              </w:rPr>
            </w:pPr>
            <w:r w:rsidRPr="004C1A6D">
              <w:rPr>
                <w:sz w:val="22"/>
                <w:szCs w:val="22"/>
              </w:rPr>
              <w:t>erupacija,</w:t>
            </w:r>
          </w:p>
          <w:p w:rsidR="00D44225" w:rsidRPr="004C1A6D" w:rsidRDefault="00D44225" w:rsidP="00992223">
            <w:pPr>
              <w:autoSpaceDE w:val="0"/>
              <w:autoSpaceDN w:val="0"/>
              <w:adjustRightInd w:val="0"/>
              <w:jc w:val="both"/>
              <w:rPr>
                <w:sz w:val="22"/>
                <w:szCs w:val="22"/>
              </w:rPr>
            </w:pPr>
            <w:r w:rsidRPr="004C1A6D">
              <w:rPr>
                <w:sz w:val="22"/>
                <w:szCs w:val="22"/>
              </w:rPr>
              <w:t>Pruritus</w:t>
            </w:r>
          </w:p>
          <w:p w:rsidR="00D44225" w:rsidRPr="004C1A6D" w:rsidRDefault="00D44225" w:rsidP="00992223">
            <w:pPr>
              <w:autoSpaceDE w:val="0"/>
              <w:autoSpaceDN w:val="0"/>
              <w:adjustRightInd w:val="0"/>
              <w:jc w:val="both"/>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Urtikarija, Angioedem</w:t>
            </w: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Stevens-Johnsonov</w:t>
            </w:r>
          </w:p>
          <w:p w:rsidR="00D44225" w:rsidRPr="004C1A6D" w:rsidRDefault="00D44225" w:rsidP="00992223">
            <w:pPr>
              <w:autoSpaceDE w:val="0"/>
              <w:autoSpaceDN w:val="0"/>
              <w:adjustRightInd w:val="0"/>
              <w:jc w:val="both"/>
              <w:rPr>
                <w:sz w:val="22"/>
                <w:szCs w:val="22"/>
              </w:rPr>
            </w:pPr>
            <w:r w:rsidRPr="004C1A6D">
              <w:rPr>
                <w:sz w:val="22"/>
                <w:szCs w:val="22"/>
              </w:rPr>
              <w:t xml:space="preserve">sindrom, </w:t>
            </w:r>
          </w:p>
          <w:p w:rsidR="00D44225" w:rsidRPr="004C1A6D" w:rsidRDefault="00D44225" w:rsidP="00992223">
            <w:pPr>
              <w:autoSpaceDE w:val="0"/>
              <w:autoSpaceDN w:val="0"/>
              <w:adjustRightInd w:val="0"/>
              <w:jc w:val="both"/>
              <w:rPr>
                <w:sz w:val="22"/>
                <w:szCs w:val="22"/>
              </w:rPr>
            </w:pPr>
            <w:r w:rsidRPr="004C1A6D">
              <w:rPr>
                <w:sz w:val="22"/>
                <w:szCs w:val="22"/>
              </w:rPr>
              <w:t xml:space="preserve">Lyellov sindrom, </w:t>
            </w:r>
          </w:p>
          <w:p w:rsidR="00D44225" w:rsidRPr="004C1A6D" w:rsidRDefault="00D44225" w:rsidP="00992223">
            <w:pPr>
              <w:autoSpaceDE w:val="0"/>
              <w:autoSpaceDN w:val="0"/>
              <w:adjustRightInd w:val="0"/>
              <w:jc w:val="both"/>
              <w:rPr>
                <w:sz w:val="22"/>
                <w:szCs w:val="22"/>
              </w:rPr>
            </w:pPr>
            <w:r w:rsidRPr="004C1A6D">
              <w:rPr>
                <w:sz w:val="22"/>
                <w:szCs w:val="22"/>
              </w:rPr>
              <w:t xml:space="preserve">Multiformni eritem, </w:t>
            </w:r>
          </w:p>
          <w:p w:rsidR="00D44225" w:rsidRPr="004C1A6D" w:rsidRDefault="00D44225" w:rsidP="00992223">
            <w:pPr>
              <w:autoSpaceDE w:val="0"/>
              <w:autoSpaceDN w:val="0"/>
              <w:adjustRightInd w:val="0"/>
              <w:jc w:val="both"/>
              <w:rPr>
                <w:sz w:val="22"/>
                <w:szCs w:val="22"/>
              </w:rPr>
            </w:pPr>
            <w:r w:rsidRPr="004C1A6D">
              <w:rPr>
                <w:sz w:val="22"/>
                <w:szCs w:val="22"/>
              </w:rPr>
              <w:t>Fotosenzitivnost,</w:t>
            </w:r>
          </w:p>
          <w:p w:rsidR="00D44225" w:rsidRPr="004C1A6D" w:rsidRDefault="00D44225" w:rsidP="00992223">
            <w:pPr>
              <w:autoSpaceDE w:val="0"/>
              <w:autoSpaceDN w:val="0"/>
              <w:adjustRightInd w:val="0"/>
              <w:jc w:val="both"/>
              <w:rPr>
                <w:iCs/>
                <w:sz w:val="22"/>
                <w:szCs w:val="22"/>
              </w:rPr>
            </w:pPr>
            <w:r w:rsidRPr="004C1A6D">
              <w:rPr>
                <w:iCs/>
                <w:sz w:val="22"/>
                <w:szCs w:val="22"/>
              </w:rPr>
              <w:t xml:space="preserve">Subakutni </w:t>
            </w:r>
          </w:p>
          <w:p w:rsidR="00D44225" w:rsidRPr="004C1A6D" w:rsidRDefault="00D44225" w:rsidP="00992223">
            <w:pPr>
              <w:autoSpaceDE w:val="0"/>
              <w:autoSpaceDN w:val="0"/>
              <w:adjustRightInd w:val="0"/>
              <w:jc w:val="both"/>
              <w:rPr>
                <w:iCs/>
                <w:sz w:val="22"/>
                <w:szCs w:val="22"/>
              </w:rPr>
            </w:pPr>
            <w:r w:rsidRPr="004C1A6D">
              <w:rPr>
                <w:iCs/>
                <w:sz w:val="22"/>
                <w:szCs w:val="22"/>
              </w:rPr>
              <w:t xml:space="preserve">kožni </w:t>
            </w:r>
          </w:p>
          <w:p w:rsidR="00D44225" w:rsidRPr="004C1A6D" w:rsidRDefault="00D44225" w:rsidP="00992223">
            <w:pPr>
              <w:autoSpaceDE w:val="0"/>
              <w:autoSpaceDN w:val="0"/>
              <w:adjustRightInd w:val="0"/>
              <w:jc w:val="both"/>
              <w:rPr>
                <w:iCs/>
                <w:sz w:val="22"/>
                <w:szCs w:val="22"/>
              </w:rPr>
            </w:pPr>
            <w:r w:rsidRPr="004C1A6D">
              <w:rPr>
                <w:iCs/>
                <w:sz w:val="22"/>
                <w:szCs w:val="22"/>
              </w:rPr>
              <w:t>lupus eritematozus</w:t>
            </w:r>
          </w:p>
          <w:p w:rsidR="00D44225" w:rsidRPr="004C1A6D" w:rsidRDefault="00C56256" w:rsidP="00992223">
            <w:pPr>
              <w:autoSpaceDE w:val="0"/>
              <w:autoSpaceDN w:val="0"/>
              <w:adjustRightInd w:val="0"/>
              <w:jc w:val="both"/>
              <w:rPr>
                <w:iCs/>
                <w:sz w:val="22"/>
                <w:szCs w:val="22"/>
              </w:rPr>
            </w:pPr>
            <w:r w:rsidRPr="004C1A6D">
              <w:rPr>
                <w:iCs/>
                <w:sz w:val="22"/>
                <w:szCs w:val="22"/>
              </w:rPr>
              <w:t xml:space="preserve">(pogledati </w:t>
            </w:r>
            <w:r w:rsidR="00D44225" w:rsidRPr="004C1A6D">
              <w:rPr>
                <w:iCs/>
                <w:sz w:val="22"/>
                <w:szCs w:val="22"/>
              </w:rPr>
              <w:t>dio 4.4.)</w:t>
            </w:r>
          </w:p>
          <w:p w:rsidR="00E97372" w:rsidRPr="004C1A6D" w:rsidRDefault="00E97372" w:rsidP="00992223">
            <w:pPr>
              <w:autoSpaceDE w:val="0"/>
              <w:autoSpaceDN w:val="0"/>
              <w:adjustRightInd w:val="0"/>
              <w:jc w:val="both"/>
              <w:rPr>
                <w:rFonts w:eastAsia="TimesNewRoman"/>
                <w:noProof/>
                <w:sz w:val="22"/>
                <w:szCs w:val="22"/>
                <w:lang w:val="hr-BA" w:eastAsia="bs-Latn-BA"/>
              </w:rPr>
            </w:pPr>
            <w:r w:rsidRPr="004C1A6D">
              <w:rPr>
                <w:rFonts w:eastAsia="TimesNewRoman"/>
                <w:noProof/>
                <w:sz w:val="22"/>
                <w:szCs w:val="22"/>
                <w:lang w:val="hr-BA" w:eastAsia="bs-Latn-BA"/>
              </w:rPr>
              <w:t>Reakcija na lijek s</w:t>
            </w:r>
          </w:p>
          <w:p w:rsidR="00E97372" w:rsidRPr="004C1A6D" w:rsidRDefault="00E97372" w:rsidP="00992223">
            <w:pPr>
              <w:autoSpaceDE w:val="0"/>
              <w:autoSpaceDN w:val="0"/>
              <w:adjustRightInd w:val="0"/>
              <w:jc w:val="both"/>
              <w:rPr>
                <w:rFonts w:eastAsia="TimesNewRoman"/>
                <w:noProof/>
                <w:sz w:val="22"/>
                <w:szCs w:val="22"/>
                <w:lang w:val="hr-BA" w:eastAsia="bs-Latn-BA"/>
              </w:rPr>
            </w:pPr>
            <w:r w:rsidRPr="004C1A6D">
              <w:rPr>
                <w:rFonts w:eastAsia="TimesNewRoman"/>
                <w:noProof/>
                <w:sz w:val="22"/>
                <w:szCs w:val="22"/>
                <w:lang w:val="hr-BA" w:eastAsia="bs-Latn-BA"/>
              </w:rPr>
              <w:t>eozinofilijom i</w:t>
            </w:r>
          </w:p>
          <w:p w:rsidR="00E97372" w:rsidRPr="004C1A6D" w:rsidRDefault="00E97372" w:rsidP="00992223">
            <w:pPr>
              <w:autoSpaceDE w:val="0"/>
              <w:autoSpaceDN w:val="0"/>
              <w:adjustRightInd w:val="0"/>
              <w:jc w:val="both"/>
              <w:rPr>
                <w:rFonts w:eastAsia="TimesNewRoman"/>
                <w:noProof/>
                <w:sz w:val="22"/>
                <w:szCs w:val="22"/>
                <w:lang w:val="hr-BA" w:eastAsia="bs-Latn-BA"/>
              </w:rPr>
            </w:pPr>
            <w:r w:rsidRPr="004C1A6D">
              <w:rPr>
                <w:rFonts w:eastAsia="TimesNewRoman"/>
                <w:noProof/>
                <w:sz w:val="22"/>
                <w:szCs w:val="22"/>
                <w:lang w:val="hr-BA" w:eastAsia="bs-Latn-BA"/>
              </w:rPr>
              <w:t>sistemskim</w:t>
            </w:r>
          </w:p>
          <w:p w:rsidR="00E97372" w:rsidRPr="004C1A6D" w:rsidRDefault="00E97372" w:rsidP="00992223">
            <w:pPr>
              <w:autoSpaceDE w:val="0"/>
              <w:autoSpaceDN w:val="0"/>
              <w:adjustRightInd w:val="0"/>
              <w:jc w:val="both"/>
              <w:rPr>
                <w:rFonts w:eastAsia="TimesNewRoman"/>
                <w:noProof/>
                <w:sz w:val="22"/>
                <w:szCs w:val="22"/>
                <w:lang w:val="hr-BA" w:eastAsia="bs-Latn-BA"/>
              </w:rPr>
            </w:pPr>
            <w:r w:rsidRPr="004C1A6D">
              <w:rPr>
                <w:rFonts w:eastAsia="TimesNewRoman"/>
                <w:noProof/>
                <w:sz w:val="22"/>
                <w:szCs w:val="22"/>
                <w:lang w:val="hr-BA" w:eastAsia="bs-Latn-BA"/>
              </w:rPr>
              <w:t>simptomima</w:t>
            </w:r>
          </w:p>
          <w:p w:rsidR="00E97372" w:rsidRPr="004C1A6D" w:rsidRDefault="00E97372" w:rsidP="00992223">
            <w:pPr>
              <w:autoSpaceDE w:val="0"/>
              <w:autoSpaceDN w:val="0"/>
              <w:adjustRightInd w:val="0"/>
              <w:jc w:val="both"/>
              <w:rPr>
                <w:rFonts w:eastAsia="TimesNewRoman"/>
                <w:noProof/>
                <w:sz w:val="22"/>
                <w:szCs w:val="22"/>
                <w:lang w:val="hr-BA" w:eastAsia="bs-Latn-BA"/>
              </w:rPr>
            </w:pPr>
            <w:r w:rsidRPr="004C1A6D">
              <w:rPr>
                <w:rFonts w:eastAsia="TimesNewRoman"/>
                <w:noProof/>
                <w:sz w:val="22"/>
                <w:szCs w:val="22"/>
                <w:lang w:val="hr-BA" w:eastAsia="bs-Latn-BA"/>
              </w:rPr>
              <w:t>(DRESS)</w:t>
            </w: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iCs/>
                <w:sz w:val="22"/>
                <w:szCs w:val="22"/>
                <w:lang w:eastAsia="bs-Latn-BA"/>
              </w:rPr>
              <w:t>Poremećaji mišićno-koštanog i vezivnog tkiva</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Fraktura kuka, r</w:t>
            </w:r>
            <w:r w:rsidR="00EF3E45" w:rsidRPr="004C1A6D">
              <w:rPr>
                <w:sz w:val="22"/>
                <w:szCs w:val="22"/>
              </w:rPr>
              <w:t xml:space="preserve">učnog zgloba ili kičme (pogledati </w:t>
            </w:r>
            <w:r w:rsidRPr="004C1A6D">
              <w:rPr>
                <w:sz w:val="22"/>
                <w:szCs w:val="22"/>
              </w:rPr>
              <w:t>dio 4.4.)</w:t>
            </w: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 xml:space="preserve">Artralgija, </w:t>
            </w:r>
          </w:p>
          <w:p w:rsidR="00D44225" w:rsidRPr="004C1A6D" w:rsidRDefault="00D44225" w:rsidP="00992223">
            <w:pPr>
              <w:autoSpaceDE w:val="0"/>
              <w:autoSpaceDN w:val="0"/>
              <w:adjustRightInd w:val="0"/>
              <w:jc w:val="both"/>
              <w:rPr>
                <w:sz w:val="22"/>
                <w:szCs w:val="22"/>
              </w:rPr>
            </w:pPr>
            <w:r w:rsidRPr="004C1A6D">
              <w:rPr>
                <w:sz w:val="22"/>
                <w:szCs w:val="22"/>
              </w:rPr>
              <w:t>Mialgija</w:t>
            </w: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vertAlign w:val="superscript"/>
              </w:rPr>
            </w:pPr>
            <w:r w:rsidRPr="004C1A6D">
              <w:rPr>
                <w:sz w:val="22"/>
                <w:szCs w:val="22"/>
              </w:rPr>
              <w:t>Mišićni spazam</w:t>
            </w:r>
            <w:r w:rsidRPr="004C1A6D">
              <w:rPr>
                <w:sz w:val="22"/>
                <w:szCs w:val="22"/>
                <w:vertAlign w:val="superscript"/>
              </w:rPr>
              <w:t>(2)</w:t>
            </w: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iCs/>
                <w:sz w:val="22"/>
                <w:szCs w:val="22"/>
                <w:lang w:eastAsia="bs-Latn-BA"/>
              </w:rPr>
            </w:pPr>
            <w:r w:rsidRPr="004C1A6D">
              <w:rPr>
                <w:iCs/>
                <w:sz w:val="22"/>
                <w:szCs w:val="22"/>
                <w:lang w:eastAsia="bs-Latn-BA"/>
              </w:rPr>
              <w:t>Poremećaji bubrega i mokraćnog sistema</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103094" w:rsidP="00992223">
            <w:pPr>
              <w:autoSpaceDE w:val="0"/>
              <w:autoSpaceDN w:val="0"/>
              <w:adjustRightInd w:val="0"/>
              <w:jc w:val="both"/>
              <w:rPr>
                <w:sz w:val="22"/>
                <w:szCs w:val="22"/>
              </w:rPr>
            </w:pPr>
            <w:r w:rsidRPr="004C1A6D">
              <w:rPr>
                <w:sz w:val="22"/>
                <w:szCs w:val="22"/>
              </w:rPr>
              <w:t>Tubulo</w:t>
            </w:r>
            <w:r w:rsidR="00D44225" w:rsidRPr="004C1A6D">
              <w:rPr>
                <w:sz w:val="22"/>
                <w:szCs w:val="22"/>
              </w:rPr>
              <w:t>ntersticij</w:t>
            </w:r>
            <w:r w:rsidRPr="004C1A6D">
              <w:rPr>
                <w:sz w:val="22"/>
                <w:szCs w:val="22"/>
              </w:rPr>
              <w:t>ski</w:t>
            </w:r>
          </w:p>
          <w:p w:rsidR="00D44225" w:rsidRPr="004C1A6D" w:rsidRDefault="00103094" w:rsidP="00992223">
            <w:pPr>
              <w:autoSpaceDE w:val="0"/>
              <w:autoSpaceDN w:val="0"/>
              <w:adjustRightInd w:val="0"/>
              <w:jc w:val="both"/>
              <w:rPr>
                <w:sz w:val="22"/>
                <w:szCs w:val="22"/>
              </w:rPr>
            </w:pPr>
            <w:r w:rsidRPr="004C1A6D">
              <w:rPr>
                <w:sz w:val="22"/>
                <w:szCs w:val="22"/>
              </w:rPr>
              <w:t>N</w:t>
            </w:r>
            <w:r w:rsidR="00D44225" w:rsidRPr="004C1A6D">
              <w:rPr>
                <w:sz w:val="22"/>
                <w:szCs w:val="22"/>
              </w:rPr>
              <w:t>efritis</w:t>
            </w:r>
            <w:r w:rsidRPr="004C1A6D">
              <w:rPr>
                <w:sz w:val="22"/>
                <w:szCs w:val="22"/>
              </w:rPr>
              <w:t xml:space="preserve"> (TIN)</w:t>
            </w:r>
            <w:r w:rsidR="00D44225" w:rsidRPr="004C1A6D">
              <w:rPr>
                <w:sz w:val="22"/>
                <w:szCs w:val="22"/>
              </w:rPr>
              <w:t xml:space="preserve"> (s mogućnošću </w:t>
            </w:r>
          </w:p>
          <w:p w:rsidR="00D44225" w:rsidRPr="004C1A6D" w:rsidRDefault="00D44225" w:rsidP="00992223">
            <w:pPr>
              <w:autoSpaceDE w:val="0"/>
              <w:autoSpaceDN w:val="0"/>
              <w:adjustRightInd w:val="0"/>
              <w:jc w:val="both"/>
              <w:rPr>
                <w:sz w:val="22"/>
                <w:szCs w:val="22"/>
              </w:rPr>
            </w:pPr>
            <w:r w:rsidRPr="004C1A6D">
              <w:rPr>
                <w:sz w:val="22"/>
                <w:szCs w:val="22"/>
              </w:rPr>
              <w:t xml:space="preserve">progresije </w:t>
            </w:r>
          </w:p>
          <w:p w:rsidR="00D44225" w:rsidRPr="004C1A6D" w:rsidRDefault="00580F67" w:rsidP="00992223">
            <w:pPr>
              <w:autoSpaceDE w:val="0"/>
              <w:autoSpaceDN w:val="0"/>
              <w:adjustRightInd w:val="0"/>
              <w:jc w:val="both"/>
              <w:rPr>
                <w:sz w:val="22"/>
                <w:szCs w:val="22"/>
              </w:rPr>
            </w:pPr>
            <w:r w:rsidRPr="004C1A6D">
              <w:rPr>
                <w:sz w:val="22"/>
                <w:szCs w:val="22"/>
              </w:rPr>
              <w:t>do</w:t>
            </w:r>
          </w:p>
          <w:p w:rsidR="00D44225" w:rsidRPr="004C1A6D" w:rsidRDefault="00580F67" w:rsidP="00992223">
            <w:pPr>
              <w:autoSpaceDE w:val="0"/>
              <w:autoSpaceDN w:val="0"/>
              <w:adjustRightInd w:val="0"/>
              <w:jc w:val="both"/>
              <w:rPr>
                <w:sz w:val="22"/>
                <w:szCs w:val="22"/>
              </w:rPr>
            </w:pPr>
            <w:r w:rsidRPr="004C1A6D">
              <w:rPr>
                <w:sz w:val="22"/>
                <w:szCs w:val="22"/>
              </w:rPr>
              <w:t>zastoja</w:t>
            </w:r>
            <w:r w:rsidR="00232387" w:rsidRPr="004C1A6D">
              <w:rPr>
                <w:sz w:val="22"/>
                <w:szCs w:val="22"/>
              </w:rPr>
              <w:t xml:space="preserve"> </w:t>
            </w:r>
            <w:r w:rsidRPr="004C1A6D">
              <w:rPr>
                <w:sz w:val="22"/>
                <w:szCs w:val="22"/>
              </w:rPr>
              <w:t xml:space="preserve">u radu </w:t>
            </w:r>
            <w:r w:rsidRPr="004C1A6D">
              <w:rPr>
                <w:sz w:val="22"/>
                <w:szCs w:val="22"/>
              </w:rPr>
              <w:lastRenderedPageBreak/>
              <w:t>bubrega</w:t>
            </w:r>
            <w:r w:rsidR="00D44225" w:rsidRPr="004C1A6D">
              <w:rPr>
                <w:sz w:val="22"/>
                <w:szCs w:val="22"/>
              </w:rPr>
              <w:t xml:space="preserve">) </w:t>
            </w: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iCs/>
                <w:sz w:val="22"/>
                <w:szCs w:val="22"/>
                <w:lang w:eastAsia="bs-Latn-BA"/>
              </w:rPr>
            </w:pPr>
            <w:r w:rsidRPr="004C1A6D">
              <w:rPr>
                <w:iCs/>
                <w:sz w:val="22"/>
                <w:szCs w:val="22"/>
                <w:lang w:eastAsia="bs-Latn-BA"/>
              </w:rPr>
              <w:lastRenderedPageBreak/>
              <w:t>Poremećaji reproduktivnog sistema i dojki</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Ginekomastija</w:t>
            </w: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r>
      <w:tr w:rsidR="00D44225" w:rsidRPr="004C1A6D" w:rsidTr="0055009A">
        <w:tc>
          <w:tcPr>
            <w:tcW w:w="1510" w:type="dxa"/>
            <w:tcBorders>
              <w:top w:val="single" w:sz="4" w:space="0" w:color="auto"/>
              <w:left w:val="single" w:sz="4" w:space="0" w:color="auto"/>
              <w:bottom w:val="single" w:sz="4" w:space="0" w:color="auto"/>
              <w:right w:val="single" w:sz="4" w:space="0" w:color="auto"/>
            </w:tcBorders>
          </w:tcPr>
          <w:p w:rsidR="00D44225" w:rsidRPr="004C1A6D" w:rsidRDefault="00580F67" w:rsidP="00992223">
            <w:pPr>
              <w:autoSpaceDE w:val="0"/>
              <w:autoSpaceDN w:val="0"/>
              <w:adjustRightInd w:val="0"/>
              <w:jc w:val="both"/>
              <w:rPr>
                <w:iCs/>
                <w:sz w:val="22"/>
                <w:szCs w:val="22"/>
                <w:lang w:eastAsia="bs-Latn-BA"/>
              </w:rPr>
            </w:pPr>
            <w:r w:rsidRPr="004C1A6D">
              <w:rPr>
                <w:iCs/>
                <w:sz w:val="22"/>
                <w:szCs w:val="22"/>
                <w:lang w:eastAsia="bs-Latn-BA"/>
              </w:rPr>
              <w:t>Opšt</w:t>
            </w:r>
            <w:r w:rsidR="00D44225" w:rsidRPr="004C1A6D">
              <w:rPr>
                <w:iCs/>
                <w:sz w:val="22"/>
                <w:szCs w:val="22"/>
                <w:lang w:eastAsia="bs-Latn-BA"/>
              </w:rPr>
              <w:t>i poremećaji i stanja na mjestu primjene</w:t>
            </w:r>
          </w:p>
        </w:tc>
        <w:tc>
          <w:tcPr>
            <w:tcW w:w="1511"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369" w:type="dxa"/>
            <w:tcBorders>
              <w:top w:val="single" w:sz="4" w:space="0" w:color="auto"/>
              <w:left w:val="single" w:sz="4" w:space="0" w:color="auto"/>
              <w:bottom w:val="single" w:sz="4" w:space="0" w:color="auto"/>
              <w:right w:val="single" w:sz="4" w:space="0" w:color="auto"/>
            </w:tcBorders>
          </w:tcPr>
          <w:p w:rsidR="00D44225" w:rsidRPr="004C1A6D" w:rsidRDefault="00580F67" w:rsidP="00992223">
            <w:pPr>
              <w:autoSpaceDE w:val="0"/>
              <w:autoSpaceDN w:val="0"/>
              <w:adjustRightInd w:val="0"/>
              <w:jc w:val="both"/>
              <w:rPr>
                <w:sz w:val="22"/>
                <w:szCs w:val="22"/>
              </w:rPr>
            </w:pPr>
            <w:r w:rsidRPr="004C1A6D">
              <w:rPr>
                <w:sz w:val="22"/>
                <w:szCs w:val="22"/>
              </w:rPr>
              <w:t>Opšt</w:t>
            </w:r>
            <w:r w:rsidR="00D44225" w:rsidRPr="004C1A6D">
              <w:rPr>
                <w:sz w:val="22"/>
                <w:szCs w:val="22"/>
              </w:rPr>
              <w:t>a slabost, umor i malaksalost</w:t>
            </w:r>
          </w:p>
        </w:tc>
        <w:tc>
          <w:tcPr>
            <w:tcW w:w="165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r w:rsidRPr="004C1A6D">
              <w:rPr>
                <w:sz w:val="22"/>
                <w:szCs w:val="22"/>
              </w:rPr>
              <w:t>Povišena tjelesna temperatura, Periferni edem</w:t>
            </w:r>
          </w:p>
        </w:tc>
        <w:tc>
          <w:tcPr>
            <w:tcW w:w="1750"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44225" w:rsidRPr="004C1A6D" w:rsidRDefault="00D44225" w:rsidP="00992223">
            <w:pPr>
              <w:autoSpaceDE w:val="0"/>
              <w:autoSpaceDN w:val="0"/>
              <w:adjustRightInd w:val="0"/>
              <w:jc w:val="both"/>
              <w:rPr>
                <w:sz w:val="22"/>
                <w:szCs w:val="22"/>
              </w:rPr>
            </w:pPr>
          </w:p>
        </w:tc>
      </w:tr>
    </w:tbl>
    <w:p w:rsidR="00D44225" w:rsidRPr="004C1A6D" w:rsidRDefault="00D44225" w:rsidP="00992223">
      <w:pPr>
        <w:jc w:val="both"/>
        <w:rPr>
          <w:sz w:val="22"/>
          <w:szCs w:val="22"/>
          <w:lang w:eastAsia="hr-HR"/>
        </w:rPr>
      </w:pPr>
      <w:r w:rsidRPr="004C1A6D">
        <w:rPr>
          <w:sz w:val="22"/>
          <w:szCs w:val="22"/>
          <w:vertAlign w:val="superscript"/>
          <w:lang w:eastAsia="hr-HR"/>
        </w:rPr>
        <w:t xml:space="preserve">1. </w:t>
      </w:r>
      <w:r w:rsidR="00513004" w:rsidRPr="004C1A6D">
        <w:rPr>
          <w:noProof/>
          <w:sz w:val="22"/>
          <w:szCs w:val="22"/>
          <w:lang w:val="hr-BA" w:eastAsia="bs-Latn-BA"/>
        </w:rPr>
        <w:t>Hipokalcijemija i/ili hipokalemija mogu biti povezane s pojavom hipomagnezijeme (pogledati dio 4.4)</w:t>
      </w:r>
    </w:p>
    <w:p w:rsidR="00E9458C" w:rsidRPr="004C1A6D" w:rsidRDefault="00D44225" w:rsidP="00992223">
      <w:pPr>
        <w:jc w:val="both"/>
        <w:rPr>
          <w:sz w:val="22"/>
          <w:szCs w:val="22"/>
          <w:lang w:eastAsia="hr-HR"/>
        </w:rPr>
      </w:pPr>
      <w:r w:rsidRPr="004C1A6D">
        <w:rPr>
          <w:sz w:val="22"/>
          <w:szCs w:val="22"/>
          <w:vertAlign w:val="superscript"/>
          <w:lang w:eastAsia="hr-HR"/>
        </w:rPr>
        <w:t xml:space="preserve">2. </w:t>
      </w:r>
      <w:r w:rsidRPr="004C1A6D">
        <w:rPr>
          <w:sz w:val="22"/>
          <w:szCs w:val="22"/>
          <w:lang w:eastAsia="hr-HR"/>
        </w:rPr>
        <w:t>Mišićni spazam kao posljedica poremećaja elektrolita.</w:t>
      </w:r>
    </w:p>
    <w:p w:rsidR="00E9458C" w:rsidRPr="004C1A6D" w:rsidRDefault="00E9458C" w:rsidP="00992223">
      <w:pPr>
        <w:jc w:val="both"/>
        <w:rPr>
          <w:sz w:val="22"/>
          <w:szCs w:val="22"/>
          <w:lang w:eastAsia="hr-HR"/>
        </w:rPr>
      </w:pPr>
    </w:p>
    <w:p w:rsidR="00E11D43" w:rsidRPr="004C1A6D" w:rsidRDefault="00E11D43" w:rsidP="00992223">
      <w:pPr>
        <w:spacing w:after="200"/>
        <w:jc w:val="both"/>
        <w:rPr>
          <w:rFonts w:eastAsia="Calibri"/>
          <w:sz w:val="22"/>
          <w:szCs w:val="22"/>
        </w:rPr>
      </w:pPr>
      <w:r w:rsidRPr="004C1A6D">
        <w:rPr>
          <w:rFonts w:eastAsia="Calibri"/>
          <w:sz w:val="22"/>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11D43" w:rsidRPr="004C1A6D" w:rsidRDefault="00E11D43" w:rsidP="00992223">
      <w:pPr>
        <w:pStyle w:val="NoSpacing"/>
        <w:jc w:val="both"/>
        <w:rPr>
          <w:rFonts w:eastAsia="Calibri"/>
          <w:sz w:val="22"/>
          <w:szCs w:val="22"/>
        </w:rPr>
      </w:pPr>
      <w:r w:rsidRPr="004C1A6D">
        <w:rPr>
          <w:rFonts w:eastAsia="Calibri"/>
          <w:sz w:val="22"/>
          <w:szCs w:val="22"/>
        </w:rPr>
        <w:t xml:space="preserve">Institut za ljekove i medicinska sredstva </w:t>
      </w:r>
    </w:p>
    <w:p w:rsidR="00E11D43" w:rsidRPr="004C1A6D" w:rsidRDefault="00E11D43" w:rsidP="00992223">
      <w:pPr>
        <w:pStyle w:val="NoSpacing"/>
        <w:jc w:val="both"/>
        <w:rPr>
          <w:rFonts w:eastAsia="Calibri"/>
          <w:sz w:val="22"/>
          <w:szCs w:val="22"/>
        </w:rPr>
      </w:pPr>
      <w:r w:rsidRPr="004C1A6D">
        <w:rPr>
          <w:rFonts w:eastAsia="Calibri"/>
          <w:sz w:val="22"/>
          <w:szCs w:val="22"/>
        </w:rPr>
        <w:t>Odjeljenje za farmakovigilancu</w:t>
      </w:r>
    </w:p>
    <w:p w:rsidR="00E11D43" w:rsidRPr="004C1A6D" w:rsidRDefault="00E11D43" w:rsidP="00992223">
      <w:pPr>
        <w:pStyle w:val="NoSpacing"/>
        <w:jc w:val="both"/>
        <w:rPr>
          <w:rFonts w:eastAsia="Calibri"/>
          <w:sz w:val="22"/>
          <w:szCs w:val="22"/>
        </w:rPr>
      </w:pPr>
      <w:r w:rsidRPr="004C1A6D">
        <w:rPr>
          <w:rFonts w:eastAsia="Calibri"/>
          <w:sz w:val="22"/>
          <w:szCs w:val="22"/>
        </w:rPr>
        <w:t>Bulevar Ivana Crnojevića 64a, 81000 Podgorica</w:t>
      </w:r>
    </w:p>
    <w:p w:rsidR="00E11D43" w:rsidRPr="004C1A6D" w:rsidRDefault="00E11D43" w:rsidP="00992223">
      <w:pPr>
        <w:pStyle w:val="NoSpacing"/>
        <w:jc w:val="both"/>
        <w:rPr>
          <w:rFonts w:eastAsia="Calibri"/>
          <w:sz w:val="22"/>
          <w:szCs w:val="22"/>
        </w:rPr>
      </w:pPr>
    </w:p>
    <w:p w:rsidR="00E11D43" w:rsidRPr="004C1A6D" w:rsidRDefault="00E11D43" w:rsidP="00992223">
      <w:pPr>
        <w:pStyle w:val="NoSpacing"/>
        <w:jc w:val="both"/>
        <w:rPr>
          <w:rFonts w:eastAsia="Calibri"/>
          <w:sz w:val="22"/>
          <w:szCs w:val="22"/>
        </w:rPr>
      </w:pPr>
      <w:r w:rsidRPr="004C1A6D">
        <w:rPr>
          <w:rFonts w:eastAsia="Calibri"/>
          <w:sz w:val="22"/>
          <w:szCs w:val="22"/>
        </w:rPr>
        <w:t>tel: +382 (0) 20 310 280</w:t>
      </w:r>
    </w:p>
    <w:p w:rsidR="00E11D43" w:rsidRPr="004C1A6D" w:rsidRDefault="00E11D43" w:rsidP="00992223">
      <w:pPr>
        <w:pStyle w:val="NoSpacing"/>
        <w:jc w:val="both"/>
        <w:rPr>
          <w:rFonts w:eastAsia="Calibri"/>
          <w:sz w:val="22"/>
          <w:szCs w:val="22"/>
        </w:rPr>
      </w:pPr>
      <w:r w:rsidRPr="004C1A6D">
        <w:rPr>
          <w:rFonts w:eastAsia="Calibri"/>
          <w:sz w:val="22"/>
          <w:szCs w:val="22"/>
        </w:rPr>
        <w:t>fax: +382 (0) 20 310 581</w:t>
      </w:r>
    </w:p>
    <w:p w:rsidR="00E11D43" w:rsidRPr="004C1A6D" w:rsidRDefault="00DB2C52" w:rsidP="00992223">
      <w:pPr>
        <w:pStyle w:val="NoSpacing"/>
        <w:jc w:val="both"/>
        <w:rPr>
          <w:rFonts w:eastAsia="Calibri"/>
          <w:sz w:val="22"/>
          <w:szCs w:val="22"/>
        </w:rPr>
      </w:pPr>
      <w:hyperlink r:id="rId8" w:history="1">
        <w:r w:rsidR="00E11D43" w:rsidRPr="004C1A6D">
          <w:rPr>
            <w:rStyle w:val="Hyperlink"/>
            <w:rFonts w:eastAsia="Calibri"/>
            <w:sz w:val="22"/>
            <w:szCs w:val="22"/>
          </w:rPr>
          <w:t>www.cinmed.me</w:t>
        </w:r>
      </w:hyperlink>
    </w:p>
    <w:p w:rsidR="00E11D43" w:rsidRPr="004C1A6D" w:rsidRDefault="00DB2C52" w:rsidP="00992223">
      <w:pPr>
        <w:pStyle w:val="NoSpacing"/>
        <w:jc w:val="both"/>
        <w:rPr>
          <w:rFonts w:eastAsia="Calibri"/>
          <w:color w:val="0000FF"/>
          <w:sz w:val="22"/>
          <w:szCs w:val="22"/>
          <w:u w:val="single"/>
        </w:rPr>
      </w:pPr>
      <w:hyperlink r:id="rId9" w:history="1">
        <w:r w:rsidR="00E11D43" w:rsidRPr="004C1A6D">
          <w:rPr>
            <w:rStyle w:val="Hyperlink"/>
            <w:rFonts w:eastAsia="Calibri"/>
            <w:sz w:val="22"/>
            <w:szCs w:val="22"/>
          </w:rPr>
          <w:t>nezeljenadejstva@cinmed.me</w:t>
        </w:r>
      </w:hyperlink>
    </w:p>
    <w:p w:rsidR="00E11D43" w:rsidRPr="004C1A6D" w:rsidRDefault="00E11D43" w:rsidP="00992223">
      <w:pPr>
        <w:pStyle w:val="NoSpacing"/>
        <w:jc w:val="both"/>
        <w:rPr>
          <w:rFonts w:eastAsia="Calibri"/>
          <w:sz w:val="22"/>
          <w:szCs w:val="22"/>
        </w:rPr>
      </w:pPr>
      <w:r w:rsidRPr="004C1A6D">
        <w:rPr>
          <w:rFonts w:eastAsia="Calibri"/>
          <w:sz w:val="22"/>
          <w:szCs w:val="22"/>
        </w:rPr>
        <w:t>putem IS zdravstvene zaštite</w:t>
      </w:r>
    </w:p>
    <w:p w:rsidR="001F7DBA" w:rsidRPr="004C1A6D" w:rsidRDefault="001F7DBA" w:rsidP="001F7DBA">
      <w:pPr>
        <w:pStyle w:val="NoSpacing"/>
        <w:jc w:val="both"/>
        <w:rPr>
          <w:rFonts w:eastAsia="Calibri"/>
          <w:sz w:val="22"/>
          <w:szCs w:val="22"/>
          <w:lang w:val="sr-Latn-RS"/>
        </w:rPr>
      </w:pPr>
      <w:r w:rsidRPr="004C1A6D">
        <w:rPr>
          <w:rFonts w:eastAsia="Calibri"/>
          <w:sz w:val="22"/>
          <w:szCs w:val="22"/>
          <w:lang w:val="sr-Latn-RS"/>
        </w:rPr>
        <w:t>QR kod za online prijavu sumnje na neželjeno dejstvo lijeka:</w:t>
      </w:r>
    </w:p>
    <w:p w:rsidR="001F7DBA" w:rsidRPr="004C1A6D" w:rsidRDefault="001F7DBA" w:rsidP="00992223">
      <w:pPr>
        <w:pStyle w:val="NoSpacing"/>
        <w:jc w:val="both"/>
        <w:rPr>
          <w:rFonts w:eastAsia="Calibri"/>
          <w:sz w:val="22"/>
          <w:szCs w:val="22"/>
        </w:rPr>
      </w:pPr>
    </w:p>
    <w:p w:rsidR="001F7DBA" w:rsidRPr="004C1A6D" w:rsidRDefault="001F7DBA" w:rsidP="00992223">
      <w:pPr>
        <w:pStyle w:val="NoSpacing"/>
        <w:jc w:val="both"/>
        <w:rPr>
          <w:rFonts w:eastAsia="Calibri"/>
          <w:sz w:val="22"/>
          <w:szCs w:val="22"/>
        </w:rPr>
      </w:pPr>
      <w:r w:rsidRPr="004C1A6D">
        <w:rPr>
          <w:noProof/>
          <w:sz w:val="22"/>
          <w:szCs w:val="22"/>
          <w:lang w:val="sr-Latn-ME" w:eastAsia="sr-Latn-ME"/>
        </w:rPr>
        <w:drawing>
          <wp:inline distT="0" distB="0" distL="0" distR="0" wp14:anchorId="2AFB8BC2" wp14:editId="0F2D5717">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4C1A6D" w:rsidRDefault="00836B35" w:rsidP="00992223">
      <w:pPr>
        <w:tabs>
          <w:tab w:val="left" w:pos="540"/>
          <w:tab w:val="left" w:pos="569"/>
        </w:tabs>
        <w:jc w:val="both"/>
        <w:rPr>
          <w:b/>
          <w:bCs/>
          <w:sz w:val="22"/>
          <w:szCs w:val="22"/>
        </w:rPr>
      </w:pPr>
    </w:p>
    <w:p w:rsidR="00CD6F02" w:rsidRPr="004C1A6D" w:rsidRDefault="0072020E" w:rsidP="00992223">
      <w:pPr>
        <w:tabs>
          <w:tab w:val="left" w:pos="540"/>
          <w:tab w:val="left" w:pos="569"/>
        </w:tabs>
        <w:jc w:val="both"/>
        <w:rPr>
          <w:b/>
          <w:bCs/>
          <w:sz w:val="22"/>
          <w:szCs w:val="22"/>
        </w:rPr>
      </w:pPr>
      <w:r w:rsidRPr="004C1A6D">
        <w:rPr>
          <w:b/>
          <w:bCs/>
          <w:sz w:val="22"/>
          <w:szCs w:val="22"/>
        </w:rPr>
        <w:t xml:space="preserve">4.9. </w:t>
      </w:r>
      <w:r w:rsidR="00480FB1" w:rsidRPr="004C1A6D">
        <w:rPr>
          <w:b/>
          <w:bCs/>
          <w:sz w:val="22"/>
          <w:szCs w:val="22"/>
        </w:rPr>
        <w:tab/>
      </w:r>
      <w:r w:rsidRPr="004C1A6D">
        <w:rPr>
          <w:b/>
          <w:bCs/>
          <w:sz w:val="22"/>
          <w:szCs w:val="22"/>
        </w:rPr>
        <w:t>Predoziranje</w:t>
      </w:r>
      <w:r w:rsidR="002846DB" w:rsidRPr="004C1A6D">
        <w:rPr>
          <w:b/>
          <w:bCs/>
          <w:sz w:val="22"/>
          <w:szCs w:val="22"/>
        </w:rPr>
        <w:t xml:space="preserve"> </w:t>
      </w:r>
    </w:p>
    <w:p w:rsidR="001F7DBA" w:rsidRPr="004C1A6D" w:rsidRDefault="001F7DBA" w:rsidP="00992223">
      <w:pPr>
        <w:jc w:val="both"/>
        <w:rPr>
          <w:sz w:val="22"/>
          <w:szCs w:val="22"/>
        </w:rPr>
      </w:pPr>
    </w:p>
    <w:p w:rsidR="00136891" w:rsidRPr="004C1A6D" w:rsidRDefault="00136891" w:rsidP="00992223">
      <w:pPr>
        <w:jc w:val="both"/>
        <w:rPr>
          <w:sz w:val="22"/>
          <w:szCs w:val="22"/>
        </w:rPr>
      </w:pPr>
      <w:r w:rsidRPr="004C1A6D">
        <w:rPr>
          <w:sz w:val="22"/>
          <w:szCs w:val="22"/>
        </w:rPr>
        <w:t xml:space="preserve">Nema poznatih simptoma predoziranja </w:t>
      </w:r>
      <w:r w:rsidR="00E15745" w:rsidRPr="004C1A6D">
        <w:rPr>
          <w:sz w:val="22"/>
          <w:szCs w:val="22"/>
        </w:rPr>
        <w:t>kod</w:t>
      </w:r>
      <w:r w:rsidRPr="004C1A6D">
        <w:rPr>
          <w:sz w:val="22"/>
          <w:szCs w:val="22"/>
        </w:rPr>
        <w:t xml:space="preserve"> ljudi.</w:t>
      </w:r>
    </w:p>
    <w:p w:rsidR="00136891" w:rsidRPr="004C1A6D" w:rsidRDefault="00136891" w:rsidP="00992223">
      <w:pPr>
        <w:jc w:val="both"/>
        <w:rPr>
          <w:sz w:val="22"/>
          <w:szCs w:val="22"/>
        </w:rPr>
      </w:pPr>
    </w:p>
    <w:p w:rsidR="00136891" w:rsidRPr="004C1A6D" w:rsidRDefault="00136891" w:rsidP="00992223">
      <w:pPr>
        <w:jc w:val="both"/>
        <w:rPr>
          <w:sz w:val="22"/>
          <w:szCs w:val="22"/>
        </w:rPr>
      </w:pPr>
      <w:r w:rsidRPr="004C1A6D">
        <w:rPr>
          <w:sz w:val="22"/>
          <w:szCs w:val="22"/>
        </w:rPr>
        <w:t>Sistemska izloženost do 240 mg pri intravenskoj pr</w:t>
      </w:r>
      <w:r w:rsidR="004F2AAE" w:rsidRPr="004C1A6D">
        <w:rPr>
          <w:sz w:val="22"/>
          <w:szCs w:val="22"/>
        </w:rPr>
        <w:t>imjeni tokom perioda od 2 minuta</w:t>
      </w:r>
      <w:r w:rsidRPr="004C1A6D">
        <w:rPr>
          <w:sz w:val="22"/>
          <w:szCs w:val="22"/>
        </w:rPr>
        <w:t>, pokazala je dobru podnošljivost.</w:t>
      </w:r>
    </w:p>
    <w:p w:rsidR="00136891" w:rsidRPr="004C1A6D" w:rsidRDefault="00136891" w:rsidP="00992223">
      <w:pPr>
        <w:jc w:val="both"/>
        <w:rPr>
          <w:sz w:val="22"/>
          <w:szCs w:val="22"/>
        </w:rPr>
      </w:pPr>
    </w:p>
    <w:p w:rsidR="00136891" w:rsidRPr="004C1A6D" w:rsidRDefault="00136891" w:rsidP="00992223">
      <w:pPr>
        <w:jc w:val="both"/>
        <w:rPr>
          <w:sz w:val="22"/>
          <w:szCs w:val="22"/>
        </w:rPr>
      </w:pPr>
      <w:r w:rsidRPr="004C1A6D">
        <w:rPr>
          <w:sz w:val="22"/>
          <w:szCs w:val="22"/>
        </w:rPr>
        <w:t>Budući da je pantoprazol op</w:t>
      </w:r>
      <w:r w:rsidR="004F2AAE" w:rsidRPr="004C1A6D">
        <w:rPr>
          <w:sz w:val="22"/>
          <w:szCs w:val="22"/>
        </w:rPr>
        <w:t>sežno vezan za proteine, nije</w:t>
      </w:r>
      <w:r w:rsidRPr="004C1A6D">
        <w:rPr>
          <w:sz w:val="22"/>
          <w:szCs w:val="22"/>
        </w:rPr>
        <w:t xml:space="preserve"> lako </w:t>
      </w:r>
      <w:r w:rsidR="004F2AAE" w:rsidRPr="004C1A6D">
        <w:rPr>
          <w:sz w:val="22"/>
          <w:szCs w:val="22"/>
        </w:rPr>
        <w:t>da se dijalizira</w:t>
      </w:r>
      <w:r w:rsidRPr="004C1A6D">
        <w:rPr>
          <w:sz w:val="22"/>
          <w:szCs w:val="22"/>
        </w:rPr>
        <w:t>.</w:t>
      </w:r>
    </w:p>
    <w:p w:rsidR="00136891" w:rsidRPr="004C1A6D" w:rsidRDefault="00136891" w:rsidP="00992223">
      <w:pPr>
        <w:jc w:val="both"/>
        <w:rPr>
          <w:sz w:val="22"/>
          <w:szCs w:val="22"/>
        </w:rPr>
      </w:pPr>
    </w:p>
    <w:p w:rsidR="00136891" w:rsidRPr="004C1A6D" w:rsidRDefault="00136891" w:rsidP="00992223">
      <w:pPr>
        <w:jc w:val="both"/>
        <w:rPr>
          <w:sz w:val="22"/>
          <w:szCs w:val="22"/>
        </w:rPr>
      </w:pPr>
      <w:r w:rsidRPr="004C1A6D">
        <w:rPr>
          <w:sz w:val="22"/>
          <w:szCs w:val="22"/>
        </w:rPr>
        <w:t xml:space="preserve">U slučaju predoziranja s kliničkim znacima intoksikacije, izuzev simptomatskog i suportivnog liječenja, ne mogu </w:t>
      </w:r>
      <w:r w:rsidR="004F2AAE" w:rsidRPr="004C1A6D">
        <w:rPr>
          <w:sz w:val="22"/>
          <w:szCs w:val="22"/>
        </w:rPr>
        <w:t>da se daju</w:t>
      </w:r>
      <w:r w:rsidRPr="004C1A6D">
        <w:rPr>
          <w:sz w:val="22"/>
          <w:szCs w:val="22"/>
        </w:rPr>
        <w:t xml:space="preserve"> specifične terapijske preporuke.</w:t>
      </w:r>
    </w:p>
    <w:p w:rsidR="00CD6F02" w:rsidRDefault="00CD6F02" w:rsidP="00992223">
      <w:pPr>
        <w:tabs>
          <w:tab w:val="left" w:pos="540"/>
          <w:tab w:val="left" w:pos="569"/>
        </w:tabs>
        <w:jc w:val="both"/>
        <w:rPr>
          <w:b/>
          <w:bCs/>
          <w:sz w:val="22"/>
          <w:szCs w:val="22"/>
        </w:rPr>
      </w:pPr>
    </w:p>
    <w:p w:rsidR="004C1A6D" w:rsidRPr="004C1A6D" w:rsidRDefault="004C1A6D" w:rsidP="00992223">
      <w:pPr>
        <w:tabs>
          <w:tab w:val="left" w:pos="540"/>
          <w:tab w:val="left" w:pos="569"/>
        </w:tabs>
        <w:jc w:val="both"/>
        <w:rPr>
          <w:b/>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5. </w:t>
      </w:r>
      <w:r w:rsidR="00480FB1" w:rsidRPr="004C1A6D">
        <w:rPr>
          <w:b/>
          <w:bCs/>
          <w:sz w:val="22"/>
          <w:szCs w:val="22"/>
        </w:rPr>
        <w:tab/>
      </w:r>
      <w:r w:rsidRPr="004C1A6D">
        <w:rPr>
          <w:b/>
          <w:bCs/>
          <w:sz w:val="22"/>
          <w:szCs w:val="22"/>
        </w:rPr>
        <w:t>FARMAKOLOŠK</w:t>
      </w:r>
      <w:r w:rsidR="000D425A" w:rsidRPr="004C1A6D">
        <w:rPr>
          <w:b/>
          <w:bCs/>
          <w:sz w:val="22"/>
          <w:szCs w:val="22"/>
        </w:rPr>
        <w:t>I</w:t>
      </w:r>
      <w:r w:rsidRPr="004C1A6D">
        <w:rPr>
          <w:b/>
          <w:bCs/>
          <w:sz w:val="22"/>
          <w:szCs w:val="22"/>
        </w:rPr>
        <w:t xml:space="preserve"> PODACI</w:t>
      </w:r>
    </w:p>
    <w:p w:rsidR="0072020E" w:rsidRPr="004C1A6D" w:rsidRDefault="0072020E" w:rsidP="00992223">
      <w:pPr>
        <w:tabs>
          <w:tab w:val="left" w:pos="540"/>
          <w:tab w:val="left" w:pos="569"/>
        </w:tabs>
        <w:jc w:val="both"/>
        <w:rPr>
          <w:b/>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5.1. </w:t>
      </w:r>
      <w:r w:rsidR="00480FB1" w:rsidRPr="004C1A6D">
        <w:rPr>
          <w:b/>
          <w:bCs/>
          <w:sz w:val="22"/>
          <w:szCs w:val="22"/>
        </w:rPr>
        <w:tab/>
      </w:r>
      <w:r w:rsidRPr="004C1A6D">
        <w:rPr>
          <w:b/>
          <w:bCs/>
          <w:sz w:val="22"/>
          <w:szCs w:val="22"/>
        </w:rPr>
        <w:t>Farmakodinamski podaci</w:t>
      </w:r>
      <w:r w:rsidR="003A7059" w:rsidRPr="004C1A6D">
        <w:rPr>
          <w:b/>
          <w:bCs/>
          <w:sz w:val="22"/>
          <w:szCs w:val="22"/>
        </w:rPr>
        <w:t xml:space="preserve"> </w:t>
      </w:r>
    </w:p>
    <w:p w:rsidR="00F45F77" w:rsidRPr="004C1A6D" w:rsidRDefault="00F45F77" w:rsidP="00992223">
      <w:pPr>
        <w:tabs>
          <w:tab w:val="left" w:pos="540"/>
          <w:tab w:val="left" w:pos="569"/>
        </w:tabs>
        <w:jc w:val="both"/>
        <w:rPr>
          <w:b/>
          <w:bCs/>
          <w:sz w:val="22"/>
          <w:szCs w:val="22"/>
        </w:rPr>
      </w:pPr>
    </w:p>
    <w:p w:rsidR="0072020E" w:rsidRPr="004C1A6D" w:rsidRDefault="0072020E" w:rsidP="00992223">
      <w:pPr>
        <w:tabs>
          <w:tab w:val="left" w:pos="540"/>
          <w:tab w:val="left" w:pos="569"/>
        </w:tabs>
        <w:jc w:val="both"/>
        <w:rPr>
          <w:bCs/>
          <w:sz w:val="22"/>
          <w:szCs w:val="22"/>
        </w:rPr>
      </w:pPr>
      <w:r w:rsidRPr="004C1A6D">
        <w:rPr>
          <w:bCs/>
          <w:sz w:val="22"/>
          <w:szCs w:val="22"/>
        </w:rPr>
        <w:t>Farmakoterapijska grupa:</w:t>
      </w:r>
      <w:r w:rsidR="00E455D3" w:rsidRPr="004C1A6D">
        <w:rPr>
          <w:bCs/>
          <w:sz w:val="22"/>
          <w:szCs w:val="22"/>
        </w:rPr>
        <w:t xml:space="preserve"> </w:t>
      </w:r>
      <w:r w:rsidR="00E455D3" w:rsidRPr="004C1A6D">
        <w:rPr>
          <w:sz w:val="22"/>
          <w:szCs w:val="22"/>
        </w:rPr>
        <w:t>Inhibitori protonske pumpe.</w:t>
      </w:r>
    </w:p>
    <w:p w:rsidR="0072020E" w:rsidRPr="004C1A6D" w:rsidRDefault="0072020E"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sz w:val="22"/>
          <w:szCs w:val="22"/>
        </w:rPr>
      </w:pPr>
      <w:r w:rsidRPr="004C1A6D">
        <w:rPr>
          <w:bCs/>
          <w:sz w:val="22"/>
          <w:szCs w:val="22"/>
        </w:rPr>
        <w:t>ATC kod:</w:t>
      </w:r>
      <w:r w:rsidR="00E455D3" w:rsidRPr="004C1A6D">
        <w:rPr>
          <w:bCs/>
          <w:sz w:val="22"/>
          <w:szCs w:val="22"/>
        </w:rPr>
        <w:t xml:space="preserve"> </w:t>
      </w:r>
      <w:r w:rsidR="00E455D3" w:rsidRPr="004C1A6D">
        <w:rPr>
          <w:sz w:val="22"/>
          <w:szCs w:val="22"/>
        </w:rPr>
        <w:t>A02BC02</w:t>
      </w:r>
    </w:p>
    <w:p w:rsidR="00E455D3" w:rsidRPr="004C1A6D" w:rsidRDefault="00E455D3" w:rsidP="00992223">
      <w:pPr>
        <w:jc w:val="both"/>
        <w:rPr>
          <w:sz w:val="22"/>
          <w:szCs w:val="22"/>
          <w:u w:val="single"/>
        </w:rPr>
      </w:pPr>
      <w:r w:rsidRPr="004C1A6D">
        <w:rPr>
          <w:sz w:val="22"/>
          <w:szCs w:val="22"/>
          <w:u w:val="single"/>
        </w:rPr>
        <w:lastRenderedPageBreak/>
        <w:t>Mehanizam d</w:t>
      </w:r>
      <w:r w:rsidR="00837340" w:rsidRPr="004C1A6D">
        <w:rPr>
          <w:sz w:val="22"/>
          <w:szCs w:val="22"/>
          <w:u w:val="single"/>
        </w:rPr>
        <w:t>ejstva</w:t>
      </w:r>
    </w:p>
    <w:p w:rsidR="00E455D3" w:rsidRPr="004C1A6D" w:rsidRDefault="00E455D3" w:rsidP="00992223">
      <w:pPr>
        <w:jc w:val="both"/>
        <w:rPr>
          <w:sz w:val="22"/>
          <w:szCs w:val="22"/>
        </w:rPr>
      </w:pPr>
    </w:p>
    <w:p w:rsidR="00E455D3" w:rsidRPr="004C1A6D" w:rsidRDefault="00E455D3" w:rsidP="00992223">
      <w:pPr>
        <w:jc w:val="both"/>
        <w:rPr>
          <w:sz w:val="22"/>
          <w:szCs w:val="22"/>
        </w:rPr>
      </w:pPr>
      <w:r w:rsidRPr="004C1A6D">
        <w:rPr>
          <w:sz w:val="22"/>
          <w:szCs w:val="22"/>
        </w:rPr>
        <w:t xml:space="preserve">Pantoprazol je supstituirani benzimidazol, koji svojim specifičnim blokirajućim </w:t>
      </w:r>
      <w:r w:rsidR="008B00C0" w:rsidRPr="004C1A6D">
        <w:rPr>
          <w:sz w:val="22"/>
          <w:szCs w:val="22"/>
        </w:rPr>
        <w:t>dejstvom</w:t>
      </w:r>
      <w:r w:rsidRPr="004C1A6D">
        <w:rPr>
          <w:sz w:val="22"/>
          <w:szCs w:val="22"/>
        </w:rPr>
        <w:t xml:space="preserve"> na protonske pumpe parijetalnih ćelija, inhibira sekreciju hlorovodonične kis</w:t>
      </w:r>
      <w:r w:rsidR="004F2AAE" w:rsidRPr="004C1A6D">
        <w:rPr>
          <w:sz w:val="22"/>
          <w:szCs w:val="22"/>
        </w:rPr>
        <w:t>j</w:t>
      </w:r>
      <w:r w:rsidRPr="004C1A6D">
        <w:rPr>
          <w:sz w:val="22"/>
          <w:szCs w:val="22"/>
        </w:rPr>
        <w:t>eline u želucu.</w:t>
      </w:r>
    </w:p>
    <w:p w:rsidR="00E455D3" w:rsidRPr="004C1A6D" w:rsidRDefault="00E455D3" w:rsidP="00992223">
      <w:pPr>
        <w:jc w:val="both"/>
        <w:rPr>
          <w:sz w:val="22"/>
          <w:szCs w:val="22"/>
        </w:rPr>
      </w:pPr>
    </w:p>
    <w:p w:rsidR="00E455D3" w:rsidRPr="004C1A6D" w:rsidRDefault="00E455D3" w:rsidP="00992223">
      <w:pPr>
        <w:jc w:val="both"/>
        <w:rPr>
          <w:sz w:val="22"/>
          <w:szCs w:val="22"/>
        </w:rPr>
      </w:pPr>
      <w:r w:rsidRPr="004C1A6D">
        <w:rPr>
          <w:sz w:val="22"/>
          <w:szCs w:val="22"/>
        </w:rPr>
        <w:t>Pantoprazol prelazi u svoj aktivni oblik u kis</w:t>
      </w:r>
      <w:r w:rsidR="004F2AAE" w:rsidRPr="004C1A6D">
        <w:rPr>
          <w:sz w:val="22"/>
          <w:szCs w:val="22"/>
        </w:rPr>
        <w:t>j</w:t>
      </w:r>
      <w:r w:rsidRPr="004C1A6D">
        <w:rPr>
          <w:sz w:val="22"/>
          <w:szCs w:val="22"/>
        </w:rPr>
        <w:t>elom okruženju parijetalnih ćelija, gdje inhibira enzim H</w:t>
      </w:r>
      <w:r w:rsidRPr="004C1A6D">
        <w:rPr>
          <w:sz w:val="22"/>
          <w:szCs w:val="22"/>
          <w:vertAlign w:val="superscript"/>
        </w:rPr>
        <w:t>+</w:t>
      </w:r>
      <w:r w:rsidRPr="004C1A6D">
        <w:rPr>
          <w:sz w:val="22"/>
          <w:szCs w:val="22"/>
        </w:rPr>
        <w:t>, K</w:t>
      </w:r>
      <w:r w:rsidRPr="004C1A6D">
        <w:rPr>
          <w:sz w:val="22"/>
          <w:szCs w:val="22"/>
          <w:vertAlign w:val="superscript"/>
        </w:rPr>
        <w:t>+</w:t>
      </w:r>
      <w:r w:rsidRPr="004C1A6D">
        <w:rPr>
          <w:sz w:val="22"/>
          <w:szCs w:val="22"/>
        </w:rPr>
        <w:t>-ATP-azu, odnosno, završnu fazu proizvodnje hlorovodonične kis</w:t>
      </w:r>
      <w:r w:rsidR="004F2AAE" w:rsidRPr="004C1A6D">
        <w:rPr>
          <w:sz w:val="22"/>
          <w:szCs w:val="22"/>
        </w:rPr>
        <w:t>jeline u želucu. Inhibicija zavisi</w:t>
      </w:r>
      <w:r w:rsidRPr="004C1A6D">
        <w:rPr>
          <w:sz w:val="22"/>
          <w:szCs w:val="22"/>
        </w:rPr>
        <w:t xml:space="preserve"> o</w:t>
      </w:r>
      <w:r w:rsidR="004F2AAE" w:rsidRPr="004C1A6D">
        <w:rPr>
          <w:sz w:val="22"/>
          <w:szCs w:val="22"/>
        </w:rPr>
        <w:t>d doze</w:t>
      </w:r>
      <w:r w:rsidRPr="004C1A6D">
        <w:rPr>
          <w:sz w:val="22"/>
          <w:szCs w:val="22"/>
        </w:rPr>
        <w:t>, a uti</w:t>
      </w:r>
      <w:r w:rsidR="004F2AAE" w:rsidRPr="004C1A6D">
        <w:rPr>
          <w:sz w:val="22"/>
          <w:szCs w:val="22"/>
        </w:rPr>
        <w:t>če i na bazalnu i na stimulisanu</w:t>
      </w:r>
      <w:r w:rsidRPr="004C1A6D">
        <w:rPr>
          <w:sz w:val="22"/>
          <w:szCs w:val="22"/>
        </w:rPr>
        <w:t xml:space="preserve"> sekreciju kis</w:t>
      </w:r>
      <w:r w:rsidR="004F2AAE" w:rsidRPr="004C1A6D">
        <w:rPr>
          <w:sz w:val="22"/>
          <w:szCs w:val="22"/>
        </w:rPr>
        <w:t>j</w:t>
      </w:r>
      <w:r w:rsidRPr="004C1A6D">
        <w:rPr>
          <w:sz w:val="22"/>
          <w:szCs w:val="22"/>
        </w:rPr>
        <w:t xml:space="preserve">eline. </w:t>
      </w:r>
      <w:r w:rsidR="00B4173E" w:rsidRPr="004C1A6D">
        <w:rPr>
          <w:sz w:val="22"/>
          <w:szCs w:val="22"/>
        </w:rPr>
        <w:t>Kod</w:t>
      </w:r>
      <w:r w:rsidRPr="004C1A6D">
        <w:rPr>
          <w:sz w:val="22"/>
          <w:szCs w:val="22"/>
        </w:rPr>
        <w:t xml:space="preserve"> većine pacijenata, potpuno povla</w:t>
      </w:r>
      <w:r w:rsidR="00250690" w:rsidRPr="004C1A6D">
        <w:rPr>
          <w:sz w:val="22"/>
          <w:szCs w:val="22"/>
        </w:rPr>
        <w:t>čenje simptoma postiže se u okviru</w:t>
      </w:r>
      <w:r w:rsidRPr="004C1A6D">
        <w:rPr>
          <w:sz w:val="22"/>
          <w:szCs w:val="22"/>
        </w:rPr>
        <w:t xml:space="preserve"> perioda od 2 sedmice. Kao i uz ostale inhibitore protonske pumpe i inhibitore H2 receptora, tokom liječenja pantoprazolom u želucu nastaje smanjenje kis</w:t>
      </w:r>
      <w:r w:rsidR="00250690" w:rsidRPr="004C1A6D">
        <w:rPr>
          <w:sz w:val="22"/>
          <w:szCs w:val="22"/>
        </w:rPr>
        <w:t>j</w:t>
      </w:r>
      <w:r w:rsidRPr="004C1A6D">
        <w:rPr>
          <w:sz w:val="22"/>
          <w:szCs w:val="22"/>
        </w:rPr>
        <w:t>elosti i povećanje gastrina koje je proporcionalno smanjenju kis</w:t>
      </w:r>
      <w:r w:rsidR="00250690" w:rsidRPr="004C1A6D">
        <w:rPr>
          <w:sz w:val="22"/>
          <w:szCs w:val="22"/>
        </w:rPr>
        <w:t>j</w:t>
      </w:r>
      <w:r w:rsidRPr="004C1A6D">
        <w:rPr>
          <w:sz w:val="22"/>
          <w:szCs w:val="22"/>
        </w:rPr>
        <w:t xml:space="preserve">elosti. Povećanje gastrina je reverzibilno. S obzirom da se pantoprazol veže za enzim distalno od nivoa ćelijskih receptora, on može </w:t>
      </w:r>
      <w:r w:rsidR="00250690" w:rsidRPr="004C1A6D">
        <w:rPr>
          <w:sz w:val="22"/>
          <w:szCs w:val="22"/>
        </w:rPr>
        <w:t>da inhibira</w:t>
      </w:r>
      <w:r w:rsidRPr="004C1A6D">
        <w:rPr>
          <w:sz w:val="22"/>
          <w:szCs w:val="22"/>
        </w:rPr>
        <w:t xml:space="preserve"> sekreciju hlorovodonične kis</w:t>
      </w:r>
      <w:r w:rsidR="00250690" w:rsidRPr="004C1A6D">
        <w:rPr>
          <w:sz w:val="22"/>
          <w:szCs w:val="22"/>
        </w:rPr>
        <w:t>jeline neza</w:t>
      </w:r>
      <w:r w:rsidRPr="004C1A6D">
        <w:rPr>
          <w:sz w:val="22"/>
          <w:szCs w:val="22"/>
        </w:rPr>
        <w:t>visno o</w:t>
      </w:r>
      <w:r w:rsidR="00250690" w:rsidRPr="004C1A6D">
        <w:rPr>
          <w:sz w:val="22"/>
          <w:szCs w:val="22"/>
        </w:rPr>
        <w:t>d stimulacije</w:t>
      </w:r>
      <w:r w:rsidRPr="004C1A6D">
        <w:rPr>
          <w:sz w:val="22"/>
          <w:szCs w:val="22"/>
        </w:rPr>
        <w:t xml:space="preserve"> s drugim supstancama (acetilh</w:t>
      </w:r>
      <w:r w:rsidR="002C45B1" w:rsidRPr="004C1A6D">
        <w:rPr>
          <w:sz w:val="22"/>
          <w:szCs w:val="22"/>
        </w:rPr>
        <w:t>olin, histamin, gastrin). Efekat</w:t>
      </w:r>
      <w:r w:rsidRPr="004C1A6D">
        <w:rPr>
          <w:sz w:val="22"/>
          <w:szCs w:val="22"/>
        </w:rPr>
        <w:t xml:space="preserve"> je isti bez obzira </w:t>
      </w:r>
      <w:r w:rsidR="00250690" w:rsidRPr="004C1A6D">
        <w:rPr>
          <w:sz w:val="22"/>
          <w:szCs w:val="22"/>
        </w:rPr>
        <w:t>da li se lijek primjenjuje</w:t>
      </w:r>
      <w:r w:rsidRPr="004C1A6D">
        <w:rPr>
          <w:sz w:val="22"/>
          <w:szCs w:val="22"/>
        </w:rPr>
        <w:t xml:space="preserve"> oralno ili intravenski.</w:t>
      </w:r>
    </w:p>
    <w:p w:rsidR="00E455D3" w:rsidRPr="004C1A6D" w:rsidRDefault="00E455D3" w:rsidP="00992223">
      <w:pPr>
        <w:jc w:val="both"/>
        <w:rPr>
          <w:sz w:val="22"/>
          <w:szCs w:val="22"/>
        </w:rPr>
      </w:pPr>
    </w:p>
    <w:p w:rsidR="00E455D3" w:rsidRPr="004C1A6D" w:rsidRDefault="00E455D3" w:rsidP="00992223">
      <w:pPr>
        <w:jc w:val="both"/>
        <w:rPr>
          <w:sz w:val="22"/>
          <w:szCs w:val="22"/>
          <w:u w:val="single"/>
        </w:rPr>
      </w:pPr>
      <w:r w:rsidRPr="004C1A6D">
        <w:rPr>
          <w:sz w:val="22"/>
          <w:szCs w:val="22"/>
          <w:u w:val="single"/>
        </w:rPr>
        <w:t>Farmakodinamičk</w:t>
      </w:r>
      <w:r w:rsidR="00943847" w:rsidRPr="004C1A6D">
        <w:rPr>
          <w:sz w:val="22"/>
          <w:szCs w:val="22"/>
          <w:u w:val="single"/>
        </w:rPr>
        <w:t>i efekti</w:t>
      </w:r>
    </w:p>
    <w:p w:rsidR="00E455D3" w:rsidRPr="004C1A6D" w:rsidRDefault="00E455D3" w:rsidP="00992223">
      <w:pPr>
        <w:jc w:val="both"/>
        <w:rPr>
          <w:sz w:val="22"/>
          <w:szCs w:val="22"/>
        </w:rPr>
      </w:pPr>
    </w:p>
    <w:p w:rsidR="00E455D3" w:rsidRPr="004C1A6D" w:rsidRDefault="00E455D3" w:rsidP="00992223">
      <w:pPr>
        <w:jc w:val="both"/>
        <w:rPr>
          <w:sz w:val="22"/>
          <w:szCs w:val="22"/>
        </w:rPr>
      </w:pPr>
      <w:r w:rsidRPr="004C1A6D">
        <w:rPr>
          <w:sz w:val="22"/>
          <w:szCs w:val="22"/>
        </w:rPr>
        <w:t>Vrijednosti gastrina na tašte se povećavaju tokom primjene pantoprazola. Tokom kratkotrajne primjene, te vrijednosti u većini slučajeva ne prelaze gornju granicu normale. Kod dugotrajnog liječenja, nivoi gastrina u većini slučajeva bivaju udvostručeni, dok se izrazito po</w:t>
      </w:r>
      <w:r w:rsidR="00250690" w:rsidRPr="004C1A6D">
        <w:rPr>
          <w:sz w:val="22"/>
          <w:szCs w:val="22"/>
        </w:rPr>
        <w:t>većanje javlja samo u izolovanim</w:t>
      </w:r>
      <w:r w:rsidRPr="004C1A6D">
        <w:rPr>
          <w:sz w:val="22"/>
          <w:szCs w:val="22"/>
        </w:rPr>
        <w:t xml:space="preserve"> slučajevima. Kao rezultat toga, blago do umjereno povećanje broja specifičnih endokrinih ćelija u želucu (jednostavna do adenomatoidna hiperplazija), uočeno je u minornom broju slučajeva tokom dugotrajnog liječenja. Međutim, prema do sada </w:t>
      </w:r>
      <w:r w:rsidR="00250690" w:rsidRPr="004C1A6D">
        <w:rPr>
          <w:sz w:val="22"/>
          <w:szCs w:val="22"/>
        </w:rPr>
        <w:t>s</w:t>
      </w:r>
      <w:r w:rsidRPr="004C1A6D">
        <w:rPr>
          <w:sz w:val="22"/>
          <w:szCs w:val="22"/>
        </w:rPr>
        <w:t>provedenim studijama, stvaranje karcinoidnih prekursora (atipična hiperplazija) ili gastričnih karcinoida kakvi su pronađeni u a</w:t>
      </w:r>
      <w:r w:rsidR="00B96907" w:rsidRPr="004C1A6D">
        <w:rPr>
          <w:sz w:val="22"/>
          <w:szCs w:val="22"/>
        </w:rPr>
        <w:t>nimalnim eksperimentima (pogledati</w:t>
      </w:r>
      <w:r w:rsidRPr="004C1A6D">
        <w:rPr>
          <w:sz w:val="22"/>
          <w:szCs w:val="22"/>
        </w:rPr>
        <w:t xml:space="preserve"> dio 5.3.), nije zabilježeno </w:t>
      </w:r>
      <w:r w:rsidR="005E0646" w:rsidRPr="004C1A6D">
        <w:rPr>
          <w:sz w:val="22"/>
          <w:szCs w:val="22"/>
        </w:rPr>
        <w:t>kod</w:t>
      </w:r>
      <w:r w:rsidRPr="004C1A6D">
        <w:rPr>
          <w:sz w:val="22"/>
          <w:szCs w:val="22"/>
        </w:rPr>
        <w:t xml:space="preserve"> ljudi.</w:t>
      </w:r>
    </w:p>
    <w:p w:rsidR="00E455D3" w:rsidRPr="004C1A6D" w:rsidRDefault="00E455D3" w:rsidP="00992223">
      <w:pPr>
        <w:jc w:val="both"/>
        <w:rPr>
          <w:sz w:val="22"/>
          <w:szCs w:val="22"/>
        </w:rPr>
      </w:pPr>
    </w:p>
    <w:p w:rsidR="00E455D3" w:rsidRPr="004C1A6D" w:rsidRDefault="00E455D3" w:rsidP="00992223">
      <w:pPr>
        <w:jc w:val="both"/>
        <w:rPr>
          <w:sz w:val="22"/>
          <w:szCs w:val="22"/>
        </w:rPr>
      </w:pPr>
      <w:r w:rsidRPr="004C1A6D">
        <w:rPr>
          <w:sz w:val="22"/>
          <w:szCs w:val="22"/>
        </w:rPr>
        <w:t xml:space="preserve">Prema rezultatima animalnih studija, uticaj dugotrajnog (preko jedne godine) liječenja pantoprazolom na endokrine parametre štitne žlijezde, ne može </w:t>
      </w:r>
      <w:r w:rsidR="00F20DDA" w:rsidRPr="004C1A6D">
        <w:rPr>
          <w:sz w:val="22"/>
          <w:szCs w:val="22"/>
        </w:rPr>
        <w:t>da se u potpunosti isključi</w:t>
      </w:r>
      <w:r w:rsidRPr="004C1A6D">
        <w:rPr>
          <w:sz w:val="22"/>
          <w:szCs w:val="22"/>
        </w:rPr>
        <w:t xml:space="preserve">. </w:t>
      </w:r>
    </w:p>
    <w:p w:rsidR="00E455D3" w:rsidRPr="004C1A6D" w:rsidRDefault="00E455D3" w:rsidP="00992223">
      <w:pPr>
        <w:pStyle w:val="Default"/>
        <w:jc w:val="both"/>
        <w:rPr>
          <w:color w:val="auto"/>
          <w:sz w:val="22"/>
          <w:szCs w:val="22"/>
        </w:rPr>
      </w:pPr>
    </w:p>
    <w:p w:rsidR="00E455D3" w:rsidRPr="004C1A6D" w:rsidRDefault="00E455D3" w:rsidP="00992223">
      <w:pPr>
        <w:pStyle w:val="Default"/>
        <w:jc w:val="both"/>
        <w:rPr>
          <w:color w:val="auto"/>
          <w:sz w:val="22"/>
          <w:szCs w:val="22"/>
        </w:rPr>
      </w:pPr>
      <w:r w:rsidRPr="004C1A6D">
        <w:rPr>
          <w:color w:val="auto"/>
          <w:sz w:val="22"/>
          <w:szCs w:val="22"/>
        </w:rPr>
        <w:t>Serumski gastrin se povećava to</w:t>
      </w:r>
      <w:r w:rsidR="00706E6C" w:rsidRPr="004C1A6D">
        <w:rPr>
          <w:color w:val="auto"/>
          <w:sz w:val="22"/>
          <w:szCs w:val="22"/>
        </w:rPr>
        <w:t>kom liječenja antisekretornim l</w:t>
      </w:r>
      <w:r w:rsidRPr="004C1A6D">
        <w:rPr>
          <w:color w:val="auto"/>
          <w:sz w:val="22"/>
          <w:szCs w:val="22"/>
        </w:rPr>
        <w:t>jekovima, kao odgovor na smanjenu sekreciju kis</w:t>
      </w:r>
      <w:r w:rsidR="00F20DDA" w:rsidRPr="004C1A6D">
        <w:rPr>
          <w:color w:val="auto"/>
          <w:sz w:val="22"/>
          <w:szCs w:val="22"/>
        </w:rPr>
        <w:t>jeline. CgA takođe raste zbog smanjene želudačne</w:t>
      </w:r>
      <w:r w:rsidRPr="004C1A6D">
        <w:rPr>
          <w:color w:val="auto"/>
          <w:sz w:val="22"/>
          <w:szCs w:val="22"/>
        </w:rPr>
        <w:t xml:space="preserve"> kis</w:t>
      </w:r>
      <w:r w:rsidR="00F20DDA" w:rsidRPr="004C1A6D">
        <w:rPr>
          <w:color w:val="auto"/>
          <w:sz w:val="22"/>
          <w:szCs w:val="22"/>
        </w:rPr>
        <w:t>j</w:t>
      </w:r>
      <w:r w:rsidRPr="004C1A6D">
        <w:rPr>
          <w:color w:val="auto"/>
          <w:sz w:val="22"/>
          <w:szCs w:val="22"/>
        </w:rPr>
        <w:t xml:space="preserve">elosti. Povišen nivo CgA može </w:t>
      </w:r>
      <w:r w:rsidR="00F20DDA" w:rsidRPr="004C1A6D">
        <w:rPr>
          <w:color w:val="auto"/>
          <w:sz w:val="22"/>
          <w:szCs w:val="22"/>
        </w:rPr>
        <w:t>da interferira</w:t>
      </w:r>
      <w:r w:rsidRPr="004C1A6D">
        <w:rPr>
          <w:color w:val="auto"/>
          <w:sz w:val="22"/>
          <w:szCs w:val="22"/>
        </w:rPr>
        <w:t xml:space="preserve"> s pretragama za neuroendokrine tumore. </w:t>
      </w:r>
    </w:p>
    <w:p w:rsidR="00E455D3" w:rsidRPr="004C1A6D" w:rsidRDefault="00E455D3" w:rsidP="00992223">
      <w:pPr>
        <w:jc w:val="both"/>
        <w:rPr>
          <w:sz w:val="22"/>
          <w:szCs w:val="22"/>
        </w:rPr>
      </w:pPr>
    </w:p>
    <w:p w:rsidR="00E455D3" w:rsidRPr="004C1A6D" w:rsidRDefault="00E455D3" w:rsidP="00992223">
      <w:pPr>
        <w:jc w:val="both"/>
        <w:rPr>
          <w:sz w:val="22"/>
          <w:szCs w:val="22"/>
        </w:rPr>
      </w:pPr>
      <w:r w:rsidRPr="004C1A6D">
        <w:rPr>
          <w:sz w:val="22"/>
          <w:szCs w:val="22"/>
        </w:rPr>
        <w:t xml:space="preserve">Dostupni objavljeni dokazi upućuju na to da liječenje s inhibitorima protonske pumpe treba </w:t>
      </w:r>
      <w:r w:rsidR="00F20DDA" w:rsidRPr="004C1A6D">
        <w:rPr>
          <w:sz w:val="22"/>
          <w:szCs w:val="22"/>
        </w:rPr>
        <w:t>da se prekine</w:t>
      </w:r>
      <w:r w:rsidRPr="004C1A6D">
        <w:rPr>
          <w:sz w:val="22"/>
          <w:szCs w:val="22"/>
        </w:rPr>
        <w:t xml:space="preserve"> između 5 dana i 2 sedmice prije mjerenja CgA. Time se omogućuje da se nivoi CgA, koji mogu biti prividno povećani nakon liječenja s inhibitorom protonske pumpe, vrate unutar raspona referentnih vrijednosti.</w:t>
      </w:r>
    </w:p>
    <w:p w:rsidR="00E455D3" w:rsidRPr="004C1A6D" w:rsidRDefault="00E455D3"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5.2. </w:t>
      </w:r>
      <w:r w:rsidR="00480FB1" w:rsidRPr="004C1A6D">
        <w:rPr>
          <w:b/>
          <w:bCs/>
          <w:sz w:val="22"/>
          <w:szCs w:val="22"/>
        </w:rPr>
        <w:tab/>
      </w:r>
      <w:r w:rsidRPr="004C1A6D">
        <w:rPr>
          <w:b/>
          <w:bCs/>
          <w:sz w:val="22"/>
          <w:szCs w:val="22"/>
        </w:rPr>
        <w:t>Farmakokinetički podaci</w:t>
      </w:r>
      <w:r w:rsidR="003A7059" w:rsidRPr="004C1A6D">
        <w:rPr>
          <w:b/>
          <w:bCs/>
          <w:sz w:val="22"/>
          <w:szCs w:val="22"/>
        </w:rPr>
        <w:t xml:space="preserve"> </w:t>
      </w:r>
    </w:p>
    <w:p w:rsidR="001D0036" w:rsidRPr="004C1A6D" w:rsidRDefault="001D0036" w:rsidP="00992223">
      <w:pPr>
        <w:tabs>
          <w:tab w:val="left" w:pos="540"/>
          <w:tab w:val="left" w:pos="569"/>
        </w:tabs>
        <w:jc w:val="both"/>
        <w:rPr>
          <w:b/>
          <w:bCs/>
          <w:sz w:val="22"/>
          <w:szCs w:val="22"/>
        </w:rPr>
      </w:pPr>
    </w:p>
    <w:p w:rsidR="001D0036" w:rsidRPr="004C1A6D" w:rsidRDefault="001D0036" w:rsidP="00992223">
      <w:pPr>
        <w:autoSpaceDE w:val="0"/>
        <w:autoSpaceDN w:val="0"/>
        <w:adjustRightInd w:val="0"/>
        <w:jc w:val="both"/>
        <w:rPr>
          <w:iCs/>
          <w:sz w:val="22"/>
          <w:szCs w:val="22"/>
          <w:u w:val="single"/>
        </w:rPr>
      </w:pPr>
      <w:r w:rsidRPr="004C1A6D">
        <w:rPr>
          <w:iCs/>
          <w:sz w:val="22"/>
          <w:szCs w:val="22"/>
          <w:u w:val="single"/>
        </w:rPr>
        <w:t>Resorpcija</w:t>
      </w:r>
    </w:p>
    <w:p w:rsidR="001D0036" w:rsidRPr="004C1A6D" w:rsidRDefault="001D0036" w:rsidP="00992223">
      <w:pPr>
        <w:autoSpaceDE w:val="0"/>
        <w:autoSpaceDN w:val="0"/>
        <w:adjustRightInd w:val="0"/>
        <w:jc w:val="both"/>
        <w:rPr>
          <w:iCs/>
          <w:sz w:val="22"/>
          <w:szCs w:val="22"/>
        </w:rPr>
      </w:pPr>
      <w:r w:rsidRPr="004C1A6D">
        <w:rPr>
          <w:iCs/>
          <w:sz w:val="22"/>
          <w:szCs w:val="22"/>
        </w:rPr>
        <w:t>Pantoprazol se brzo resorbuje, a maksimalna koncentracija u plazmi biva dosegnuta čak i nakon pojedinačne oralne doze od 20 mg. Maksimalne koncentracije u serumu od oko 1-1,5 µg/ml, postižu se u prosjeku 2 do 2,5 sata nakon doziranja, a te vrijednosti os</w:t>
      </w:r>
      <w:r w:rsidR="00795DC9" w:rsidRPr="004C1A6D">
        <w:rPr>
          <w:iCs/>
          <w:sz w:val="22"/>
          <w:szCs w:val="22"/>
        </w:rPr>
        <w:t>taju konstantne nakon višestruke</w:t>
      </w:r>
      <w:r w:rsidRPr="004C1A6D">
        <w:rPr>
          <w:iCs/>
          <w:sz w:val="22"/>
          <w:szCs w:val="22"/>
        </w:rPr>
        <w:t xml:space="preserve"> primjene lijeka.</w:t>
      </w:r>
    </w:p>
    <w:p w:rsidR="001D0036" w:rsidRPr="004C1A6D" w:rsidRDefault="001D0036" w:rsidP="00992223">
      <w:pPr>
        <w:autoSpaceDE w:val="0"/>
        <w:autoSpaceDN w:val="0"/>
        <w:adjustRightInd w:val="0"/>
        <w:jc w:val="both"/>
        <w:rPr>
          <w:iCs/>
          <w:sz w:val="22"/>
          <w:szCs w:val="22"/>
        </w:rPr>
      </w:pPr>
    </w:p>
    <w:p w:rsidR="001D0036" w:rsidRPr="004C1A6D" w:rsidRDefault="001D0036" w:rsidP="00992223">
      <w:pPr>
        <w:autoSpaceDE w:val="0"/>
        <w:autoSpaceDN w:val="0"/>
        <w:adjustRightInd w:val="0"/>
        <w:jc w:val="both"/>
        <w:rPr>
          <w:iCs/>
          <w:sz w:val="22"/>
          <w:szCs w:val="22"/>
        </w:rPr>
      </w:pPr>
      <w:r w:rsidRPr="004C1A6D">
        <w:rPr>
          <w:iCs/>
          <w:sz w:val="22"/>
          <w:szCs w:val="22"/>
        </w:rPr>
        <w:t>Farmakokinetika se ne mijenja nakon pojedinačne ili ponovljene primjene. U rasponu doza od 10 mg do 80 mg, plazmatska kinetika pantoprazola je linearna i nakon oralne i nakon intravenske primjene.</w:t>
      </w:r>
    </w:p>
    <w:p w:rsidR="001D0036" w:rsidRPr="004C1A6D" w:rsidRDefault="001D0036" w:rsidP="00992223">
      <w:pPr>
        <w:autoSpaceDE w:val="0"/>
        <w:autoSpaceDN w:val="0"/>
        <w:adjustRightInd w:val="0"/>
        <w:jc w:val="both"/>
        <w:rPr>
          <w:iCs/>
          <w:sz w:val="22"/>
          <w:szCs w:val="22"/>
        </w:rPr>
      </w:pPr>
    </w:p>
    <w:p w:rsidR="001D0036" w:rsidRPr="004C1A6D" w:rsidRDefault="001D0036" w:rsidP="00992223">
      <w:pPr>
        <w:autoSpaceDE w:val="0"/>
        <w:autoSpaceDN w:val="0"/>
        <w:adjustRightInd w:val="0"/>
        <w:jc w:val="both"/>
        <w:rPr>
          <w:iCs/>
          <w:sz w:val="22"/>
          <w:szCs w:val="22"/>
        </w:rPr>
      </w:pPr>
      <w:r w:rsidRPr="004C1A6D">
        <w:rPr>
          <w:iCs/>
          <w:sz w:val="22"/>
          <w:szCs w:val="22"/>
        </w:rPr>
        <w:t xml:space="preserve">Apsolutna bioraspoloživost iz tablete iznosi oko 77%.  Istovremeno uzimanje hrane nema uticaj na površinu ispod krivulje (AUC), maksimalnu koncentraciju u serumu, pa stoga ni na bioraspoloživost. Kod istovremenog uzimanja hrane, povećava se samo </w:t>
      </w:r>
      <w:r w:rsidR="00857834" w:rsidRPr="004C1A6D">
        <w:rPr>
          <w:iCs/>
          <w:sz w:val="22"/>
          <w:szCs w:val="22"/>
        </w:rPr>
        <w:t>varijabilnost vremena početka re</w:t>
      </w:r>
      <w:r w:rsidRPr="004C1A6D">
        <w:rPr>
          <w:iCs/>
          <w:sz w:val="22"/>
          <w:szCs w:val="22"/>
        </w:rPr>
        <w:t>sorpcije.</w:t>
      </w:r>
    </w:p>
    <w:p w:rsidR="001D0036" w:rsidRPr="004C1A6D" w:rsidRDefault="001D0036" w:rsidP="00992223">
      <w:pPr>
        <w:autoSpaceDE w:val="0"/>
        <w:autoSpaceDN w:val="0"/>
        <w:adjustRightInd w:val="0"/>
        <w:jc w:val="both"/>
        <w:rPr>
          <w:i/>
          <w:iCs/>
          <w:sz w:val="22"/>
          <w:szCs w:val="22"/>
        </w:rPr>
      </w:pPr>
    </w:p>
    <w:p w:rsidR="001D0036" w:rsidRPr="004C1A6D" w:rsidRDefault="001D0036" w:rsidP="00992223">
      <w:pPr>
        <w:autoSpaceDE w:val="0"/>
        <w:autoSpaceDN w:val="0"/>
        <w:adjustRightInd w:val="0"/>
        <w:jc w:val="both"/>
        <w:rPr>
          <w:iCs/>
          <w:sz w:val="22"/>
          <w:szCs w:val="22"/>
          <w:u w:val="single"/>
        </w:rPr>
      </w:pPr>
      <w:r w:rsidRPr="004C1A6D">
        <w:rPr>
          <w:iCs/>
          <w:sz w:val="22"/>
          <w:szCs w:val="22"/>
          <w:u w:val="single"/>
        </w:rPr>
        <w:t>Distribucija</w:t>
      </w:r>
    </w:p>
    <w:p w:rsidR="001D0036" w:rsidRPr="004C1A6D" w:rsidRDefault="001D0036" w:rsidP="00992223">
      <w:pPr>
        <w:autoSpaceDE w:val="0"/>
        <w:autoSpaceDN w:val="0"/>
        <w:adjustRightInd w:val="0"/>
        <w:jc w:val="both"/>
        <w:rPr>
          <w:iCs/>
          <w:sz w:val="22"/>
          <w:szCs w:val="22"/>
        </w:rPr>
      </w:pPr>
      <w:r w:rsidRPr="004C1A6D">
        <w:rPr>
          <w:iCs/>
          <w:sz w:val="22"/>
          <w:szCs w:val="22"/>
        </w:rPr>
        <w:t>Oko 98% pantoprazola veže se za serumske proteine. Volumen distribucije iznosi oko 0,15 l/kg.</w:t>
      </w:r>
    </w:p>
    <w:p w:rsidR="001D0036" w:rsidRPr="004C1A6D" w:rsidRDefault="001D0036" w:rsidP="00992223">
      <w:pPr>
        <w:autoSpaceDE w:val="0"/>
        <w:autoSpaceDN w:val="0"/>
        <w:adjustRightInd w:val="0"/>
        <w:jc w:val="both"/>
        <w:rPr>
          <w:sz w:val="22"/>
          <w:szCs w:val="22"/>
        </w:rPr>
      </w:pPr>
    </w:p>
    <w:p w:rsidR="001D0036" w:rsidRPr="004C1A6D" w:rsidRDefault="001D0036" w:rsidP="00992223">
      <w:pPr>
        <w:autoSpaceDE w:val="0"/>
        <w:autoSpaceDN w:val="0"/>
        <w:adjustRightInd w:val="0"/>
        <w:jc w:val="both"/>
        <w:rPr>
          <w:iCs/>
          <w:sz w:val="22"/>
          <w:szCs w:val="22"/>
        </w:rPr>
      </w:pPr>
      <w:r w:rsidRPr="004C1A6D">
        <w:rPr>
          <w:iCs/>
          <w:sz w:val="22"/>
          <w:szCs w:val="22"/>
          <w:u w:val="single"/>
        </w:rPr>
        <w:lastRenderedPageBreak/>
        <w:t>Biotransformacija</w:t>
      </w:r>
    </w:p>
    <w:p w:rsidR="001D0036" w:rsidRPr="004C1A6D" w:rsidRDefault="001D0036" w:rsidP="00992223">
      <w:pPr>
        <w:autoSpaceDE w:val="0"/>
        <w:autoSpaceDN w:val="0"/>
        <w:adjustRightInd w:val="0"/>
        <w:jc w:val="both"/>
        <w:rPr>
          <w:iCs/>
          <w:sz w:val="22"/>
          <w:szCs w:val="22"/>
        </w:rPr>
      </w:pPr>
      <w:r w:rsidRPr="004C1A6D">
        <w:rPr>
          <w:iCs/>
          <w:sz w:val="22"/>
          <w:szCs w:val="22"/>
        </w:rPr>
        <w:t xml:space="preserve">Pantoprazol se </w:t>
      </w:r>
      <w:r w:rsidR="00475AD3" w:rsidRPr="004C1A6D">
        <w:rPr>
          <w:iCs/>
          <w:sz w:val="22"/>
          <w:szCs w:val="22"/>
        </w:rPr>
        <w:t>gotovo u potpunosti metabolizuje</w:t>
      </w:r>
      <w:r w:rsidRPr="004C1A6D">
        <w:rPr>
          <w:iCs/>
          <w:sz w:val="22"/>
          <w:szCs w:val="22"/>
        </w:rPr>
        <w:t xml:space="preserve"> u jetri. Glavni metabolički put je demetilacija posredstvom CYP2C19 sa posljedičnom konjugacijom sulfatima. Ostali metabolički put uključuje oksidaciju putem CYP3A4.</w:t>
      </w:r>
    </w:p>
    <w:p w:rsidR="001D0036" w:rsidRPr="004C1A6D" w:rsidRDefault="001D0036" w:rsidP="00992223">
      <w:pPr>
        <w:autoSpaceDE w:val="0"/>
        <w:autoSpaceDN w:val="0"/>
        <w:adjustRightInd w:val="0"/>
        <w:jc w:val="both"/>
        <w:rPr>
          <w:iCs/>
          <w:sz w:val="22"/>
          <w:szCs w:val="22"/>
        </w:rPr>
      </w:pPr>
    </w:p>
    <w:p w:rsidR="001D0036" w:rsidRPr="004C1A6D" w:rsidRDefault="001D0036" w:rsidP="00992223">
      <w:pPr>
        <w:autoSpaceDE w:val="0"/>
        <w:autoSpaceDN w:val="0"/>
        <w:adjustRightInd w:val="0"/>
        <w:jc w:val="both"/>
        <w:rPr>
          <w:iCs/>
          <w:sz w:val="22"/>
          <w:szCs w:val="22"/>
          <w:u w:val="single"/>
        </w:rPr>
      </w:pPr>
      <w:r w:rsidRPr="004C1A6D">
        <w:rPr>
          <w:iCs/>
          <w:sz w:val="22"/>
          <w:szCs w:val="22"/>
          <w:u w:val="single"/>
        </w:rPr>
        <w:t>Eliminacija</w:t>
      </w:r>
    </w:p>
    <w:p w:rsidR="001D0036" w:rsidRPr="004C1A6D" w:rsidRDefault="001D0036" w:rsidP="00992223">
      <w:pPr>
        <w:pStyle w:val="Default"/>
        <w:jc w:val="both"/>
        <w:rPr>
          <w:iCs/>
          <w:color w:val="auto"/>
          <w:sz w:val="22"/>
          <w:szCs w:val="22"/>
        </w:rPr>
      </w:pPr>
      <w:r w:rsidRPr="004C1A6D">
        <w:rPr>
          <w:iCs/>
          <w:color w:val="auto"/>
          <w:sz w:val="22"/>
          <w:szCs w:val="22"/>
        </w:rPr>
        <w:t xml:space="preserve">Terminalni poluživot lijeka iznosi oko 1 sat, a klirens oko 0,1 l/sat/kg. Zabilježeno je nekoliko slučajeva osoba s odgođenom eliminacijom lijeka. Zbog specifičnog vezivanja pantoprazola za protonske pumpe parijetalnih ćelija, poluživot eliminacije nije u korelaciji s </w:t>
      </w:r>
      <w:r w:rsidR="00A5362E" w:rsidRPr="004C1A6D">
        <w:rPr>
          <w:iCs/>
          <w:color w:val="auto"/>
          <w:sz w:val="22"/>
          <w:szCs w:val="22"/>
        </w:rPr>
        <w:t>mnogo dužim trajanjem dejstvom</w:t>
      </w:r>
      <w:r w:rsidRPr="004C1A6D">
        <w:rPr>
          <w:iCs/>
          <w:color w:val="auto"/>
          <w:sz w:val="22"/>
          <w:szCs w:val="22"/>
        </w:rPr>
        <w:t xml:space="preserve"> lijeka (inhibicija sekrecije kis</w:t>
      </w:r>
      <w:r w:rsidR="00475AD3" w:rsidRPr="004C1A6D">
        <w:rPr>
          <w:iCs/>
          <w:color w:val="auto"/>
          <w:sz w:val="22"/>
          <w:szCs w:val="22"/>
        </w:rPr>
        <w:t>j</w:t>
      </w:r>
      <w:r w:rsidRPr="004C1A6D">
        <w:rPr>
          <w:iCs/>
          <w:color w:val="auto"/>
          <w:sz w:val="22"/>
          <w:szCs w:val="22"/>
        </w:rPr>
        <w:t>eline).</w:t>
      </w:r>
    </w:p>
    <w:p w:rsidR="001D0036" w:rsidRPr="004C1A6D" w:rsidRDefault="001D0036" w:rsidP="00992223">
      <w:pPr>
        <w:pStyle w:val="Default"/>
        <w:jc w:val="both"/>
        <w:rPr>
          <w:color w:val="auto"/>
          <w:sz w:val="22"/>
          <w:szCs w:val="22"/>
        </w:rPr>
      </w:pPr>
    </w:p>
    <w:p w:rsidR="001D0036" w:rsidRPr="004C1A6D" w:rsidRDefault="001D0036" w:rsidP="00992223">
      <w:pPr>
        <w:pStyle w:val="Default"/>
        <w:jc w:val="both"/>
        <w:rPr>
          <w:color w:val="auto"/>
          <w:sz w:val="22"/>
          <w:szCs w:val="22"/>
        </w:rPr>
      </w:pPr>
      <w:r w:rsidRPr="004C1A6D">
        <w:rPr>
          <w:color w:val="auto"/>
          <w:sz w:val="22"/>
          <w:szCs w:val="22"/>
        </w:rPr>
        <w:t xml:space="preserve">Za metabolite pantoprazola glavni put izlučivanja odvija se putem bubrega (oko 80%), a preostali se dio izlučuje fecesom. </w:t>
      </w:r>
      <w:r w:rsidRPr="004C1A6D">
        <w:rPr>
          <w:iCs/>
          <w:color w:val="auto"/>
          <w:sz w:val="22"/>
          <w:szCs w:val="22"/>
        </w:rPr>
        <w:t>Glavni metabolit i u serumu i u urinu je desmeti</w:t>
      </w:r>
      <w:r w:rsidR="00475AD3" w:rsidRPr="004C1A6D">
        <w:rPr>
          <w:iCs/>
          <w:color w:val="auto"/>
          <w:sz w:val="22"/>
          <w:szCs w:val="22"/>
        </w:rPr>
        <w:t>lpantoprazol, koji je konjugovan</w:t>
      </w:r>
      <w:r w:rsidRPr="004C1A6D">
        <w:rPr>
          <w:iCs/>
          <w:color w:val="auto"/>
          <w:sz w:val="22"/>
          <w:szCs w:val="22"/>
        </w:rPr>
        <w:t xml:space="preserve"> sa sulfatom. Poluživot glavnog metabolita (oko 1,5 sat), nije mnogo duži od poluživota pantoprazola.</w:t>
      </w:r>
    </w:p>
    <w:p w:rsidR="001D0036" w:rsidRPr="004C1A6D" w:rsidRDefault="001D0036" w:rsidP="00992223">
      <w:pPr>
        <w:autoSpaceDE w:val="0"/>
        <w:autoSpaceDN w:val="0"/>
        <w:adjustRightInd w:val="0"/>
        <w:jc w:val="both"/>
        <w:rPr>
          <w:iCs/>
          <w:sz w:val="22"/>
          <w:szCs w:val="22"/>
        </w:rPr>
      </w:pPr>
    </w:p>
    <w:p w:rsidR="001D0036" w:rsidRPr="004C1A6D" w:rsidRDefault="001D0036" w:rsidP="00992223">
      <w:pPr>
        <w:autoSpaceDE w:val="0"/>
        <w:autoSpaceDN w:val="0"/>
        <w:adjustRightInd w:val="0"/>
        <w:jc w:val="both"/>
        <w:rPr>
          <w:iCs/>
          <w:sz w:val="22"/>
          <w:szCs w:val="22"/>
          <w:u w:val="single"/>
        </w:rPr>
      </w:pPr>
      <w:r w:rsidRPr="004C1A6D">
        <w:rPr>
          <w:iCs/>
          <w:sz w:val="22"/>
          <w:szCs w:val="22"/>
          <w:u w:val="single"/>
        </w:rPr>
        <w:t>Posebne populacije</w:t>
      </w:r>
    </w:p>
    <w:p w:rsidR="001D0036" w:rsidRPr="004C1A6D" w:rsidRDefault="001D0036" w:rsidP="00992223">
      <w:pPr>
        <w:autoSpaceDE w:val="0"/>
        <w:autoSpaceDN w:val="0"/>
        <w:adjustRightInd w:val="0"/>
        <w:jc w:val="both"/>
        <w:rPr>
          <w:i/>
          <w:iCs/>
          <w:sz w:val="22"/>
          <w:szCs w:val="22"/>
        </w:rPr>
      </w:pPr>
    </w:p>
    <w:p w:rsidR="004C1A6D" w:rsidRPr="004C1A6D" w:rsidRDefault="001D0036" w:rsidP="00992223">
      <w:pPr>
        <w:autoSpaceDE w:val="0"/>
        <w:autoSpaceDN w:val="0"/>
        <w:adjustRightInd w:val="0"/>
        <w:jc w:val="both"/>
        <w:rPr>
          <w:i/>
          <w:iCs/>
          <w:sz w:val="22"/>
          <w:szCs w:val="22"/>
        </w:rPr>
      </w:pPr>
      <w:r w:rsidRPr="004C1A6D">
        <w:rPr>
          <w:i/>
          <w:iCs/>
          <w:sz w:val="22"/>
          <w:szCs w:val="22"/>
        </w:rPr>
        <w:t>Slabi metabolizatori</w:t>
      </w:r>
    </w:p>
    <w:p w:rsidR="001D0036" w:rsidRPr="004C1A6D" w:rsidRDefault="00E561FB" w:rsidP="00992223">
      <w:pPr>
        <w:autoSpaceDE w:val="0"/>
        <w:autoSpaceDN w:val="0"/>
        <w:adjustRightInd w:val="0"/>
        <w:jc w:val="both"/>
        <w:rPr>
          <w:iCs/>
          <w:sz w:val="22"/>
          <w:szCs w:val="22"/>
        </w:rPr>
      </w:pPr>
      <w:r w:rsidRPr="004C1A6D">
        <w:rPr>
          <w:iCs/>
          <w:sz w:val="22"/>
          <w:szCs w:val="22"/>
        </w:rPr>
        <w:t xml:space="preserve">Kod </w:t>
      </w:r>
      <w:r w:rsidR="000976E4" w:rsidRPr="004C1A6D">
        <w:rPr>
          <w:iCs/>
          <w:sz w:val="22"/>
          <w:szCs w:val="22"/>
        </w:rPr>
        <w:t>otprilike 3% Ev</w:t>
      </w:r>
      <w:r w:rsidR="001D0036" w:rsidRPr="004C1A6D">
        <w:rPr>
          <w:iCs/>
          <w:sz w:val="22"/>
          <w:szCs w:val="22"/>
        </w:rPr>
        <w:t xml:space="preserve">ropljana javlja se nedostatak funkcionalnog CYP2C19 enzima i                                                                                                                                                                                                                                                                                                                                                                                                                              oni se nazivaju slabi metabolizatori. </w:t>
      </w:r>
      <w:r w:rsidR="005F5027" w:rsidRPr="004C1A6D">
        <w:rPr>
          <w:iCs/>
          <w:sz w:val="22"/>
          <w:szCs w:val="22"/>
        </w:rPr>
        <w:t>Kod</w:t>
      </w:r>
      <w:r w:rsidR="001D0036" w:rsidRPr="004C1A6D">
        <w:rPr>
          <w:iCs/>
          <w:sz w:val="22"/>
          <w:szCs w:val="22"/>
        </w:rPr>
        <w:t xml:space="preserve"> ovih pojedinaca, metabolizam pantop</w:t>
      </w:r>
      <w:r w:rsidR="000976E4" w:rsidRPr="004C1A6D">
        <w:rPr>
          <w:iCs/>
          <w:sz w:val="22"/>
          <w:szCs w:val="22"/>
        </w:rPr>
        <w:t>razola vjerovatno je katalizovan</w:t>
      </w:r>
      <w:r w:rsidR="001D0036" w:rsidRPr="004C1A6D">
        <w:rPr>
          <w:iCs/>
          <w:sz w:val="22"/>
          <w:szCs w:val="22"/>
        </w:rPr>
        <w:t xml:space="preserve"> uglavnom putem CYP3A4. Nakon primjene pojedinačne doze od 40 mg pantoprazola, srednja vrijednost površine ispod krivulje koncentracija-vrijeme u plazmi bila je otprilike 6 puta viša </w:t>
      </w:r>
      <w:r w:rsidR="00D46383" w:rsidRPr="004C1A6D">
        <w:rPr>
          <w:iCs/>
          <w:sz w:val="22"/>
          <w:szCs w:val="22"/>
        </w:rPr>
        <w:t>kod</w:t>
      </w:r>
      <w:r w:rsidR="001D0036" w:rsidRPr="004C1A6D">
        <w:rPr>
          <w:iCs/>
          <w:sz w:val="22"/>
          <w:szCs w:val="22"/>
        </w:rPr>
        <w:t xml:space="preserve"> slabih metabolizatora, nego </w:t>
      </w:r>
      <w:r w:rsidR="005203A5" w:rsidRPr="004C1A6D">
        <w:rPr>
          <w:iCs/>
          <w:sz w:val="22"/>
          <w:szCs w:val="22"/>
        </w:rPr>
        <w:t>kod</w:t>
      </w:r>
      <w:r w:rsidR="001D0036" w:rsidRPr="004C1A6D">
        <w:rPr>
          <w:iCs/>
          <w:sz w:val="22"/>
          <w:szCs w:val="22"/>
        </w:rPr>
        <w:t xml:space="preserve"> osoba s funkcionalnim CYP2C19 enzimom (ekstenzivni metabolizatori). Srednje vrijednosti vršnih plazmatskih koncentracija bile su povećane za oko 60%. Ovi nalazi nemaju nikakav uticaj na doziranje pantoprazola.</w:t>
      </w:r>
    </w:p>
    <w:p w:rsidR="001D0036" w:rsidRPr="004C1A6D" w:rsidRDefault="001D0036" w:rsidP="00992223">
      <w:pPr>
        <w:autoSpaceDE w:val="0"/>
        <w:autoSpaceDN w:val="0"/>
        <w:adjustRightInd w:val="0"/>
        <w:jc w:val="both"/>
        <w:rPr>
          <w:iCs/>
          <w:sz w:val="22"/>
          <w:szCs w:val="22"/>
        </w:rPr>
      </w:pPr>
    </w:p>
    <w:p w:rsidR="005203A5" w:rsidRPr="004C1A6D" w:rsidRDefault="00062734" w:rsidP="00992223">
      <w:pPr>
        <w:autoSpaceDE w:val="0"/>
        <w:autoSpaceDN w:val="0"/>
        <w:adjustRightInd w:val="0"/>
        <w:jc w:val="both"/>
        <w:rPr>
          <w:i/>
          <w:iCs/>
          <w:sz w:val="22"/>
          <w:szCs w:val="22"/>
        </w:rPr>
      </w:pPr>
      <w:r w:rsidRPr="004C1A6D">
        <w:rPr>
          <w:i/>
          <w:iCs/>
          <w:sz w:val="22"/>
          <w:szCs w:val="22"/>
        </w:rPr>
        <w:t>O</w:t>
      </w:r>
      <w:r w:rsidR="001D0036" w:rsidRPr="004C1A6D">
        <w:rPr>
          <w:i/>
          <w:iCs/>
          <w:sz w:val="22"/>
          <w:szCs w:val="22"/>
        </w:rPr>
        <w:t>štećenje</w:t>
      </w:r>
      <w:r w:rsidRPr="004C1A6D">
        <w:rPr>
          <w:i/>
          <w:iCs/>
          <w:sz w:val="22"/>
          <w:szCs w:val="22"/>
        </w:rPr>
        <w:t xml:space="preserve"> bubrega</w:t>
      </w:r>
    </w:p>
    <w:p w:rsidR="001D0036" w:rsidRPr="004C1A6D" w:rsidRDefault="001D0036" w:rsidP="00992223">
      <w:pPr>
        <w:autoSpaceDE w:val="0"/>
        <w:autoSpaceDN w:val="0"/>
        <w:adjustRightInd w:val="0"/>
        <w:jc w:val="both"/>
        <w:rPr>
          <w:iCs/>
          <w:sz w:val="22"/>
          <w:szCs w:val="22"/>
        </w:rPr>
      </w:pPr>
      <w:r w:rsidRPr="004C1A6D">
        <w:rPr>
          <w:iCs/>
          <w:sz w:val="22"/>
          <w:szCs w:val="22"/>
        </w:rPr>
        <w:t xml:space="preserve">Ne preporučuje se smanjenje doze kod primjene pantoprazola </w:t>
      </w:r>
      <w:r w:rsidR="00CF2DB6" w:rsidRPr="004C1A6D">
        <w:rPr>
          <w:iCs/>
          <w:sz w:val="22"/>
          <w:szCs w:val="22"/>
        </w:rPr>
        <w:t>kod</w:t>
      </w:r>
      <w:r w:rsidRPr="004C1A6D">
        <w:rPr>
          <w:iCs/>
          <w:sz w:val="22"/>
          <w:szCs w:val="22"/>
        </w:rPr>
        <w:t xml:space="preserve"> pacijenata s oštećenom funkcijom bubrega (uključujući i pacijente na dijalizi). Kao i </w:t>
      </w:r>
      <w:r w:rsidR="00A7492F" w:rsidRPr="004C1A6D">
        <w:rPr>
          <w:iCs/>
          <w:sz w:val="22"/>
          <w:szCs w:val="22"/>
        </w:rPr>
        <w:t>kod</w:t>
      </w:r>
      <w:r w:rsidRPr="004C1A6D">
        <w:rPr>
          <w:iCs/>
          <w:sz w:val="22"/>
          <w:szCs w:val="22"/>
        </w:rPr>
        <w:t xml:space="preserve"> zdravih osoba, poluživot pantoprazola je kratak. Samo vrlo male količine </w:t>
      </w:r>
      <w:r w:rsidR="00062734" w:rsidRPr="004C1A6D">
        <w:rPr>
          <w:iCs/>
          <w:sz w:val="22"/>
          <w:szCs w:val="22"/>
        </w:rPr>
        <w:t>pantoprazola bivaju dijalizovane</w:t>
      </w:r>
      <w:r w:rsidRPr="004C1A6D">
        <w:rPr>
          <w:iCs/>
          <w:sz w:val="22"/>
          <w:szCs w:val="22"/>
        </w:rPr>
        <w:t>. Iako glavni metabolit pantoprazola ima umjereno odgođen poluživot (2 do 3 sata), eksk</w:t>
      </w:r>
      <w:r w:rsidR="008167A3" w:rsidRPr="004C1A6D">
        <w:rPr>
          <w:iCs/>
          <w:sz w:val="22"/>
          <w:szCs w:val="22"/>
        </w:rPr>
        <w:t>recija je i dalje brza i</w:t>
      </w:r>
      <w:r w:rsidR="00062734" w:rsidRPr="004C1A6D">
        <w:rPr>
          <w:iCs/>
          <w:sz w:val="22"/>
          <w:szCs w:val="22"/>
        </w:rPr>
        <w:t xml:space="preserve"> zato</w:t>
      </w:r>
      <w:r w:rsidRPr="004C1A6D">
        <w:rPr>
          <w:iCs/>
          <w:sz w:val="22"/>
          <w:szCs w:val="22"/>
        </w:rPr>
        <w:t xml:space="preserve"> ne dolazi do akumulacije.</w:t>
      </w:r>
    </w:p>
    <w:p w:rsidR="001D0036" w:rsidRPr="004C1A6D" w:rsidRDefault="001D0036" w:rsidP="00992223">
      <w:pPr>
        <w:autoSpaceDE w:val="0"/>
        <w:autoSpaceDN w:val="0"/>
        <w:adjustRightInd w:val="0"/>
        <w:jc w:val="both"/>
        <w:rPr>
          <w:iCs/>
          <w:sz w:val="22"/>
          <w:szCs w:val="22"/>
        </w:rPr>
      </w:pPr>
    </w:p>
    <w:p w:rsidR="00A7492F" w:rsidRPr="004C1A6D" w:rsidRDefault="00062734" w:rsidP="00992223">
      <w:pPr>
        <w:autoSpaceDE w:val="0"/>
        <w:autoSpaceDN w:val="0"/>
        <w:adjustRightInd w:val="0"/>
        <w:jc w:val="both"/>
        <w:rPr>
          <w:i/>
          <w:iCs/>
          <w:sz w:val="22"/>
          <w:szCs w:val="22"/>
        </w:rPr>
      </w:pPr>
      <w:r w:rsidRPr="004C1A6D">
        <w:rPr>
          <w:i/>
          <w:iCs/>
          <w:sz w:val="22"/>
          <w:szCs w:val="22"/>
        </w:rPr>
        <w:t>O</w:t>
      </w:r>
      <w:r w:rsidR="001D0036" w:rsidRPr="004C1A6D">
        <w:rPr>
          <w:i/>
          <w:iCs/>
          <w:sz w:val="22"/>
          <w:szCs w:val="22"/>
        </w:rPr>
        <w:t>štećenje</w:t>
      </w:r>
      <w:r w:rsidRPr="004C1A6D">
        <w:rPr>
          <w:i/>
          <w:iCs/>
          <w:sz w:val="22"/>
          <w:szCs w:val="22"/>
        </w:rPr>
        <w:t xml:space="preserve"> jetre</w:t>
      </w:r>
    </w:p>
    <w:p w:rsidR="001D0036" w:rsidRPr="004C1A6D" w:rsidRDefault="001D0036" w:rsidP="00992223">
      <w:pPr>
        <w:autoSpaceDE w:val="0"/>
        <w:autoSpaceDN w:val="0"/>
        <w:adjustRightInd w:val="0"/>
        <w:jc w:val="both"/>
        <w:rPr>
          <w:sz w:val="22"/>
          <w:szCs w:val="22"/>
        </w:rPr>
      </w:pPr>
      <w:r w:rsidRPr="004C1A6D">
        <w:rPr>
          <w:iCs/>
          <w:sz w:val="22"/>
          <w:szCs w:val="22"/>
        </w:rPr>
        <w:t>Iako</w:t>
      </w:r>
      <w:r w:rsidRPr="004C1A6D">
        <w:rPr>
          <w:sz w:val="22"/>
          <w:szCs w:val="22"/>
        </w:rPr>
        <w:t xml:space="preserve"> su </w:t>
      </w:r>
      <w:r w:rsidR="00A7492F" w:rsidRPr="004C1A6D">
        <w:rPr>
          <w:sz w:val="22"/>
          <w:szCs w:val="22"/>
        </w:rPr>
        <w:t>kod</w:t>
      </w:r>
      <w:r w:rsidRPr="004C1A6D">
        <w:rPr>
          <w:sz w:val="22"/>
          <w:szCs w:val="22"/>
        </w:rPr>
        <w:t xml:space="preserve"> pacijenata s cirozom jetre (klase A i B prema Childu), vrijednosti poluživota pantoprazola povećane na između 3 i 6 sati, a vrijednosti AUC-a povećane su za faktor 3-5, maksimalna serumska koncentracija povećana je samo neznatno za faktor 1,3, pri komparaciji sa zdravim osobama.</w:t>
      </w:r>
    </w:p>
    <w:p w:rsidR="001D0036" w:rsidRPr="004C1A6D" w:rsidRDefault="001D0036" w:rsidP="00992223">
      <w:pPr>
        <w:autoSpaceDE w:val="0"/>
        <w:autoSpaceDN w:val="0"/>
        <w:adjustRightInd w:val="0"/>
        <w:jc w:val="both"/>
        <w:rPr>
          <w:sz w:val="22"/>
          <w:szCs w:val="22"/>
        </w:rPr>
      </w:pPr>
    </w:p>
    <w:p w:rsidR="00A7492F" w:rsidRPr="004C1A6D" w:rsidRDefault="001D0036" w:rsidP="00992223">
      <w:pPr>
        <w:autoSpaceDE w:val="0"/>
        <w:autoSpaceDN w:val="0"/>
        <w:adjustRightInd w:val="0"/>
        <w:jc w:val="both"/>
        <w:rPr>
          <w:i/>
          <w:iCs/>
          <w:sz w:val="22"/>
          <w:szCs w:val="22"/>
        </w:rPr>
      </w:pPr>
      <w:r w:rsidRPr="004C1A6D">
        <w:rPr>
          <w:i/>
          <w:iCs/>
          <w:sz w:val="22"/>
          <w:szCs w:val="22"/>
        </w:rPr>
        <w:t>Starije osobe</w:t>
      </w:r>
    </w:p>
    <w:p w:rsidR="001D0036" w:rsidRPr="004C1A6D" w:rsidRDefault="001D0036" w:rsidP="00992223">
      <w:pPr>
        <w:autoSpaceDE w:val="0"/>
        <w:autoSpaceDN w:val="0"/>
        <w:adjustRightInd w:val="0"/>
        <w:jc w:val="both"/>
        <w:rPr>
          <w:sz w:val="22"/>
          <w:szCs w:val="22"/>
        </w:rPr>
      </w:pPr>
      <w:r w:rsidRPr="004C1A6D">
        <w:rPr>
          <w:sz w:val="22"/>
          <w:szCs w:val="22"/>
        </w:rPr>
        <w:t>Neznatno povećanje AUC-a i C</w:t>
      </w:r>
      <w:r w:rsidRPr="004C1A6D">
        <w:rPr>
          <w:sz w:val="22"/>
          <w:szCs w:val="22"/>
          <w:vertAlign w:val="subscript"/>
        </w:rPr>
        <w:t xml:space="preserve">max </w:t>
      </w:r>
      <w:r w:rsidR="006B3CAB" w:rsidRPr="004C1A6D">
        <w:rPr>
          <w:sz w:val="22"/>
          <w:szCs w:val="22"/>
        </w:rPr>
        <w:t>kod</w:t>
      </w:r>
      <w:r w:rsidRPr="004C1A6D">
        <w:rPr>
          <w:sz w:val="22"/>
          <w:szCs w:val="22"/>
        </w:rPr>
        <w:t xml:space="preserve"> starijih dobrovol</w:t>
      </w:r>
      <w:r w:rsidR="00062734" w:rsidRPr="004C1A6D">
        <w:rPr>
          <w:sz w:val="22"/>
          <w:szCs w:val="22"/>
        </w:rPr>
        <w:t>jaca, u odnosu na mlađe, takođe</w:t>
      </w:r>
      <w:r w:rsidRPr="004C1A6D">
        <w:rPr>
          <w:sz w:val="22"/>
          <w:szCs w:val="22"/>
        </w:rPr>
        <w:t xml:space="preserve"> nije klinički značajno.</w:t>
      </w:r>
    </w:p>
    <w:p w:rsidR="001D0036" w:rsidRPr="004C1A6D" w:rsidRDefault="001D0036" w:rsidP="00992223">
      <w:pPr>
        <w:autoSpaceDE w:val="0"/>
        <w:autoSpaceDN w:val="0"/>
        <w:adjustRightInd w:val="0"/>
        <w:jc w:val="both"/>
        <w:rPr>
          <w:sz w:val="22"/>
          <w:szCs w:val="22"/>
        </w:rPr>
      </w:pPr>
    </w:p>
    <w:p w:rsidR="00A7492F" w:rsidRPr="004C1A6D" w:rsidRDefault="001D0036" w:rsidP="00992223">
      <w:pPr>
        <w:autoSpaceDE w:val="0"/>
        <w:autoSpaceDN w:val="0"/>
        <w:adjustRightInd w:val="0"/>
        <w:jc w:val="both"/>
        <w:rPr>
          <w:i/>
          <w:sz w:val="22"/>
          <w:szCs w:val="22"/>
        </w:rPr>
      </w:pPr>
      <w:r w:rsidRPr="004C1A6D">
        <w:rPr>
          <w:i/>
          <w:sz w:val="22"/>
          <w:szCs w:val="22"/>
        </w:rPr>
        <w:t>Pedijatrijska populacija</w:t>
      </w:r>
    </w:p>
    <w:p w:rsidR="001D0036" w:rsidRPr="004C1A6D" w:rsidRDefault="001D0036" w:rsidP="00992223">
      <w:pPr>
        <w:autoSpaceDE w:val="0"/>
        <w:autoSpaceDN w:val="0"/>
        <w:adjustRightInd w:val="0"/>
        <w:jc w:val="both"/>
        <w:rPr>
          <w:sz w:val="22"/>
          <w:szCs w:val="22"/>
        </w:rPr>
      </w:pPr>
      <w:r w:rsidRPr="004C1A6D">
        <w:rPr>
          <w:sz w:val="22"/>
          <w:szCs w:val="22"/>
        </w:rPr>
        <w:t xml:space="preserve">Nakon primjene pojedinačnih oralnih doza od 20 ili 40 mg pantoprazola, </w:t>
      </w:r>
      <w:r w:rsidR="008832CC" w:rsidRPr="004C1A6D">
        <w:rPr>
          <w:sz w:val="22"/>
          <w:szCs w:val="22"/>
        </w:rPr>
        <w:t>kod</w:t>
      </w:r>
      <w:r w:rsidRPr="004C1A6D">
        <w:rPr>
          <w:sz w:val="22"/>
          <w:szCs w:val="22"/>
        </w:rPr>
        <w:t xml:space="preserve"> djece uzrasta od 5 do 16 godina, AUC i C</w:t>
      </w:r>
      <w:r w:rsidRPr="004C1A6D">
        <w:rPr>
          <w:sz w:val="22"/>
          <w:szCs w:val="22"/>
          <w:vertAlign w:val="subscript"/>
        </w:rPr>
        <w:t>max</w:t>
      </w:r>
      <w:r w:rsidRPr="004C1A6D">
        <w:rPr>
          <w:sz w:val="22"/>
          <w:szCs w:val="22"/>
        </w:rPr>
        <w:t xml:space="preserve"> bile su unutar raspona odgovarajućih vrijednosti za odrasle osobe.</w:t>
      </w:r>
    </w:p>
    <w:p w:rsidR="001D0036" w:rsidRPr="004C1A6D" w:rsidRDefault="001D0036" w:rsidP="00992223">
      <w:pPr>
        <w:autoSpaceDE w:val="0"/>
        <w:autoSpaceDN w:val="0"/>
        <w:adjustRightInd w:val="0"/>
        <w:jc w:val="both"/>
        <w:rPr>
          <w:sz w:val="22"/>
          <w:szCs w:val="22"/>
        </w:rPr>
      </w:pPr>
    </w:p>
    <w:p w:rsidR="001D0036" w:rsidRPr="004C1A6D" w:rsidRDefault="001D0036" w:rsidP="00992223">
      <w:pPr>
        <w:autoSpaceDE w:val="0"/>
        <w:autoSpaceDN w:val="0"/>
        <w:adjustRightInd w:val="0"/>
        <w:jc w:val="both"/>
        <w:rPr>
          <w:sz w:val="22"/>
          <w:szCs w:val="22"/>
        </w:rPr>
      </w:pPr>
      <w:r w:rsidRPr="004C1A6D">
        <w:rPr>
          <w:sz w:val="22"/>
          <w:szCs w:val="22"/>
        </w:rPr>
        <w:t xml:space="preserve">Nakon primjene pojedinačnih iv. doza od 0,8 mg/kg ili 1,6 mg/kg pantoprazola, </w:t>
      </w:r>
      <w:r w:rsidR="008832CC" w:rsidRPr="004C1A6D">
        <w:rPr>
          <w:sz w:val="22"/>
          <w:szCs w:val="22"/>
        </w:rPr>
        <w:t>kod</w:t>
      </w:r>
      <w:r w:rsidRPr="004C1A6D">
        <w:rPr>
          <w:sz w:val="22"/>
          <w:szCs w:val="22"/>
        </w:rPr>
        <w:t xml:space="preserve"> djece uzrasta od 2 do 16 godina, nije bilo značajne povezanosti između klirensa pantoprazola i uzrasta ili težine djece. AUC i volumen distribucije bili su u skladu s podacima dobivenim </w:t>
      </w:r>
      <w:r w:rsidR="00445585" w:rsidRPr="004C1A6D">
        <w:rPr>
          <w:sz w:val="22"/>
          <w:szCs w:val="22"/>
        </w:rPr>
        <w:t>kod</w:t>
      </w:r>
      <w:r w:rsidRPr="004C1A6D">
        <w:rPr>
          <w:sz w:val="22"/>
          <w:szCs w:val="22"/>
        </w:rPr>
        <w:t xml:space="preserve"> odraslih.</w:t>
      </w:r>
    </w:p>
    <w:p w:rsidR="001D0036" w:rsidRPr="004C1A6D" w:rsidRDefault="001D0036" w:rsidP="00992223">
      <w:pPr>
        <w:autoSpaceDE w:val="0"/>
        <w:autoSpaceDN w:val="0"/>
        <w:adjustRightInd w:val="0"/>
        <w:jc w:val="both"/>
        <w:rPr>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5.3. </w:t>
      </w:r>
      <w:r w:rsidR="00480FB1" w:rsidRPr="004C1A6D">
        <w:rPr>
          <w:b/>
          <w:bCs/>
          <w:sz w:val="22"/>
          <w:szCs w:val="22"/>
        </w:rPr>
        <w:tab/>
      </w:r>
      <w:r w:rsidRPr="004C1A6D">
        <w:rPr>
          <w:b/>
          <w:bCs/>
          <w:sz w:val="22"/>
          <w:szCs w:val="22"/>
        </w:rPr>
        <w:t xml:space="preserve">Pretklinički podaci o bezbjednosti </w:t>
      </w:r>
    </w:p>
    <w:p w:rsidR="004C1A6D" w:rsidRDefault="004C1A6D" w:rsidP="00992223">
      <w:pPr>
        <w:pStyle w:val="Header"/>
        <w:tabs>
          <w:tab w:val="left" w:pos="284"/>
        </w:tabs>
        <w:jc w:val="both"/>
        <w:rPr>
          <w:sz w:val="22"/>
          <w:szCs w:val="22"/>
        </w:rPr>
      </w:pPr>
    </w:p>
    <w:p w:rsidR="00445585" w:rsidRPr="004C1A6D" w:rsidRDefault="00445585" w:rsidP="00992223">
      <w:pPr>
        <w:pStyle w:val="Header"/>
        <w:tabs>
          <w:tab w:val="left" w:pos="284"/>
        </w:tabs>
        <w:jc w:val="both"/>
        <w:rPr>
          <w:sz w:val="22"/>
          <w:szCs w:val="22"/>
        </w:rPr>
      </w:pPr>
      <w:r w:rsidRPr="004C1A6D">
        <w:rPr>
          <w:sz w:val="22"/>
          <w:szCs w:val="22"/>
        </w:rPr>
        <w:t>Pretklinički podaci nisu otkrili poseban rizik za ljude na osnovi konvencionalnih studija sigurnosne farmakologije, toksičnosti ponovljenih doza i genotoksičnosti.</w:t>
      </w:r>
    </w:p>
    <w:p w:rsidR="00445585" w:rsidRPr="004C1A6D" w:rsidRDefault="00445585" w:rsidP="00992223">
      <w:pPr>
        <w:pStyle w:val="Header"/>
        <w:tabs>
          <w:tab w:val="left" w:pos="284"/>
        </w:tabs>
        <w:jc w:val="both"/>
        <w:rPr>
          <w:sz w:val="22"/>
          <w:szCs w:val="22"/>
        </w:rPr>
      </w:pPr>
    </w:p>
    <w:p w:rsidR="00445585" w:rsidRPr="004C1A6D" w:rsidRDefault="00445585" w:rsidP="00992223">
      <w:pPr>
        <w:pStyle w:val="Header"/>
        <w:tabs>
          <w:tab w:val="left" w:pos="284"/>
        </w:tabs>
        <w:jc w:val="both"/>
        <w:rPr>
          <w:sz w:val="22"/>
          <w:szCs w:val="22"/>
        </w:rPr>
      </w:pPr>
      <w:r w:rsidRPr="004C1A6D">
        <w:rPr>
          <w:sz w:val="22"/>
          <w:szCs w:val="22"/>
        </w:rPr>
        <w:t xml:space="preserve">U dvogodišnjem ispitivanju kancerogenosti </w:t>
      </w:r>
      <w:r w:rsidR="0002153D" w:rsidRPr="004C1A6D">
        <w:rPr>
          <w:sz w:val="22"/>
          <w:szCs w:val="22"/>
        </w:rPr>
        <w:t>kod pacova</w:t>
      </w:r>
      <w:r w:rsidRPr="004C1A6D">
        <w:rPr>
          <w:sz w:val="22"/>
          <w:szCs w:val="22"/>
        </w:rPr>
        <w:t xml:space="preserve"> nađene su neuroendokrine neoplazme. Pored toga, u početnom dijelu želuca </w:t>
      </w:r>
      <w:r w:rsidR="000E11A2" w:rsidRPr="004C1A6D">
        <w:rPr>
          <w:sz w:val="22"/>
          <w:szCs w:val="22"/>
        </w:rPr>
        <w:t>pacova</w:t>
      </w:r>
      <w:r w:rsidRPr="004C1A6D">
        <w:rPr>
          <w:sz w:val="22"/>
          <w:szCs w:val="22"/>
        </w:rPr>
        <w:t xml:space="preserve"> otkriveni su papilomi skvamoznih ćelija. Mehanizam kojim </w:t>
      </w:r>
      <w:r w:rsidRPr="004C1A6D">
        <w:rPr>
          <w:sz w:val="22"/>
          <w:szCs w:val="22"/>
        </w:rPr>
        <w:lastRenderedPageBreak/>
        <w:t xml:space="preserve">supstituirani benzimidazoli dovode do formiranja gastričnih karcinoida pažljivo je ispitivan, pri čemu se zaključilo da se radi o sekundarnoj reakciji na veliko povećanje nivoa gastrina u serumu </w:t>
      </w:r>
      <w:r w:rsidR="002252B2" w:rsidRPr="004C1A6D">
        <w:rPr>
          <w:sz w:val="22"/>
          <w:szCs w:val="22"/>
        </w:rPr>
        <w:t>pacova</w:t>
      </w:r>
      <w:r w:rsidRPr="004C1A6D">
        <w:rPr>
          <w:sz w:val="22"/>
          <w:szCs w:val="22"/>
        </w:rPr>
        <w:t xml:space="preserve">, što se događalo tokom hronične primjene visokih doza. U dvogodišnjim studijama s glodarima, primijećen je povećan broj tumora jetre </w:t>
      </w:r>
      <w:r w:rsidR="002252B2" w:rsidRPr="004C1A6D">
        <w:rPr>
          <w:sz w:val="22"/>
          <w:szCs w:val="22"/>
        </w:rPr>
        <w:t>kod pacova</w:t>
      </w:r>
      <w:r w:rsidRPr="004C1A6D">
        <w:rPr>
          <w:sz w:val="22"/>
          <w:szCs w:val="22"/>
        </w:rPr>
        <w:t xml:space="preserve"> i </w:t>
      </w:r>
      <w:r w:rsidR="002252B2" w:rsidRPr="004C1A6D">
        <w:rPr>
          <w:sz w:val="22"/>
          <w:szCs w:val="22"/>
        </w:rPr>
        <w:t>kod</w:t>
      </w:r>
      <w:r w:rsidRPr="004C1A6D">
        <w:rPr>
          <w:sz w:val="22"/>
          <w:szCs w:val="22"/>
        </w:rPr>
        <w:t xml:space="preserve"> ženki miševa, što je protumačeno kao posljedica</w:t>
      </w:r>
      <w:r w:rsidR="008459CD" w:rsidRPr="004C1A6D">
        <w:rPr>
          <w:sz w:val="22"/>
          <w:szCs w:val="22"/>
        </w:rPr>
        <w:t xml:space="preserve"> visokog stepana metabolizovanja</w:t>
      </w:r>
      <w:r w:rsidRPr="004C1A6D">
        <w:rPr>
          <w:sz w:val="22"/>
          <w:szCs w:val="22"/>
        </w:rPr>
        <w:t xml:space="preserve"> pantoprazola u jetri.</w:t>
      </w:r>
    </w:p>
    <w:p w:rsidR="00445585" w:rsidRPr="004C1A6D" w:rsidRDefault="00445585" w:rsidP="00992223">
      <w:pPr>
        <w:pStyle w:val="Header"/>
        <w:tabs>
          <w:tab w:val="left" w:pos="284"/>
        </w:tabs>
        <w:jc w:val="both"/>
        <w:rPr>
          <w:sz w:val="22"/>
          <w:szCs w:val="22"/>
        </w:rPr>
      </w:pPr>
    </w:p>
    <w:p w:rsidR="00445585" w:rsidRPr="004C1A6D" w:rsidRDefault="00445585" w:rsidP="00992223">
      <w:pPr>
        <w:pStyle w:val="Header"/>
        <w:tabs>
          <w:tab w:val="left" w:pos="284"/>
        </w:tabs>
        <w:jc w:val="both"/>
        <w:rPr>
          <w:sz w:val="22"/>
          <w:szCs w:val="22"/>
        </w:rPr>
      </w:pPr>
      <w:r w:rsidRPr="004C1A6D">
        <w:rPr>
          <w:sz w:val="22"/>
          <w:szCs w:val="22"/>
        </w:rPr>
        <w:t xml:space="preserve">Neznatan porast neoplastičnih promjena štitne žlijezde, primijećen je u grupi </w:t>
      </w:r>
      <w:r w:rsidR="000113BD" w:rsidRPr="004C1A6D">
        <w:rPr>
          <w:sz w:val="22"/>
          <w:szCs w:val="22"/>
        </w:rPr>
        <w:t>pacova</w:t>
      </w:r>
      <w:r w:rsidRPr="004C1A6D">
        <w:rPr>
          <w:sz w:val="22"/>
          <w:szCs w:val="22"/>
        </w:rPr>
        <w:t xml:space="preserve"> koji su primali najvišu dozu lijeka (200 mg/kg). Pojava ovih neoplazmi povezana je s pantoprazolom-izazvanim promjenama u razgradnji tiroksina u jetri </w:t>
      </w:r>
      <w:r w:rsidR="00762CCE" w:rsidRPr="004C1A6D">
        <w:rPr>
          <w:sz w:val="22"/>
          <w:szCs w:val="22"/>
        </w:rPr>
        <w:t>pacova</w:t>
      </w:r>
      <w:r w:rsidRPr="004C1A6D">
        <w:rPr>
          <w:sz w:val="22"/>
          <w:szCs w:val="22"/>
        </w:rPr>
        <w:t xml:space="preserve">. S obzirom da je terapijska doza </w:t>
      </w:r>
      <w:r w:rsidR="0042451D" w:rsidRPr="004C1A6D">
        <w:rPr>
          <w:sz w:val="22"/>
          <w:szCs w:val="22"/>
        </w:rPr>
        <w:t>kod</w:t>
      </w:r>
      <w:r w:rsidRPr="004C1A6D">
        <w:rPr>
          <w:sz w:val="22"/>
          <w:szCs w:val="22"/>
        </w:rPr>
        <w:t xml:space="preserve"> ljudi niska,</w:t>
      </w:r>
      <w:r w:rsidR="009642DE" w:rsidRPr="004C1A6D">
        <w:rPr>
          <w:sz w:val="22"/>
          <w:szCs w:val="22"/>
        </w:rPr>
        <w:t xml:space="preserve"> ne očekuju se štetna dejstva</w:t>
      </w:r>
      <w:r w:rsidRPr="004C1A6D">
        <w:rPr>
          <w:sz w:val="22"/>
          <w:szCs w:val="22"/>
        </w:rPr>
        <w:t xml:space="preserve"> na štitnu žlijezdu.</w:t>
      </w:r>
    </w:p>
    <w:p w:rsidR="00445585" w:rsidRPr="004C1A6D" w:rsidRDefault="00445585" w:rsidP="00992223">
      <w:pPr>
        <w:pStyle w:val="Header"/>
        <w:tabs>
          <w:tab w:val="left" w:pos="284"/>
        </w:tabs>
        <w:jc w:val="both"/>
        <w:rPr>
          <w:sz w:val="22"/>
          <w:szCs w:val="22"/>
        </w:rPr>
      </w:pPr>
    </w:p>
    <w:p w:rsidR="00445585" w:rsidRPr="004C1A6D" w:rsidRDefault="00445585" w:rsidP="00992223">
      <w:pPr>
        <w:pStyle w:val="Header"/>
        <w:tabs>
          <w:tab w:val="left" w:pos="284"/>
        </w:tabs>
        <w:jc w:val="both"/>
        <w:rPr>
          <w:sz w:val="22"/>
          <w:szCs w:val="22"/>
        </w:rPr>
      </w:pPr>
      <w:r w:rsidRPr="004C1A6D">
        <w:rPr>
          <w:sz w:val="22"/>
          <w:szCs w:val="22"/>
        </w:rPr>
        <w:t xml:space="preserve">U peri-postnatalnom ispitivanju reprodukcije kod </w:t>
      </w:r>
      <w:r w:rsidR="005943EC" w:rsidRPr="004C1A6D">
        <w:rPr>
          <w:sz w:val="22"/>
          <w:szCs w:val="22"/>
        </w:rPr>
        <w:t>pacova</w:t>
      </w:r>
      <w:r w:rsidRPr="004C1A6D">
        <w:rPr>
          <w:sz w:val="22"/>
          <w:szCs w:val="22"/>
        </w:rPr>
        <w:t xml:space="preserve"> osmišljenom za procjenu raz</w:t>
      </w:r>
      <w:r w:rsidR="008459CD" w:rsidRPr="004C1A6D">
        <w:rPr>
          <w:sz w:val="22"/>
          <w:szCs w:val="22"/>
        </w:rPr>
        <w:t>voja kostiju, opaženi su znaci</w:t>
      </w:r>
      <w:r w:rsidRPr="004C1A6D">
        <w:rPr>
          <w:sz w:val="22"/>
          <w:szCs w:val="22"/>
        </w:rPr>
        <w:t xml:space="preserve"> toksičnosti mladunaca (smrtnost, manja srednja tjelesna težina, niži srednji prirast tjelesne težine i sma</w:t>
      </w:r>
      <w:r w:rsidR="008459CD" w:rsidRPr="004C1A6D">
        <w:rPr>
          <w:sz w:val="22"/>
          <w:szCs w:val="22"/>
        </w:rPr>
        <w:t>njeni rast kostiju). Ovi znaci</w:t>
      </w:r>
      <w:r w:rsidRPr="004C1A6D">
        <w:rPr>
          <w:sz w:val="22"/>
          <w:szCs w:val="22"/>
        </w:rPr>
        <w:t xml:space="preserve"> bili su primje</w:t>
      </w:r>
      <w:r w:rsidRPr="004C1A6D">
        <w:rPr>
          <w:sz w:val="22"/>
          <w:szCs w:val="22"/>
          <w:lang w:val="bs-Latn-BA"/>
        </w:rPr>
        <w:t>ć</w:t>
      </w:r>
      <w:r w:rsidRPr="004C1A6D">
        <w:rPr>
          <w:sz w:val="22"/>
          <w:szCs w:val="22"/>
        </w:rPr>
        <w:t>eni pri izloženosti (Cmax) prib</w:t>
      </w:r>
      <w:r w:rsidR="008459CD" w:rsidRPr="004C1A6D">
        <w:rPr>
          <w:sz w:val="22"/>
          <w:szCs w:val="22"/>
        </w:rPr>
        <w:t>ližno 2x kliničkoj izloženosti kod</w:t>
      </w:r>
      <w:r w:rsidRPr="004C1A6D">
        <w:rPr>
          <w:sz w:val="22"/>
          <w:szCs w:val="22"/>
        </w:rPr>
        <w:t xml:space="preserve"> ljudi. Do kraja faze oporavka parametri kostiju</w:t>
      </w:r>
      <w:r w:rsidR="008459CD" w:rsidRPr="004C1A6D">
        <w:rPr>
          <w:sz w:val="22"/>
          <w:szCs w:val="22"/>
        </w:rPr>
        <w:t xml:space="preserve"> bili su slični u svim grupama, a tjelesna težina takođe</w:t>
      </w:r>
      <w:r w:rsidRPr="004C1A6D">
        <w:rPr>
          <w:sz w:val="22"/>
          <w:szCs w:val="22"/>
        </w:rPr>
        <w:t xml:space="preserve"> je bila u trendu reverzibilnosti nakon razdoblja oporavka bez lijeka. Povećan</w:t>
      </w:r>
      <w:r w:rsidR="008459CD" w:rsidRPr="004C1A6D">
        <w:rPr>
          <w:sz w:val="22"/>
          <w:szCs w:val="22"/>
        </w:rPr>
        <w:t>a smrtnost prijavljena je samo kod</w:t>
      </w:r>
      <w:r w:rsidRPr="004C1A6D">
        <w:rPr>
          <w:sz w:val="22"/>
          <w:szCs w:val="22"/>
        </w:rPr>
        <w:t xml:space="preserve"> mladunčadi </w:t>
      </w:r>
      <w:r w:rsidR="005943EC" w:rsidRPr="004C1A6D">
        <w:rPr>
          <w:sz w:val="22"/>
          <w:szCs w:val="22"/>
        </w:rPr>
        <w:t>pacova</w:t>
      </w:r>
      <w:r w:rsidRPr="004C1A6D">
        <w:rPr>
          <w:sz w:val="22"/>
          <w:szCs w:val="22"/>
        </w:rPr>
        <w:t xml:space="preserve"> prije prestanka sisanja (do 21 dana starosti) za koju se procjenjuje da odgovaraju dojenčadi do dobi od 2 godine. Važnost ovog nalaza za pedijatrijsku populaciju nije jasna. Prethodno peripostnatalno ispitivanje na </w:t>
      </w:r>
      <w:r w:rsidR="005943EC" w:rsidRPr="004C1A6D">
        <w:rPr>
          <w:sz w:val="22"/>
          <w:szCs w:val="22"/>
        </w:rPr>
        <w:t>pacovima</w:t>
      </w:r>
      <w:r w:rsidRPr="004C1A6D">
        <w:rPr>
          <w:sz w:val="22"/>
          <w:szCs w:val="22"/>
        </w:rPr>
        <w:t>a pri nešto nižim dozama nije po</w:t>
      </w:r>
      <w:r w:rsidR="00F0051D" w:rsidRPr="004C1A6D">
        <w:rPr>
          <w:sz w:val="22"/>
          <w:szCs w:val="22"/>
        </w:rPr>
        <w:t>kazalo štetne efekte</w:t>
      </w:r>
      <w:r w:rsidRPr="004C1A6D">
        <w:rPr>
          <w:sz w:val="22"/>
          <w:szCs w:val="22"/>
        </w:rPr>
        <w:t xml:space="preserve"> pri dozi od 3 mg/kg u pore</w:t>
      </w:r>
      <w:r w:rsidRPr="004C1A6D">
        <w:rPr>
          <w:sz w:val="22"/>
          <w:szCs w:val="22"/>
          <w:lang w:val="bs-Latn-BA"/>
        </w:rPr>
        <w:t>đenju</w:t>
      </w:r>
      <w:r w:rsidRPr="004C1A6D">
        <w:rPr>
          <w:sz w:val="22"/>
          <w:szCs w:val="22"/>
        </w:rPr>
        <w:t xml:space="preserve"> sa niskom dozom od 5 mg/kg u ovom ispitivanju.</w:t>
      </w:r>
    </w:p>
    <w:p w:rsidR="00445585" w:rsidRPr="004C1A6D" w:rsidRDefault="00445585" w:rsidP="00992223">
      <w:pPr>
        <w:pStyle w:val="Header"/>
        <w:tabs>
          <w:tab w:val="left" w:pos="284"/>
        </w:tabs>
        <w:jc w:val="both"/>
        <w:rPr>
          <w:color w:val="00B050"/>
          <w:sz w:val="22"/>
          <w:szCs w:val="22"/>
        </w:rPr>
      </w:pPr>
    </w:p>
    <w:p w:rsidR="00445585" w:rsidRPr="004C1A6D" w:rsidRDefault="00445585" w:rsidP="00992223">
      <w:pPr>
        <w:pStyle w:val="Header"/>
        <w:tabs>
          <w:tab w:val="left" w:pos="284"/>
        </w:tabs>
        <w:jc w:val="both"/>
        <w:rPr>
          <w:sz w:val="22"/>
          <w:szCs w:val="22"/>
        </w:rPr>
      </w:pPr>
      <w:r w:rsidRPr="004C1A6D">
        <w:rPr>
          <w:sz w:val="22"/>
          <w:szCs w:val="22"/>
        </w:rPr>
        <w:t>Ispitivanjima nisu otkriveni nikakvi dokazi o oštećenoj plodnosti ili o teratogenim efektima.</w:t>
      </w:r>
    </w:p>
    <w:p w:rsidR="00445585" w:rsidRPr="004C1A6D" w:rsidRDefault="00445585" w:rsidP="00992223">
      <w:pPr>
        <w:pStyle w:val="Header"/>
        <w:tabs>
          <w:tab w:val="left" w:pos="284"/>
        </w:tabs>
        <w:jc w:val="both"/>
        <w:rPr>
          <w:sz w:val="22"/>
          <w:szCs w:val="22"/>
        </w:rPr>
      </w:pPr>
    </w:p>
    <w:p w:rsidR="00445585" w:rsidRPr="004C1A6D" w:rsidRDefault="00445585" w:rsidP="00992223">
      <w:pPr>
        <w:pStyle w:val="Header"/>
        <w:tabs>
          <w:tab w:val="left" w:pos="284"/>
        </w:tabs>
        <w:jc w:val="both"/>
        <w:rPr>
          <w:sz w:val="22"/>
          <w:szCs w:val="22"/>
        </w:rPr>
      </w:pPr>
      <w:r w:rsidRPr="004C1A6D">
        <w:rPr>
          <w:sz w:val="22"/>
          <w:szCs w:val="22"/>
        </w:rPr>
        <w:t xml:space="preserve">Prolazak lijeka kroz placentu ispitivan je </w:t>
      </w:r>
      <w:r w:rsidR="005943EC" w:rsidRPr="004C1A6D">
        <w:rPr>
          <w:sz w:val="22"/>
          <w:szCs w:val="22"/>
        </w:rPr>
        <w:t>kod pacova</w:t>
      </w:r>
      <w:r w:rsidRPr="004C1A6D">
        <w:rPr>
          <w:sz w:val="22"/>
          <w:szCs w:val="22"/>
        </w:rPr>
        <w:t>, a otkriveno je da s</w:t>
      </w:r>
      <w:r w:rsidR="00335827" w:rsidRPr="004C1A6D">
        <w:rPr>
          <w:sz w:val="22"/>
          <w:szCs w:val="22"/>
        </w:rPr>
        <w:t>e on povećava s napredovanjem ge</w:t>
      </w:r>
      <w:r w:rsidRPr="004C1A6D">
        <w:rPr>
          <w:sz w:val="22"/>
          <w:szCs w:val="22"/>
        </w:rPr>
        <w:t xml:space="preserve">stacije. Kao posljedica toga, povećana je koncentracija pantoprazola </w:t>
      </w:r>
      <w:r w:rsidR="005943EC" w:rsidRPr="004C1A6D">
        <w:rPr>
          <w:sz w:val="22"/>
          <w:szCs w:val="22"/>
        </w:rPr>
        <w:t>kod</w:t>
      </w:r>
      <w:r w:rsidRPr="004C1A6D">
        <w:rPr>
          <w:sz w:val="22"/>
          <w:szCs w:val="22"/>
        </w:rPr>
        <w:t xml:space="preserve"> fetusa kratko prije rođenja.</w:t>
      </w:r>
    </w:p>
    <w:p w:rsidR="00396DFD" w:rsidRDefault="00396DFD" w:rsidP="00992223">
      <w:pPr>
        <w:tabs>
          <w:tab w:val="left" w:pos="540"/>
          <w:tab w:val="left" w:pos="569"/>
        </w:tabs>
        <w:jc w:val="both"/>
        <w:rPr>
          <w:b/>
          <w:bCs/>
          <w:sz w:val="22"/>
          <w:szCs w:val="22"/>
        </w:rPr>
      </w:pPr>
    </w:p>
    <w:p w:rsidR="004C1A6D" w:rsidRPr="004C1A6D" w:rsidRDefault="004C1A6D" w:rsidP="00992223">
      <w:pPr>
        <w:tabs>
          <w:tab w:val="left" w:pos="540"/>
          <w:tab w:val="left" w:pos="569"/>
        </w:tabs>
        <w:jc w:val="both"/>
        <w:rPr>
          <w:b/>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6. </w:t>
      </w:r>
      <w:r w:rsidR="00480FB1" w:rsidRPr="004C1A6D">
        <w:rPr>
          <w:b/>
          <w:bCs/>
          <w:sz w:val="22"/>
          <w:szCs w:val="22"/>
        </w:rPr>
        <w:tab/>
      </w:r>
      <w:r w:rsidRPr="004C1A6D">
        <w:rPr>
          <w:b/>
          <w:bCs/>
          <w:sz w:val="22"/>
          <w:szCs w:val="22"/>
        </w:rPr>
        <w:t>FARMACEUTSKI PODACI</w:t>
      </w:r>
    </w:p>
    <w:p w:rsidR="00836B35" w:rsidRPr="004C1A6D" w:rsidRDefault="00836B35"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6.1. </w:t>
      </w:r>
      <w:r w:rsidR="00480FB1" w:rsidRPr="004C1A6D">
        <w:rPr>
          <w:b/>
          <w:bCs/>
          <w:sz w:val="22"/>
          <w:szCs w:val="22"/>
        </w:rPr>
        <w:tab/>
      </w:r>
      <w:r w:rsidRPr="004C1A6D">
        <w:rPr>
          <w:b/>
          <w:bCs/>
          <w:sz w:val="22"/>
          <w:szCs w:val="22"/>
        </w:rPr>
        <w:t>Lista pomoćnih supstanci</w:t>
      </w:r>
      <w:r w:rsidR="002E0135" w:rsidRPr="004C1A6D">
        <w:rPr>
          <w:b/>
          <w:bCs/>
          <w:sz w:val="22"/>
          <w:szCs w:val="22"/>
        </w:rPr>
        <w:t xml:space="preserve"> (ekscipijenasa)</w:t>
      </w:r>
    </w:p>
    <w:p w:rsidR="007A472A" w:rsidRPr="004C1A6D" w:rsidRDefault="007A472A" w:rsidP="00992223">
      <w:pPr>
        <w:tabs>
          <w:tab w:val="left" w:pos="540"/>
          <w:tab w:val="left" w:pos="569"/>
        </w:tabs>
        <w:jc w:val="both"/>
        <w:rPr>
          <w:bCs/>
          <w:sz w:val="22"/>
          <w:szCs w:val="22"/>
        </w:rPr>
      </w:pPr>
    </w:p>
    <w:p w:rsidR="007B0239" w:rsidRPr="004C1A6D" w:rsidRDefault="007B0239" w:rsidP="00992223">
      <w:pPr>
        <w:tabs>
          <w:tab w:val="left" w:pos="540"/>
          <w:tab w:val="left" w:pos="569"/>
        </w:tabs>
        <w:jc w:val="both"/>
        <w:rPr>
          <w:bCs/>
          <w:noProof/>
          <w:sz w:val="22"/>
          <w:szCs w:val="22"/>
          <w:lang w:val="hr-BA"/>
        </w:rPr>
      </w:pPr>
      <w:r w:rsidRPr="004C1A6D">
        <w:rPr>
          <w:bCs/>
          <w:noProof/>
          <w:sz w:val="22"/>
          <w:szCs w:val="22"/>
          <w:lang w:val="hr-BA"/>
        </w:rPr>
        <w:t>Tabletno jezgro:</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Manitol (E421)</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Krospovidon (Tip B)</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Natrijum karbonat, bezvodni</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Hidroksipropil</w:t>
      </w:r>
      <w:r w:rsidR="00523D46" w:rsidRPr="004C1A6D">
        <w:rPr>
          <w:noProof/>
          <w:sz w:val="22"/>
          <w:szCs w:val="22"/>
          <w:lang w:val="hr-BA"/>
        </w:rPr>
        <w:t xml:space="preserve"> </w:t>
      </w:r>
      <w:r w:rsidRPr="004C1A6D">
        <w:rPr>
          <w:noProof/>
          <w:sz w:val="22"/>
          <w:szCs w:val="22"/>
          <w:lang w:val="hr-BA"/>
        </w:rPr>
        <w:t>celuloza (Klucel LF)</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Kalcijum stearat</w:t>
      </w:r>
    </w:p>
    <w:p w:rsidR="007B0239" w:rsidRPr="004C1A6D" w:rsidRDefault="007B0239" w:rsidP="00992223">
      <w:pPr>
        <w:jc w:val="both"/>
        <w:rPr>
          <w:noProof/>
          <w:sz w:val="22"/>
          <w:szCs w:val="22"/>
          <w:lang w:val="hr-BA"/>
        </w:rPr>
      </w:pPr>
    </w:p>
    <w:p w:rsidR="007B0239" w:rsidRPr="004C1A6D" w:rsidRDefault="007B0239" w:rsidP="00992223">
      <w:pPr>
        <w:jc w:val="both"/>
        <w:rPr>
          <w:noProof/>
          <w:sz w:val="22"/>
          <w:szCs w:val="22"/>
          <w:lang w:val="hr-BA"/>
        </w:rPr>
      </w:pPr>
      <w:r w:rsidRPr="004C1A6D">
        <w:rPr>
          <w:noProof/>
          <w:sz w:val="22"/>
          <w:szCs w:val="22"/>
          <w:lang w:val="hr-BA"/>
        </w:rPr>
        <w:t>Zaštitna obloga:</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Hipromeloza</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Titan dioksid (E171)</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Gvožđe</w:t>
      </w:r>
      <w:r w:rsidR="00523D46" w:rsidRPr="004C1A6D">
        <w:rPr>
          <w:noProof/>
          <w:sz w:val="22"/>
          <w:szCs w:val="22"/>
          <w:lang w:val="hr-BA"/>
        </w:rPr>
        <w:t xml:space="preserve"> </w:t>
      </w:r>
      <w:r w:rsidRPr="004C1A6D">
        <w:rPr>
          <w:sz w:val="22"/>
          <w:szCs w:val="22"/>
        </w:rPr>
        <w:t>(</w:t>
      </w:r>
      <w:r w:rsidRPr="004C1A6D">
        <w:rPr>
          <w:noProof/>
          <w:sz w:val="22"/>
          <w:szCs w:val="22"/>
          <w:lang w:val="hr-BA"/>
        </w:rPr>
        <w:t>III) oksid, žuti (E172)</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Propilen</w:t>
      </w:r>
      <w:r w:rsidR="00523D46" w:rsidRPr="004C1A6D">
        <w:rPr>
          <w:noProof/>
          <w:sz w:val="22"/>
          <w:szCs w:val="22"/>
          <w:lang w:val="hr-BA"/>
        </w:rPr>
        <w:t xml:space="preserve"> </w:t>
      </w:r>
      <w:r w:rsidRPr="004C1A6D">
        <w:rPr>
          <w:noProof/>
          <w:sz w:val="22"/>
          <w:szCs w:val="22"/>
          <w:lang w:val="hr-BA"/>
        </w:rPr>
        <w:t>glikol</w:t>
      </w:r>
    </w:p>
    <w:p w:rsidR="007B0239" w:rsidRPr="004C1A6D" w:rsidRDefault="007B0239" w:rsidP="00992223">
      <w:pPr>
        <w:ind w:left="360"/>
        <w:jc w:val="both"/>
        <w:rPr>
          <w:noProof/>
          <w:sz w:val="22"/>
          <w:szCs w:val="22"/>
          <w:lang w:val="hr-BA"/>
        </w:rPr>
      </w:pPr>
    </w:p>
    <w:p w:rsidR="007B0239" w:rsidRPr="004C1A6D" w:rsidRDefault="00523D46" w:rsidP="00992223">
      <w:pPr>
        <w:jc w:val="both"/>
        <w:rPr>
          <w:noProof/>
          <w:sz w:val="22"/>
          <w:szCs w:val="22"/>
          <w:lang w:val="hr-BA"/>
        </w:rPr>
      </w:pPr>
      <w:r w:rsidRPr="004C1A6D">
        <w:rPr>
          <w:noProof/>
          <w:sz w:val="22"/>
          <w:szCs w:val="22"/>
          <w:lang w:val="hr-BA"/>
        </w:rPr>
        <w:t xml:space="preserve">Gastrorezistentna </w:t>
      </w:r>
      <w:r w:rsidR="007B0239" w:rsidRPr="004C1A6D">
        <w:rPr>
          <w:noProof/>
          <w:sz w:val="22"/>
          <w:szCs w:val="22"/>
          <w:lang w:val="hr-BA"/>
        </w:rPr>
        <w:t>obloga:</w:t>
      </w:r>
    </w:p>
    <w:p w:rsidR="007B0239" w:rsidRPr="004C1A6D" w:rsidRDefault="007B0239" w:rsidP="00992223">
      <w:pPr>
        <w:pStyle w:val="ListParagraph"/>
        <w:numPr>
          <w:ilvl w:val="0"/>
          <w:numId w:val="18"/>
        </w:numPr>
        <w:jc w:val="both"/>
        <w:rPr>
          <w:noProof/>
          <w:sz w:val="22"/>
          <w:szCs w:val="22"/>
          <w:lang w:val="hr-BA"/>
        </w:rPr>
      </w:pPr>
      <w:r w:rsidRPr="004C1A6D">
        <w:rPr>
          <w:noProof/>
          <w:sz w:val="22"/>
          <w:szCs w:val="22"/>
          <w:lang w:val="hr-BA"/>
        </w:rPr>
        <w:t>Metakrilna kis</w:t>
      </w:r>
      <w:r w:rsidR="00C53199" w:rsidRPr="004C1A6D">
        <w:rPr>
          <w:noProof/>
          <w:sz w:val="22"/>
          <w:szCs w:val="22"/>
          <w:lang w:val="hr-BA"/>
        </w:rPr>
        <w:t>j</w:t>
      </w:r>
      <w:r w:rsidRPr="004C1A6D">
        <w:rPr>
          <w:noProof/>
          <w:sz w:val="22"/>
          <w:szCs w:val="22"/>
          <w:lang w:val="hr-BA"/>
        </w:rPr>
        <w:t>elina-etilakrilat kopolimer (1:1) disperzija 30%</w:t>
      </w:r>
    </w:p>
    <w:p w:rsidR="007B0239" w:rsidRPr="004C1A6D" w:rsidRDefault="007B0239" w:rsidP="00992223">
      <w:pPr>
        <w:numPr>
          <w:ilvl w:val="0"/>
          <w:numId w:val="15"/>
        </w:numPr>
        <w:jc w:val="both"/>
        <w:rPr>
          <w:noProof/>
          <w:sz w:val="22"/>
          <w:szCs w:val="22"/>
          <w:lang w:val="hr-BA"/>
        </w:rPr>
      </w:pPr>
      <w:r w:rsidRPr="004C1A6D">
        <w:rPr>
          <w:noProof/>
          <w:sz w:val="22"/>
          <w:szCs w:val="22"/>
          <w:lang w:val="hr-BA"/>
        </w:rPr>
        <w:t>Trietil</w:t>
      </w:r>
      <w:r w:rsidR="00523D46" w:rsidRPr="004C1A6D">
        <w:rPr>
          <w:noProof/>
          <w:sz w:val="22"/>
          <w:szCs w:val="22"/>
          <w:lang w:val="hr-BA"/>
        </w:rPr>
        <w:t xml:space="preserve"> </w:t>
      </w:r>
      <w:r w:rsidRPr="004C1A6D">
        <w:rPr>
          <w:noProof/>
          <w:sz w:val="22"/>
          <w:szCs w:val="22"/>
          <w:lang w:val="hr-BA"/>
        </w:rPr>
        <w:t>citrat</w:t>
      </w:r>
    </w:p>
    <w:p w:rsidR="000164D0" w:rsidRPr="004C1A6D" w:rsidRDefault="007B0239" w:rsidP="00992223">
      <w:pPr>
        <w:pStyle w:val="ListParagraph"/>
        <w:numPr>
          <w:ilvl w:val="0"/>
          <w:numId w:val="15"/>
        </w:numPr>
        <w:jc w:val="both"/>
        <w:rPr>
          <w:noProof/>
          <w:sz w:val="22"/>
          <w:szCs w:val="22"/>
          <w:lang w:val="hr-BA"/>
        </w:rPr>
      </w:pPr>
      <w:r w:rsidRPr="004C1A6D">
        <w:rPr>
          <w:noProof/>
          <w:sz w:val="22"/>
          <w:szCs w:val="22"/>
          <w:lang w:val="hr-BA"/>
        </w:rPr>
        <w:t>Talk</w:t>
      </w:r>
    </w:p>
    <w:p w:rsidR="000164D0" w:rsidRPr="004C1A6D" w:rsidRDefault="000164D0"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6.2. </w:t>
      </w:r>
      <w:r w:rsidR="00480FB1" w:rsidRPr="004C1A6D">
        <w:rPr>
          <w:b/>
          <w:bCs/>
          <w:sz w:val="22"/>
          <w:szCs w:val="22"/>
        </w:rPr>
        <w:tab/>
      </w:r>
      <w:r w:rsidRPr="004C1A6D">
        <w:rPr>
          <w:b/>
          <w:bCs/>
          <w:sz w:val="22"/>
          <w:szCs w:val="22"/>
        </w:rPr>
        <w:t>Inkompatibilnost</w:t>
      </w:r>
      <w:r w:rsidR="002846DB" w:rsidRPr="004C1A6D">
        <w:rPr>
          <w:b/>
          <w:bCs/>
          <w:sz w:val="22"/>
          <w:szCs w:val="22"/>
        </w:rPr>
        <w:t>i</w:t>
      </w:r>
    </w:p>
    <w:p w:rsidR="00523D46" w:rsidRPr="004C1A6D" w:rsidRDefault="00523D46" w:rsidP="00992223">
      <w:pPr>
        <w:jc w:val="both"/>
        <w:rPr>
          <w:sz w:val="22"/>
          <w:szCs w:val="22"/>
        </w:rPr>
      </w:pPr>
    </w:p>
    <w:p w:rsidR="00502239" w:rsidRPr="004C1A6D" w:rsidRDefault="00502239" w:rsidP="00992223">
      <w:pPr>
        <w:jc w:val="both"/>
        <w:rPr>
          <w:sz w:val="22"/>
          <w:szCs w:val="22"/>
        </w:rPr>
      </w:pPr>
      <w:r w:rsidRPr="004C1A6D">
        <w:rPr>
          <w:sz w:val="22"/>
          <w:szCs w:val="22"/>
        </w:rPr>
        <w:t>Podaci o inkompatibilnostima nijesu poznati.</w:t>
      </w:r>
    </w:p>
    <w:p w:rsidR="0072020E" w:rsidRPr="004C1A6D" w:rsidRDefault="0072020E"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lastRenderedPageBreak/>
        <w:t>6.3.</w:t>
      </w:r>
      <w:r w:rsidR="00C05DF8" w:rsidRPr="004C1A6D">
        <w:rPr>
          <w:b/>
          <w:bCs/>
          <w:sz w:val="22"/>
          <w:szCs w:val="22"/>
        </w:rPr>
        <w:t xml:space="preserve"> </w:t>
      </w:r>
      <w:r w:rsidR="00480FB1" w:rsidRPr="004C1A6D">
        <w:rPr>
          <w:b/>
          <w:bCs/>
          <w:sz w:val="22"/>
          <w:szCs w:val="22"/>
        </w:rPr>
        <w:tab/>
      </w:r>
      <w:r w:rsidRPr="004C1A6D">
        <w:rPr>
          <w:b/>
          <w:bCs/>
          <w:sz w:val="22"/>
          <w:szCs w:val="22"/>
        </w:rPr>
        <w:t>Rok upotrebe</w:t>
      </w:r>
    </w:p>
    <w:p w:rsidR="00523D46" w:rsidRPr="004C1A6D" w:rsidRDefault="00523D46" w:rsidP="00992223">
      <w:pPr>
        <w:jc w:val="both"/>
        <w:rPr>
          <w:sz w:val="22"/>
          <w:szCs w:val="22"/>
        </w:rPr>
      </w:pPr>
    </w:p>
    <w:p w:rsidR="00502239" w:rsidRPr="004C1A6D" w:rsidRDefault="00502239" w:rsidP="00992223">
      <w:pPr>
        <w:jc w:val="both"/>
        <w:rPr>
          <w:sz w:val="22"/>
          <w:szCs w:val="22"/>
        </w:rPr>
      </w:pPr>
      <w:r w:rsidRPr="004C1A6D">
        <w:rPr>
          <w:sz w:val="22"/>
          <w:szCs w:val="22"/>
        </w:rPr>
        <w:t>36 mjeseci.</w:t>
      </w:r>
    </w:p>
    <w:p w:rsidR="0072020E" w:rsidRPr="004C1A6D" w:rsidRDefault="0072020E"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6.4. </w:t>
      </w:r>
      <w:r w:rsidR="00480FB1" w:rsidRPr="004C1A6D">
        <w:rPr>
          <w:b/>
          <w:bCs/>
          <w:sz w:val="22"/>
          <w:szCs w:val="22"/>
        </w:rPr>
        <w:tab/>
      </w:r>
      <w:r w:rsidRPr="004C1A6D">
        <w:rPr>
          <w:b/>
          <w:bCs/>
          <w:sz w:val="22"/>
          <w:szCs w:val="22"/>
        </w:rPr>
        <w:t>Posebne mjere upozorenja pri čuvanju</w:t>
      </w:r>
      <w:r w:rsidR="00F8570A" w:rsidRPr="004C1A6D">
        <w:rPr>
          <w:b/>
          <w:bCs/>
          <w:sz w:val="22"/>
          <w:szCs w:val="22"/>
        </w:rPr>
        <w:t xml:space="preserve"> lijeka</w:t>
      </w:r>
    </w:p>
    <w:p w:rsidR="00523D46" w:rsidRPr="004C1A6D" w:rsidRDefault="00523D46" w:rsidP="00992223">
      <w:pPr>
        <w:jc w:val="both"/>
        <w:rPr>
          <w:sz w:val="22"/>
          <w:szCs w:val="22"/>
        </w:rPr>
      </w:pPr>
    </w:p>
    <w:p w:rsidR="00502239" w:rsidRPr="004C1A6D" w:rsidRDefault="004C1A6D" w:rsidP="00992223">
      <w:pPr>
        <w:jc w:val="both"/>
        <w:rPr>
          <w:sz w:val="22"/>
          <w:szCs w:val="22"/>
        </w:rPr>
      </w:pPr>
      <w:r>
        <w:rPr>
          <w:sz w:val="22"/>
          <w:szCs w:val="22"/>
        </w:rPr>
        <w:t>Čuvati na temperaturi do 30</w:t>
      </w:r>
      <w:r w:rsidR="00502239" w:rsidRPr="004C1A6D">
        <w:rPr>
          <w:sz w:val="22"/>
          <w:szCs w:val="22"/>
        </w:rPr>
        <w:t>°C.</w:t>
      </w:r>
    </w:p>
    <w:p w:rsidR="00EC2532" w:rsidRPr="004C1A6D" w:rsidRDefault="00EC2532"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6.5. </w:t>
      </w:r>
      <w:r w:rsidR="00480FB1" w:rsidRPr="004C1A6D">
        <w:rPr>
          <w:b/>
          <w:bCs/>
          <w:sz w:val="22"/>
          <w:szCs w:val="22"/>
        </w:rPr>
        <w:tab/>
      </w:r>
      <w:r w:rsidR="002846DB" w:rsidRPr="004C1A6D">
        <w:rPr>
          <w:b/>
          <w:bCs/>
          <w:sz w:val="22"/>
          <w:szCs w:val="22"/>
        </w:rPr>
        <w:t xml:space="preserve">Vrsta i sadržaj </w:t>
      </w:r>
      <w:r w:rsidR="00F8570A" w:rsidRPr="004C1A6D">
        <w:rPr>
          <w:b/>
          <w:bCs/>
          <w:sz w:val="22"/>
          <w:szCs w:val="22"/>
        </w:rPr>
        <w:t>pakovanja</w:t>
      </w:r>
      <w:r w:rsidR="00C06864" w:rsidRPr="004C1A6D">
        <w:rPr>
          <w:b/>
          <w:bCs/>
          <w:sz w:val="22"/>
          <w:szCs w:val="22"/>
        </w:rPr>
        <w:t xml:space="preserve"> </w:t>
      </w:r>
    </w:p>
    <w:p w:rsidR="00523D46" w:rsidRPr="004C1A6D" w:rsidRDefault="00523D46" w:rsidP="00992223">
      <w:pPr>
        <w:jc w:val="both"/>
        <w:rPr>
          <w:sz w:val="22"/>
          <w:szCs w:val="22"/>
        </w:rPr>
      </w:pPr>
    </w:p>
    <w:p w:rsidR="00AE1E4B" w:rsidRPr="004C1A6D" w:rsidRDefault="00AE1E4B" w:rsidP="00992223">
      <w:pPr>
        <w:jc w:val="both"/>
        <w:rPr>
          <w:sz w:val="22"/>
          <w:szCs w:val="22"/>
        </w:rPr>
      </w:pPr>
      <w:r w:rsidRPr="004C1A6D">
        <w:rPr>
          <w:sz w:val="22"/>
          <w:szCs w:val="22"/>
        </w:rPr>
        <w:t>Hladnoformiraju</w:t>
      </w:r>
      <w:r w:rsidRPr="004C1A6D">
        <w:rPr>
          <w:sz w:val="22"/>
          <w:szCs w:val="22"/>
          <w:lang w:val="bs-Latn-BA"/>
        </w:rPr>
        <w:t>ći Alu</w:t>
      </w:r>
      <w:r w:rsidR="00AF5112" w:rsidRPr="004C1A6D">
        <w:rPr>
          <w:sz w:val="22"/>
          <w:szCs w:val="22"/>
        </w:rPr>
        <w:t xml:space="preserve">/Alu blister </w:t>
      </w:r>
      <w:r w:rsidR="00620BBC" w:rsidRPr="004C1A6D">
        <w:rPr>
          <w:sz w:val="22"/>
          <w:szCs w:val="22"/>
        </w:rPr>
        <w:t>(2</w:t>
      </w:r>
      <w:r w:rsidR="00AF5112" w:rsidRPr="004C1A6D">
        <w:rPr>
          <w:sz w:val="22"/>
          <w:szCs w:val="22"/>
        </w:rPr>
        <w:t xml:space="preserve"> blister</w:t>
      </w:r>
      <w:r w:rsidR="003B465A" w:rsidRPr="004C1A6D">
        <w:rPr>
          <w:sz w:val="22"/>
          <w:szCs w:val="22"/>
        </w:rPr>
        <w:t>a</w:t>
      </w:r>
      <w:r w:rsidR="00AF5112" w:rsidRPr="004C1A6D">
        <w:rPr>
          <w:sz w:val="22"/>
          <w:szCs w:val="22"/>
        </w:rPr>
        <w:t xml:space="preserve"> sa </w:t>
      </w:r>
      <w:r w:rsidR="00620BBC" w:rsidRPr="004C1A6D">
        <w:rPr>
          <w:sz w:val="22"/>
          <w:szCs w:val="22"/>
        </w:rPr>
        <w:t xml:space="preserve">po </w:t>
      </w:r>
      <w:r w:rsidR="00AF5112" w:rsidRPr="004C1A6D">
        <w:rPr>
          <w:sz w:val="22"/>
          <w:szCs w:val="22"/>
        </w:rPr>
        <w:t>14 gastrorezistentnih tableta u kutiji</w:t>
      </w:r>
      <w:r w:rsidR="00F444D2" w:rsidRPr="004C1A6D">
        <w:rPr>
          <w:sz w:val="22"/>
          <w:szCs w:val="22"/>
        </w:rPr>
        <w:t>, ukupno 28 tableta</w:t>
      </w:r>
      <w:r w:rsidR="00AF5112" w:rsidRPr="004C1A6D">
        <w:rPr>
          <w:sz w:val="22"/>
          <w:szCs w:val="22"/>
        </w:rPr>
        <w:t>).</w:t>
      </w:r>
    </w:p>
    <w:p w:rsidR="0072020E" w:rsidRPr="004C1A6D" w:rsidRDefault="0072020E" w:rsidP="00992223">
      <w:pPr>
        <w:tabs>
          <w:tab w:val="left" w:pos="540"/>
          <w:tab w:val="left" w:pos="569"/>
        </w:tabs>
        <w:jc w:val="both"/>
        <w:rPr>
          <w:bCs/>
          <w:sz w:val="22"/>
          <w:szCs w:val="22"/>
        </w:rPr>
      </w:pPr>
    </w:p>
    <w:p w:rsidR="002846DB" w:rsidRPr="004C1A6D" w:rsidRDefault="0072020E" w:rsidP="00992223">
      <w:pPr>
        <w:tabs>
          <w:tab w:val="left" w:pos="540"/>
          <w:tab w:val="left" w:pos="569"/>
        </w:tabs>
        <w:jc w:val="both"/>
        <w:rPr>
          <w:b/>
          <w:bCs/>
          <w:sz w:val="22"/>
          <w:szCs w:val="22"/>
        </w:rPr>
      </w:pPr>
      <w:r w:rsidRPr="004C1A6D">
        <w:rPr>
          <w:b/>
          <w:bCs/>
          <w:sz w:val="22"/>
          <w:szCs w:val="22"/>
        </w:rPr>
        <w:t xml:space="preserve">6.6. </w:t>
      </w:r>
      <w:r w:rsidR="00480FB1" w:rsidRPr="004C1A6D">
        <w:rPr>
          <w:b/>
          <w:bCs/>
          <w:sz w:val="22"/>
          <w:szCs w:val="22"/>
        </w:rPr>
        <w:tab/>
      </w:r>
      <w:r w:rsidRPr="004C1A6D">
        <w:rPr>
          <w:b/>
          <w:bCs/>
          <w:color w:val="000000"/>
          <w:sz w:val="22"/>
          <w:szCs w:val="22"/>
        </w:rPr>
        <w:t>Posebne mjere opreza pri odlaganju materijala koji treba odbaciti nakon primjene lijeka</w:t>
      </w:r>
      <w:r w:rsidRPr="004C1A6D">
        <w:rPr>
          <w:b/>
          <w:bCs/>
          <w:sz w:val="22"/>
          <w:szCs w:val="22"/>
        </w:rPr>
        <w:t xml:space="preserve"> </w:t>
      </w:r>
      <w:r w:rsidR="00310F03" w:rsidRPr="004C1A6D">
        <w:rPr>
          <w:b/>
          <w:bCs/>
          <w:sz w:val="22"/>
          <w:szCs w:val="22"/>
        </w:rPr>
        <w:t>(i druga uputs</w:t>
      </w:r>
      <w:r w:rsidR="004109FA" w:rsidRPr="004C1A6D">
        <w:rPr>
          <w:b/>
          <w:bCs/>
          <w:sz w:val="22"/>
          <w:szCs w:val="22"/>
        </w:rPr>
        <w:t>t</w:t>
      </w:r>
      <w:r w:rsidR="00310F03" w:rsidRPr="004C1A6D">
        <w:rPr>
          <w:b/>
          <w:bCs/>
          <w:sz w:val="22"/>
          <w:szCs w:val="22"/>
        </w:rPr>
        <w:t xml:space="preserve">va za rukovanje lijekom) </w:t>
      </w:r>
    </w:p>
    <w:p w:rsidR="00F444D2" w:rsidRPr="004C1A6D" w:rsidRDefault="00F444D2" w:rsidP="00992223">
      <w:pPr>
        <w:tabs>
          <w:tab w:val="left" w:pos="540"/>
          <w:tab w:val="left" w:pos="569"/>
        </w:tabs>
        <w:jc w:val="both"/>
        <w:rPr>
          <w:bCs/>
          <w:sz w:val="22"/>
          <w:szCs w:val="22"/>
        </w:rPr>
      </w:pPr>
    </w:p>
    <w:p w:rsidR="00275364" w:rsidRPr="004C1A6D" w:rsidRDefault="00275364" w:rsidP="00992223">
      <w:pPr>
        <w:tabs>
          <w:tab w:val="left" w:pos="540"/>
          <w:tab w:val="left" w:pos="569"/>
        </w:tabs>
        <w:jc w:val="both"/>
        <w:rPr>
          <w:bCs/>
          <w:sz w:val="22"/>
          <w:szCs w:val="22"/>
        </w:rPr>
      </w:pPr>
      <w:r w:rsidRPr="004C1A6D">
        <w:rPr>
          <w:bCs/>
          <w:sz w:val="22"/>
          <w:szCs w:val="22"/>
        </w:rPr>
        <w:t>Svu neiskorišćenu količinu lijeka ili otpadnog materijala nakon njegove upotrebe treba ukloniti u skladu sa važećim propisima.</w:t>
      </w:r>
    </w:p>
    <w:p w:rsidR="00275364" w:rsidRDefault="00275364" w:rsidP="00992223">
      <w:pPr>
        <w:jc w:val="both"/>
        <w:rPr>
          <w:iCs/>
          <w:sz w:val="22"/>
          <w:szCs w:val="22"/>
        </w:rPr>
      </w:pPr>
    </w:p>
    <w:p w:rsidR="004C1A6D" w:rsidRPr="004C1A6D" w:rsidRDefault="004C1A6D" w:rsidP="00992223">
      <w:pPr>
        <w:jc w:val="both"/>
        <w:rPr>
          <w:iCs/>
          <w:sz w:val="22"/>
          <w:szCs w:val="22"/>
        </w:rPr>
      </w:pPr>
    </w:p>
    <w:p w:rsidR="00F8570A" w:rsidRPr="004C1A6D" w:rsidRDefault="0072020E" w:rsidP="00992223">
      <w:pPr>
        <w:tabs>
          <w:tab w:val="left" w:pos="540"/>
          <w:tab w:val="left" w:pos="569"/>
        </w:tabs>
        <w:jc w:val="both"/>
        <w:rPr>
          <w:b/>
          <w:bCs/>
          <w:sz w:val="22"/>
          <w:szCs w:val="22"/>
        </w:rPr>
      </w:pPr>
      <w:r w:rsidRPr="004C1A6D">
        <w:rPr>
          <w:b/>
          <w:bCs/>
          <w:sz w:val="22"/>
          <w:szCs w:val="22"/>
        </w:rPr>
        <w:t xml:space="preserve">7. </w:t>
      </w:r>
      <w:r w:rsidR="00480FB1" w:rsidRPr="004C1A6D">
        <w:rPr>
          <w:b/>
          <w:bCs/>
          <w:sz w:val="22"/>
          <w:szCs w:val="22"/>
        </w:rPr>
        <w:tab/>
      </w:r>
      <w:r w:rsidRPr="004C1A6D">
        <w:rPr>
          <w:b/>
          <w:bCs/>
          <w:sz w:val="22"/>
          <w:szCs w:val="22"/>
        </w:rPr>
        <w:t>NOSILAC DOZVOLE</w:t>
      </w:r>
      <w:r w:rsidR="00483928" w:rsidRPr="004C1A6D">
        <w:rPr>
          <w:b/>
          <w:bCs/>
          <w:sz w:val="22"/>
          <w:szCs w:val="22"/>
        </w:rPr>
        <w:t xml:space="preserve"> </w:t>
      </w:r>
    </w:p>
    <w:p w:rsidR="001F7DBA" w:rsidRPr="004C1A6D" w:rsidRDefault="001F7DBA" w:rsidP="00992223">
      <w:pPr>
        <w:tabs>
          <w:tab w:val="left" w:pos="540"/>
          <w:tab w:val="left" w:pos="569"/>
        </w:tabs>
        <w:jc w:val="both"/>
        <w:rPr>
          <w:b/>
          <w:bCs/>
          <w:sz w:val="22"/>
          <w:szCs w:val="22"/>
        </w:rPr>
      </w:pPr>
    </w:p>
    <w:p w:rsidR="00275364" w:rsidRPr="004C1A6D" w:rsidRDefault="00275364" w:rsidP="00992223">
      <w:pPr>
        <w:pStyle w:val="ListNumber"/>
        <w:numPr>
          <w:ilvl w:val="0"/>
          <w:numId w:val="0"/>
        </w:numPr>
        <w:jc w:val="both"/>
        <w:rPr>
          <w:rFonts w:ascii="Times New Roman" w:hAnsi="Times New Roman"/>
          <w:b/>
          <w:color w:val="000000"/>
          <w:sz w:val="22"/>
          <w:szCs w:val="22"/>
          <w:lang w:val="fr-FR"/>
        </w:rPr>
      </w:pPr>
      <w:r w:rsidRPr="004C1A6D">
        <w:rPr>
          <w:rFonts w:ascii="Times New Roman" w:hAnsi="Times New Roman"/>
          <w:color w:val="000000"/>
          <w:sz w:val="22"/>
          <w:szCs w:val="22"/>
        </w:rPr>
        <w:t>Bosnalijek</w:t>
      </w:r>
      <w:r w:rsidRPr="004C1A6D">
        <w:rPr>
          <w:rFonts w:ascii="Times New Roman" w:hAnsi="Times New Roman"/>
          <w:color w:val="000000"/>
          <w:sz w:val="22"/>
          <w:szCs w:val="22"/>
          <w:lang w:val="hr-HR"/>
        </w:rPr>
        <w:t xml:space="preserve"> </w:t>
      </w:r>
      <w:r w:rsidRPr="004C1A6D">
        <w:rPr>
          <w:rFonts w:ascii="Times New Roman" w:hAnsi="Times New Roman"/>
          <w:color w:val="000000"/>
          <w:sz w:val="22"/>
          <w:szCs w:val="22"/>
        </w:rPr>
        <w:t>d</w:t>
      </w:r>
      <w:r w:rsidRPr="004C1A6D">
        <w:rPr>
          <w:rFonts w:ascii="Times New Roman" w:hAnsi="Times New Roman"/>
          <w:color w:val="000000"/>
          <w:sz w:val="22"/>
          <w:szCs w:val="22"/>
          <w:lang w:val="hr-HR"/>
        </w:rPr>
        <w:t>.</w:t>
      </w:r>
      <w:r w:rsidRPr="004C1A6D">
        <w:rPr>
          <w:rFonts w:ascii="Times New Roman" w:hAnsi="Times New Roman"/>
          <w:color w:val="000000"/>
          <w:sz w:val="22"/>
          <w:szCs w:val="22"/>
        </w:rPr>
        <w:t>d</w:t>
      </w:r>
      <w:r w:rsidRPr="004C1A6D">
        <w:rPr>
          <w:rFonts w:ascii="Times New Roman" w:hAnsi="Times New Roman"/>
          <w:color w:val="000000"/>
          <w:sz w:val="22"/>
          <w:szCs w:val="22"/>
          <w:lang w:val="hr-HR"/>
        </w:rPr>
        <w:t>. Predstavništvo Crna Gora, Bulevar Svetog Petra Cetinjskog 63, Podgorica</w:t>
      </w:r>
      <w:r w:rsidR="00F444D2" w:rsidRPr="004C1A6D">
        <w:rPr>
          <w:rFonts w:ascii="Times New Roman" w:hAnsi="Times New Roman"/>
          <w:color w:val="000000"/>
          <w:sz w:val="22"/>
          <w:szCs w:val="22"/>
          <w:lang w:val="hr-HR"/>
        </w:rPr>
        <w:t>, Crna Gora</w:t>
      </w:r>
      <w:r w:rsidRPr="004C1A6D">
        <w:rPr>
          <w:rFonts w:ascii="Times New Roman" w:hAnsi="Times New Roman"/>
          <w:color w:val="000000"/>
          <w:sz w:val="22"/>
          <w:szCs w:val="22"/>
          <w:lang w:val="fr-FR"/>
        </w:rPr>
        <w:t xml:space="preserve"> </w:t>
      </w:r>
    </w:p>
    <w:p w:rsidR="00C61BE0" w:rsidRDefault="00C61BE0" w:rsidP="00992223">
      <w:pPr>
        <w:tabs>
          <w:tab w:val="left" w:pos="540"/>
          <w:tab w:val="left" w:pos="569"/>
        </w:tabs>
        <w:jc w:val="both"/>
        <w:rPr>
          <w:bCs/>
          <w:sz w:val="22"/>
          <w:szCs w:val="22"/>
        </w:rPr>
      </w:pPr>
    </w:p>
    <w:p w:rsidR="004C1A6D" w:rsidRPr="004C1A6D" w:rsidRDefault="004C1A6D"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8. </w:t>
      </w:r>
      <w:r w:rsidR="00480FB1" w:rsidRPr="004C1A6D">
        <w:rPr>
          <w:b/>
          <w:bCs/>
          <w:sz w:val="22"/>
          <w:szCs w:val="22"/>
        </w:rPr>
        <w:tab/>
      </w:r>
      <w:r w:rsidRPr="004C1A6D">
        <w:rPr>
          <w:b/>
          <w:bCs/>
          <w:sz w:val="22"/>
          <w:szCs w:val="22"/>
        </w:rPr>
        <w:t>BROJ DOZVOLE</w:t>
      </w:r>
      <w:r w:rsidR="008A6D43" w:rsidRPr="004C1A6D">
        <w:rPr>
          <w:b/>
          <w:bCs/>
          <w:sz w:val="22"/>
          <w:szCs w:val="22"/>
        </w:rPr>
        <w:t xml:space="preserve"> ZA STAVLJANJE LIJEKA U PROMET</w:t>
      </w:r>
    </w:p>
    <w:p w:rsidR="00F45F77" w:rsidRDefault="00F45F77" w:rsidP="00992223">
      <w:pPr>
        <w:tabs>
          <w:tab w:val="left" w:pos="540"/>
          <w:tab w:val="left" w:pos="569"/>
        </w:tabs>
        <w:jc w:val="both"/>
        <w:rPr>
          <w:bCs/>
          <w:sz w:val="22"/>
          <w:szCs w:val="22"/>
        </w:rPr>
      </w:pPr>
    </w:p>
    <w:p w:rsidR="004C1A6D" w:rsidRDefault="004C1A6D" w:rsidP="00992223">
      <w:pPr>
        <w:tabs>
          <w:tab w:val="left" w:pos="540"/>
          <w:tab w:val="left" w:pos="569"/>
        </w:tabs>
        <w:jc w:val="both"/>
        <w:rPr>
          <w:bCs/>
          <w:sz w:val="22"/>
          <w:szCs w:val="22"/>
          <w:lang w:val="sr-Latn-ME"/>
        </w:rPr>
      </w:pPr>
      <w:r w:rsidRPr="004C1A6D">
        <w:rPr>
          <w:bCs/>
          <w:sz w:val="22"/>
          <w:szCs w:val="22"/>
          <w:lang w:val="sr-Latn-ME"/>
        </w:rPr>
        <w:t>2030/23/4258 - 7346</w:t>
      </w:r>
    </w:p>
    <w:p w:rsidR="004C1A6D" w:rsidRDefault="004C1A6D" w:rsidP="00992223">
      <w:pPr>
        <w:tabs>
          <w:tab w:val="left" w:pos="540"/>
          <w:tab w:val="left" w:pos="569"/>
        </w:tabs>
        <w:jc w:val="both"/>
        <w:rPr>
          <w:bCs/>
          <w:sz w:val="22"/>
          <w:szCs w:val="22"/>
        </w:rPr>
      </w:pPr>
    </w:p>
    <w:p w:rsidR="004C1A6D" w:rsidRPr="004C1A6D" w:rsidRDefault="004C1A6D" w:rsidP="00992223">
      <w:pPr>
        <w:tabs>
          <w:tab w:val="left" w:pos="540"/>
          <w:tab w:val="left" w:pos="569"/>
        </w:tabs>
        <w:jc w:val="both"/>
        <w:rPr>
          <w:bCs/>
          <w:sz w:val="22"/>
          <w:szCs w:val="22"/>
        </w:rPr>
      </w:pPr>
    </w:p>
    <w:p w:rsidR="0072020E" w:rsidRPr="004C1A6D" w:rsidRDefault="0072020E" w:rsidP="00992223">
      <w:pPr>
        <w:tabs>
          <w:tab w:val="left" w:pos="540"/>
          <w:tab w:val="left" w:pos="569"/>
        </w:tabs>
        <w:jc w:val="both"/>
        <w:rPr>
          <w:b/>
          <w:bCs/>
          <w:sz w:val="22"/>
          <w:szCs w:val="22"/>
        </w:rPr>
      </w:pPr>
      <w:r w:rsidRPr="004C1A6D">
        <w:rPr>
          <w:b/>
          <w:bCs/>
          <w:sz w:val="22"/>
          <w:szCs w:val="22"/>
        </w:rPr>
        <w:t xml:space="preserve">9. </w:t>
      </w:r>
      <w:r w:rsidR="00480FB1" w:rsidRPr="004C1A6D">
        <w:rPr>
          <w:b/>
          <w:bCs/>
          <w:sz w:val="22"/>
          <w:szCs w:val="22"/>
        </w:rPr>
        <w:tab/>
      </w:r>
      <w:r w:rsidRPr="004C1A6D">
        <w:rPr>
          <w:b/>
          <w:bCs/>
          <w:sz w:val="22"/>
          <w:szCs w:val="22"/>
        </w:rPr>
        <w:t xml:space="preserve">DATUM </w:t>
      </w:r>
      <w:r w:rsidR="00C05DF8" w:rsidRPr="004C1A6D">
        <w:rPr>
          <w:b/>
          <w:bCs/>
          <w:sz w:val="22"/>
          <w:szCs w:val="22"/>
        </w:rPr>
        <w:t xml:space="preserve">PRVE </w:t>
      </w:r>
      <w:r w:rsidR="008A6D43" w:rsidRPr="004C1A6D">
        <w:rPr>
          <w:b/>
          <w:bCs/>
          <w:sz w:val="22"/>
          <w:szCs w:val="22"/>
        </w:rPr>
        <w:t>DOZVOLE</w:t>
      </w:r>
      <w:r w:rsidR="00C05DF8" w:rsidRPr="004C1A6D">
        <w:rPr>
          <w:b/>
          <w:bCs/>
          <w:sz w:val="22"/>
          <w:szCs w:val="22"/>
        </w:rPr>
        <w:t>/OBNOVE DOZVOLE</w:t>
      </w:r>
      <w:r w:rsidR="008A6D43" w:rsidRPr="004C1A6D">
        <w:rPr>
          <w:b/>
          <w:bCs/>
          <w:sz w:val="22"/>
          <w:szCs w:val="22"/>
        </w:rPr>
        <w:t xml:space="preserve"> ZA STAVLJANJE LIJEKA U PROMET</w:t>
      </w:r>
    </w:p>
    <w:p w:rsidR="00836B35" w:rsidRDefault="00836B35" w:rsidP="00992223">
      <w:pPr>
        <w:tabs>
          <w:tab w:val="left" w:pos="540"/>
          <w:tab w:val="left" w:pos="569"/>
        </w:tabs>
        <w:jc w:val="both"/>
        <w:rPr>
          <w:bCs/>
          <w:sz w:val="22"/>
          <w:szCs w:val="22"/>
        </w:rPr>
      </w:pPr>
    </w:p>
    <w:p w:rsidR="004C1A6D" w:rsidRDefault="004C1A6D" w:rsidP="00992223">
      <w:pPr>
        <w:tabs>
          <w:tab w:val="left" w:pos="540"/>
          <w:tab w:val="left" w:pos="569"/>
        </w:tabs>
        <w:jc w:val="both"/>
        <w:rPr>
          <w:bCs/>
          <w:sz w:val="22"/>
          <w:szCs w:val="22"/>
        </w:rPr>
      </w:pPr>
      <w:r>
        <w:rPr>
          <w:bCs/>
          <w:sz w:val="22"/>
          <w:szCs w:val="22"/>
        </w:rPr>
        <w:t>17.11.2023. godine</w:t>
      </w:r>
    </w:p>
    <w:p w:rsidR="004C1A6D" w:rsidRDefault="004C1A6D" w:rsidP="00992223">
      <w:pPr>
        <w:tabs>
          <w:tab w:val="left" w:pos="540"/>
          <w:tab w:val="left" w:pos="569"/>
        </w:tabs>
        <w:jc w:val="both"/>
        <w:rPr>
          <w:bCs/>
          <w:sz w:val="22"/>
          <w:szCs w:val="22"/>
        </w:rPr>
      </w:pPr>
    </w:p>
    <w:p w:rsidR="004C1A6D" w:rsidRPr="004C1A6D" w:rsidRDefault="004C1A6D" w:rsidP="00992223">
      <w:pPr>
        <w:tabs>
          <w:tab w:val="left" w:pos="540"/>
          <w:tab w:val="left" w:pos="569"/>
        </w:tabs>
        <w:jc w:val="both"/>
        <w:rPr>
          <w:bCs/>
          <w:sz w:val="22"/>
          <w:szCs w:val="22"/>
        </w:rPr>
      </w:pPr>
    </w:p>
    <w:p w:rsidR="003F6A59" w:rsidRPr="004C1A6D" w:rsidRDefault="0072020E" w:rsidP="00992223">
      <w:pPr>
        <w:tabs>
          <w:tab w:val="left" w:pos="540"/>
          <w:tab w:val="left" w:pos="569"/>
        </w:tabs>
        <w:ind w:left="540" w:hanging="540"/>
        <w:jc w:val="both"/>
        <w:rPr>
          <w:bCs/>
          <w:sz w:val="22"/>
          <w:szCs w:val="22"/>
        </w:rPr>
      </w:pPr>
      <w:r w:rsidRPr="004C1A6D">
        <w:rPr>
          <w:b/>
          <w:bCs/>
          <w:sz w:val="22"/>
          <w:szCs w:val="22"/>
        </w:rPr>
        <w:t xml:space="preserve">10. </w:t>
      </w:r>
      <w:r w:rsidR="00480FB1" w:rsidRPr="004C1A6D">
        <w:rPr>
          <w:b/>
          <w:bCs/>
          <w:sz w:val="22"/>
          <w:szCs w:val="22"/>
        </w:rPr>
        <w:tab/>
      </w:r>
      <w:r w:rsidR="002846DB" w:rsidRPr="004C1A6D">
        <w:rPr>
          <w:b/>
          <w:bCs/>
          <w:sz w:val="22"/>
          <w:szCs w:val="22"/>
        </w:rPr>
        <w:t>D</w:t>
      </w:r>
      <w:r w:rsidR="00EC2532" w:rsidRPr="004C1A6D">
        <w:rPr>
          <w:b/>
          <w:bCs/>
          <w:sz w:val="22"/>
          <w:szCs w:val="22"/>
        </w:rPr>
        <w:t xml:space="preserve">ATUM REVIZIJE TEKSTA </w:t>
      </w:r>
    </w:p>
    <w:p w:rsidR="008A6D43" w:rsidRPr="004C1A6D" w:rsidRDefault="008A6D43" w:rsidP="00992223">
      <w:pPr>
        <w:tabs>
          <w:tab w:val="left" w:pos="540"/>
          <w:tab w:val="left" w:pos="569"/>
        </w:tabs>
        <w:jc w:val="both"/>
        <w:rPr>
          <w:bCs/>
          <w:sz w:val="22"/>
          <w:szCs w:val="22"/>
        </w:rPr>
      </w:pPr>
    </w:p>
    <w:p w:rsidR="003F6A59" w:rsidRPr="004C1A6D" w:rsidRDefault="004C1A6D" w:rsidP="00992223">
      <w:pPr>
        <w:jc w:val="both"/>
        <w:rPr>
          <w:sz w:val="22"/>
          <w:szCs w:val="22"/>
          <w:lang w:val="pl-PL"/>
        </w:rPr>
      </w:pPr>
      <w:r>
        <w:rPr>
          <w:sz w:val="22"/>
          <w:szCs w:val="22"/>
          <w:lang w:val="pl-PL"/>
        </w:rPr>
        <w:t>Novembar, 2023. godine</w:t>
      </w:r>
      <w:bookmarkStart w:id="0" w:name="_GoBack"/>
      <w:bookmarkEnd w:id="0"/>
    </w:p>
    <w:sectPr w:rsidR="003F6A59" w:rsidRPr="004C1A6D" w:rsidSect="004C1A6D">
      <w:footerReference w:type="default" r:id="rId12"/>
      <w:pgSz w:w="11909" w:h="16834" w:code="9"/>
      <w:pgMar w:top="1135"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C52" w:rsidRDefault="00DB2C52">
      <w:r>
        <w:separator/>
      </w:r>
    </w:p>
  </w:endnote>
  <w:endnote w:type="continuationSeparator" w:id="0">
    <w:p w:rsidR="00DB2C52" w:rsidRDefault="00DB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FA2309"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4C1A6D">
      <w:rPr>
        <w:noProof/>
        <w:sz w:val="22"/>
        <w:szCs w:val="22"/>
      </w:rPr>
      <w:t>12</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4C1A6D">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C52" w:rsidRDefault="00DB2C52">
      <w:r>
        <w:separator/>
      </w:r>
    </w:p>
  </w:footnote>
  <w:footnote w:type="continuationSeparator" w:id="0">
    <w:p w:rsidR="00DB2C52" w:rsidRDefault="00DB2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3.45pt;visibility:visible" o:bullet="t">
        <v:imagedata r:id="rId1" o:title="BT_1000x858px"/>
      </v:shape>
    </w:pict>
  </w:numPicBullet>
  <w:abstractNum w:abstractNumId="0" w15:restartNumberingAfterBreak="0">
    <w:nsid w:val="FFFFFF88"/>
    <w:multiLevelType w:val="singleLevel"/>
    <w:tmpl w:val="110439BE"/>
    <w:lvl w:ilvl="0">
      <w:start w:val="1"/>
      <w:numFmt w:val="decimal"/>
      <w:pStyle w:val="ListNumber"/>
      <w:lvlText w:val="%1."/>
      <w:lvlJc w:val="left"/>
      <w:pPr>
        <w:tabs>
          <w:tab w:val="num" w:pos="360"/>
        </w:tabs>
        <w:ind w:left="360" w:hanging="360"/>
      </w:pPr>
    </w:lvl>
  </w:abstractNum>
  <w:abstractNum w:abstractNumId="1" w15:restartNumberingAfterBreak="0">
    <w:nsid w:val="024717CE"/>
    <w:multiLevelType w:val="hybridMultilevel"/>
    <w:tmpl w:val="D6C02BF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6077AC3"/>
    <w:multiLevelType w:val="hybridMultilevel"/>
    <w:tmpl w:val="381838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A987509"/>
    <w:multiLevelType w:val="multilevel"/>
    <w:tmpl w:val="3D1266C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AF42EE6"/>
    <w:multiLevelType w:val="hybridMultilevel"/>
    <w:tmpl w:val="E800DC0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440D14"/>
    <w:multiLevelType w:val="hybridMultilevel"/>
    <w:tmpl w:val="8E5E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D7DE4"/>
    <w:multiLevelType w:val="hybridMultilevel"/>
    <w:tmpl w:val="EDE29D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13"/>
  </w:num>
  <w:num w:numId="5">
    <w:abstractNumId w:val="8"/>
  </w:num>
  <w:num w:numId="6">
    <w:abstractNumId w:val="4"/>
  </w:num>
  <w:num w:numId="7">
    <w:abstractNumId w:val="11"/>
  </w:num>
  <w:num w:numId="8">
    <w:abstractNumId w:val="7"/>
  </w:num>
  <w:num w:numId="9">
    <w:abstractNumId w:val="10"/>
  </w:num>
  <w:num w:numId="10">
    <w:abstractNumId w:val="17"/>
  </w:num>
  <w:num w:numId="11">
    <w:abstractNumId w:val="9"/>
  </w:num>
  <w:num w:numId="12">
    <w:abstractNumId w:val="1"/>
  </w:num>
  <w:num w:numId="13">
    <w:abstractNumId w:val="2"/>
  </w:num>
  <w:num w:numId="14">
    <w:abstractNumId w:val="14"/>
  </w:num>
  <w:num w:numId="15">
    <w:abstractNumId w:val="5"/>
  </w:num>
  <w:num w:numId="16">
    <w:abstractNumId w:val="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2ED6"/>
    <w:rsid w:val="000000CC"/>
    <w:rsid w:val="00000528"/>
    <w:rsid w:val="00002DB7"/>
    <w:rsid w:val="000113BD"/>
    <w:rsid w:val="000144C2"/>
    <w:rsid w:val="000164D0"/>
    <w:rsid w:val="000176CA"/>
    <w:rsid w:val="0002153D"/>
    <w:rsid w:val="00036FA0"/>
    <w:rsid w:val="0003793F"/>
    <w:rsid w:val="00052635"/>
    <w:rsid w:val="00057E35"/>
    <w:rsid w:val="000616C8"/>
    <w:rsid w:val="00062734"/>
    <w:rsid w:val="00076726"/>
    <w:rsid w:val="00080303"/>
    <w:rsid w:val="00083883"/>
    <w:rsid w:val="0008719A"/>
    <w:rsid w:val="000942CC"/>
    <w:rsid w:val="00094C78"/>
    <w:rsid w:val="000976E4"/>
    <w:rsid w:val="000A3F58"/>
    <w:rsid w:val="000C15D1"/>
    <w:rsid w:val="000C6241"/>
    <w:rsid w:val="000D2343"/>
    <w:rsid w:val="000D3327"/>
    <w:rsid w:val="000D3449"/>
    <w:rsid w:val="000D425A"/>
    <w:rsid w:val="000D60CC"/>
    <w:rsid w:val="000E11A2"/>
    <w:rsid w:val="000E2084"/>
    <w:rsid w:val="000E44EF"/>
    <w:rsid w:val="000E6F55"/>
    <w:rsid w:val="000F77FA"/>
    <w:rsid w:val="00103094"/>
    <w:rsid w:val="00107BF7"/>
    <w:rsid w:val="00126F53"/>
    <w:rsid w:val="00131244"/>
    <w:rsid w:val="00136891"/>
    <w:rsid w:val="0014766D"/>
    <w:rsid w:val="001536CC"/>
    <w:rsid w:val="0015788C"/>
    <w:rsid w:val="001639F6"/>
    <w:rsid w:val="001800CB"/>
    <w:rsid w:val="001A36E4"/>
    <w:rsid w:val="001A3FBA"/>
    <w:rsid w:val="001A5518"/>
    <w:rsid w:val="001B1C6A"/>
    <w:rsid w:val="001B325F"/>
    <w:rsid w:val="001B326F"/>
    <w:rsid w:val="001B5BFC"/>
    <w:rsid w:val="001C1263"/>
    <w:rsid w:val="001C1417"/>
    <w:rsid w:val="001D0036"/>
    <w:rsid w:val="001D312A"/>
    <w:rsid w:val="001E390B"/>
    <w:rsid w:val="001F274E"/>
    <w:rsid w:val="001F42FB"/>
    <w:rsid w:val="001F719A"/>
    <w:rsid w:val="001F7DBA"/>
    <w:rsid w:val="002031B3"/>
    <w:rsid w:val="0020603D"/>
    <w:rsid w:val="00215931"/>
    <w:rsid w:val="00220B0F"/>
    <w:rsid w:val="00224C91"/>
    <w:rsid w:val="002252B2"/>
    <w:rsid w:val="00227BDB"/>
    <w:rsid w:val="00232387"/>
    <w:rsid w:val="00232B5D"/>
    <w:rsid w:val="00234CB1"/>
    <w:rsid w:val="002352F8"/>
    <w:rsid w:val="002503F2"/>
    <w:rsid w:val="00250690"/>
    <w:rsid w:val="002510A5"/>
    <w:rsid w:val="00254A0A"/>
    <w:rsid w:val="00266046"/>
    <w:rsid w:val="0027520A"/>
    <w:rsid w:val="00275364"/>
    <w:rsid w:val="002846DB"/>
    <w:rsid w:val="00284CCD"/>
    <w:rsid w:val="002876AB"/>
    <w:rsid w:val="00290982"/>
    <w:rsid w:val="002A195D"/>
    <w:rsid w:val="002A4AF9"/>
    <w:rsid w:val="002B3F2E"/>
    <w:rsid w:val="002C210E"/>
    <w:rsid w:val="002C2E1B"/>
    <w:rsid w:val="002C45B1"/>
    <w:rsid w:val="002C5FB4"/>
    <w:rsid w:val="002C6637"/>
    <w:rsid w:val="002D21AB"/>
    <w:rsid w:val="002E0135"/>
    <w:rsid w:val="002E37A5"/>
    <w:rsid w:val="003070A6"/>
    <w:rsid w:val="003103DB"/>
    <w:rsid w:val="003104C2"/>
    <w:rsid w:val="00310F03"/>
    <w:rsid w:val="003247D2"/>
    <w:rsid w:val="00335827"/>
    <w:rsid w:val="00342CB5"/>
    <w:rsid w:val="003445C1"/>
    <w:rsid w:val="003477BE"/>
    <w:rsid w:val="003503F0"/>
    <w:rsid w:val="00352E57"/>
    <w:rsid w:val="00355B61"/>
    <w:rsid w:val="00362686"/>
    <w:rsid w:val="00371510"/>
    <w:rsid w:val="00375415"/>
    <w:rsid w:val="003855EB"/>
    <w:rsid w:val="00390570"/>
    <w:rsid w:val="00393F03"/>
    <w:rsid w:val="00396DFD"/>
    <w:rsid w:val="003A3BC5"/>
    <w:rsid w:val="003A3CE9"/>
    <w:rsid w:val="003A7059"/>
    <w:rsid w:val="003B465A"/>
    <w:rsid w:val="003B7A36"/>
    <w:rsid w:val="003C17AB"/>
    <w:rsid w:val="003C62B7"/>
    <w:rsid w:val="003C7823"/>
    <w:rsid w:val="003D09FC"/>
    <w:rsid w:val="003D1DD1"/>
    <w:rsid w:val="003D2542"/>
    <w:rsid w:val="003E1DCC"/>
    <w:rsid w:val="003F11A1"/>
    <w:rsid w:val="003F174D"/>
    <w:rsid w:val="003F6A59"/>
    <w:rsid w:val="00402367"/>
    <w:rsid w:val="0040406E"/>
    <w:rsid w:val="004065C8"/>
    <w:rsid w:val="004109FA"/>
    <w:rsid w:val="00411B4B"/>
    <w:rsid w:val="00415BEE"/>
    <w:rsid w:val="0042451D"/>
    <w:rsid w:val="00427F85"/>
    <w:rsid w:val="00432864"/>
    <w:rsid w:val="004337EC"/>
    <w:rsid w:val="00435180"/>
    <w:rsid w:val="00436F42"/>
    <w:rsid w:val="00437612"/>
    <w:rsid w:val="004378B4"/>
    <w:rsid w:val="00445585"/>
    <w:rsid w:val="00451314"/>
    <w:rsid w:val="00452E9D"/>
    <w:rsid w:val="004534C7"/>
    <w:rsid w:val="00460C1B"/>
    <w:rsid w:val="00463CB7"/>
    <w:rsid w:val="00464401"/>
    <w:rsid w:val="004671AA"/>
    <w:rsid w:val="00473072"/>
    <w:rsid w:val="00475AD3"/>
    <w:rsid w:val="00480FB1"/>
    <w:rsid w:val="00483928"/>
    <w:rsid w:val="00492529"/>
    <w:rsid w:val="004963C6"/>
    <w:rsid w:val="004A37B2"/>
    <w:rsid w:val="004A53B5"/>
    <w:rsid w:val="004B5EB9"/>
    <w:rsid w:val="004C1A6D"/>
    <w:rsid w:val="004C1F66"/>
    <w:rsid w:val="004C331F"/>
    <w:rsid w:val="004D6103"/>
    <w:rsid w:val="004E3BCE"/>
    <w:rsid w:val="004E70AD"/>
    <w:rsid w:val="004F0E97"/>
    <w:rsid w:val="004F167E"/>
    <w:rsid w:val="004F2AAE"/>
    <w:rsid w:val="00501DD1"/>
    <w:rsid w:val="00502239"/>
    <w:rsid w:val="005101CC"/>
    <w:rsid w:val="00513004"/>
    <w:rsid w:val="00515C21"/>
    <w:rsid w:val="005203A5"/>
    <w:rsid w:val="00523D46"/>
    <w:rsid w:val="00530BD7"/>
    <w:rsid w:val="005360DA"/>
    <w:rsid w:val="00545CD2"/>
    <w:rsid w:val="005476F3"/>
    <w:rsid w:val="0055009A"/>
    <w:rsid w:val="00555175"/>
    <w:rsid w:val="00556633"/>
    <w:rsid w:val="00572527"/>
    <w:rsid w:val="00573E40"/>
    <w:rsid w:val="00576348"/>
    <w:rsid w:val="00580F67"/>
    <w:rsid w:val="00582CD3"/>
    <w:rsid w:val="00584DBC"/>
    <w:rsid w:val="005850EF"/>
    <w:rsid w:val="00586F9F"/>
    <w:rsid w:val="005943EC"/>
    <w:rsid w:val="005A0B2E"/>
    <w:rsid w:val="005A23D2"/>
    <w:rsid w:val="005A2A42"/>
    <w:rsid w:val="005A2B24"/>
    <w:rsid w:val="005A2CDC"/>
    <w:rsid w:val="005A31D5"/>
    <w:rsid w:val="005A36CB"/>
    <w:rsid w:val="005A7C5C"/>
    <w:rsid w:val="005B49B8"/>
    <w:rsid w:val="005B5349"/>
    <w:rsid w:val="005C0741"/>
    <w:rsid w:val="005C5EF4"/>
    <w:rsid w:val="005E0547"/>
    <w:rsid w:val="005E0646"/>
    <w:rsid w:val="005E2E0B"/>
    <w:rsid w:val="005E65D5"/>
    <w:rsid w:val="005E7A7D"/>
    <w:rsid w:val="005F5027"/>
    <w:rsid w:val="005F7DE4"/>
    <w:rsid w:val="00602457"/>
    <w:rsid w:val="00620BBC"/>
    <w:rsid w:val="00644FC3"/>
    <w:rsid w:val="00646BD1"/>
    <w:rsid w:val="00650A45"/>
    <w:rsid w:val="00655D7D"/>
    <w:rsid w:val="006561C2"/>
    <w:rsid w:val="00657676"/>
    <w:rsid w:val="00667E92"/>
    <w:rsid w:val="00671CB3"/>
    <w:rsid w:val="00673959"/>
    <w:rsid w:val="00674BAF"/>
    <w:rsid w:val="00682200"/>
    <w:rsid w:val="00686D43"/>
    <w:rsid w:val="00692BF6"/>
    <w:rsid w:val="00694EE8"/>
    <w:rsid w:val="0069679A"/>
    <w:rsid w:val="006A0BA6"/>
    <w:rsid w:val="006A1497"/>
    <w:rsid w:val="006A2A28"/>
    <w:rsid w:val="006B0BD1"/>
    <w:rsid w:val="006B1FA1"/>
    <w:rsid w:val="006B3CAB"/>
    <w:rsid w:val="006B5404"/>
    <w:rsid w:val="006D20A5"/>
    <w:rsid w:val="006D37BF"/>
    <w:rsid w:val="006F6423"/>
    <w:rsid w:val="007002F1"/>
    <w:rsid w:val="007022F9"/>
    <w:rsid w:val="00702E22"/>
    <w:rsid w:val="00702FA1"/>
    <w:rsid w:val="00706E6C"/>
    <w:rsid w:val="00707B17"/>
    <w:rsid w:val="007132DD"/>
    <w:rsid w:val="0072020E"/>
    <w:rsid w:val="00750950"/>
    <w:rsid w:val="007554D1"/>
    <w:rsid w:val="0076005B"/>
    <w:rsid w:val="00762384"/>
    <w:rsid w:val="00762CCE"/>
    <w:rsid w:val="00785CEF"/>
    <w:rsid w:val="00786071"/>
    <w:rsid w:val="00795DC9"/>
    <w:rsid w:val="007A0635"/>
    <w:rsid w:val="007A1FEF"/>
    <w:rsid w:val="007A3ECB"/>
    <w:rsid w:val="007A472A"/>
    <w:rsid w:val="007A4C1D"/>
    <w:rsid w:val="007A6472"/>
    <w:rsid w:val="007B0239"/>
    <w:rsid w:val="007B21DC"/>
    <w:rsid w:val="007B3190"/>
    <w:rsid w:val="007B38E0"/>
    <w:rsid w:val="007B7612"/>
    <w:rsid w:val="007C3DBB"/>
    <w:rsid w:val="007D7BB3"/>
    <w:rsid w:val="00800310"/>
    <w:rsid w:val="00804B53"/>
    <w:rsid w:val="008120C3"/>
    <w:rsid w:val="008167A3"/>
    <w:rsid w:val="00824AB9"/>
    <w:rsid w:val="00836B35"/>
    <w:rsid w:val="00837340"/>
    <w:rsid w:val="00843BDE"/>
    <w:rsid w:val="008459CD"/>
    <w:rsid w:val="00857834"/>
    <w:rsid w:val="0086274A"/>
    <w:rsid w:val="008648BA"/>
    <w:rsid w:val="0087588C"/>
    <w:rsid w:val="008829A9"/>
    <w:rsid w:val="008832CC"/>
    <w:rsid w:val="0089705C"/>
    <w:rsid w:val="008A6D43"/>
    <w:rsid w:val="008B00C0"/>
    <w:rsid w:val="008B491E"/>
    <w:rsid w:val="008C1A28"/>
    <w:rsid w:val="008C2E98"/>
    <w:rsid w:val="008D1A2A"/>
    <w:rsid w:val="008D27CE"/>
    <w:rsid w:val="008E49BD"/>
    <w:rsid w:val="008E53E9"/>
    <w:rsid w:val="008E5771"/>
    <w:rsid w:val="008F4ACF"/>
    <w:rsid w:val="00914A55"/>
    <w:rsid w:val="00915144"/>
    <w:rsid w:val="00920534"/>
    <w:rsid w:val="00924166"/>
    <w:rsid w:val="00933E82"/>
    <w:rsid w:val="00940B9B"/>
    <w:rsid w:val="00943847"/>
    <w:rsid w:val="0095676E"/>
    <w:rsid w:val="00956983"/>
    <w:rsid w:val="00963CF0"/>
    <w:rsid w:val="009642DE"/>
    <w:rsid w:val="00964BB1"/>
    <w:rsid w:val="009775D9"/>
    <w:rsid w:val="00992223"/>
    <w:rsid w:val="00997175"/>
    <w:rsid w:val="0099792F"/>
    <w:rsid w:val="009A1847"/>
    <w:rsid w:val="009A55E3"/>
    <w:rsid w:val="009B062A"/>
    <w:rsid w:val="009C13A3"/>
    <w:rsid w:val="009C603A"/>
    <w:rsid w:val="009D396F"/>
    <w:rsid w:val="009E7C6F"/>
    <w:rsid w:val="009F1793"/>
    <w:rsid w:val="009F2D23"/>
    <w:rsid w:val="00A01D69"/>
    <w:rsid w:val="00A02335"/>
    <w:rsid w:val="00A02759"/>
    <w:rsid w:val="00A20C6C"/>
    <w:rsid w:val="00A2114A"/>
    <w:rsid w:val="00A25C1D"/>
    <w:rsid w:val="00A40E1A"/>
    <w:rsid w:val="00A46C9A"/>
    <w:rsid w:val="00A5362E"/>
    <w:rsid w:val="00A619F3"/>
    <w:rsid w:val="00A62A73"/>
    <w:rsid w:val="00A64AA9"/>
    <w:rsid w:val="00A73336"/>
    <w:rsid w:val="00A7492F"/>
    <w:rsid w:val="00A82420"/>
    <w:rsid w:val="00A87FF6"/>
    <w:rsid w:val="00A91535"/>
    <w:rsid w:val="00AA0A3B"/>
    <w:rsid w:val="00AA2763"/>
    <w:rsid w:val="00AA33B6"/>
    <w:rsid w:val="00AB1575"/>
    <w:rsid w:val="00AB26DF"/>
    <w:rsid w:val="00AB50CA"/>
    <w:rsid w:val="00AB6D64"/>
    <w:rsid w:val="00AC1347"/>
    <w:rsid w:val="00AC36F7"/>
    <w:rsid w:val="00AC53CE"/>
    <w:rsid w:val="00AD2193"/>
    <w:rsid w:val="00AD4D74"/>
    <w:rsid w:val="00AE1E4B"/>
    <w:rsid w:val="00AF2AC7"/>
    <w:rsid w:val="00AF5112"/>
    <w:rsid w:val="00AF74CE"/>
    <w:rsid w:val="00B071FA"/>
    <w:rsid w:val="00B1401F"/>
    <w:rsid w:val="00B208DB"/>
    <w:rsid w:val="00B23F69"/>
    <w:rsid w:val="00B408F6"/>
    <w:rsid w:val="00B4173E"/>
    <w:rsid w:val="00B42A21"/>
    <w:rsid w:val="00B60619"/>
    <w:rsid w:val="00B66A70"/>
    <w:rsid w:val="00B67366"/>
    <w:rsid w:val="00B72C10"/>
    <w:rsid w:val="00B80EE1"/>
    <w:rsid w:val="00B84135"/>
    <w:rsid w:val="00B96907"/>
    <w:rsid w:val="00BB27A6"/>
    <w:rsid w:val="00BB4A50"/>
    <w:rsid w:val="00BB6033"/>
    <w:rsid w:val="00BC07AB"/>
    <w:rsid w:val="00BD0BE6"/>
    <w:rsid w:val="00BD5508"/>
    <w:rsid w:val="00BE7467"/>
    <w:rsid w:val="00BF1066"/>
    <w:rsid w:val="00C04D34"/>
    <w:rsid w:val="00C05061"/>
    <w:rsid w:val="00C05DF8"/>
    <w:rsid w:val="00C06864"/>
    <w:rsid w:val="00C10F54"/>
    <w:rsid w:val="00C173E0"/>
    <w:rsid w:val="00C17C3A"/>
    <w:rsid w:val="00C23D8D"/>
    <w:rsid w:val="00C37AA3"/>
    <w:rsid w:val="00C37FD7"/>
    <w:rsid w:val="00C43419"/>
    <w:rsid w:val="00C43C71"/>
    <w:rsid w:val="00C44CF3"/>
    <w:rsid w:val="00C518D9"/>
    <w:rsid w:val="00C52938"/>
    <w:rsid w:val="00C53199"/>
    <w:rsid w:val="00C55A78"/>
    <w:rsid w:val="00C56256"/>
    <w:rsid w:val="00C61BE0"/>
    <w:rsid w:val="00C6707E"/>
    <w:rsid w:val="00C70B0E"/>
    <w:rsid w:val="00C7214D"/>
    <w:rsid w:val="00C72F38"/>
    <w:rsid w:val="00C773CA"/>
    <w:rsid w:val="00C77EF3"/>
    <w:rsid w:val="00C8136B"/>
    <w:rsid w:val="00C83785"/>
    <w:rsid w:val="00C87724"/>
    <w:rsid w:val="00C94C0D"/>
    <w:rsid w:val="00CA1FEB"/>
    <w:rsid w:val="00CB67F3"/>
    <w:rsid w:val="00CD4F85"/>
    <w:rsid w:val="00CD6F02"/>
    <w:rsid w:val="00CE246D"/>
    <w:rsid w:val="00CF07A0"/>
    <w:rsid w:val="00CF2DB6"/>
    <w:rsid w:val="00CF3E03"/>
    <w:rsid w:val="00CF719E"/>
    <w:rsid w:val="00D0082A"/>
    <w:rsid w:val="00D04722"/>
    <w:rsid w:val="00D053F5"/>
    <w:rsid w:val="00D21455"/>
    <w:rsid w:val="00D44225"/>
    <w:rsid w:val="00D46383"/>
    <w:rsid w:val="00D47634"/>
    <w:rsid w:val="00D5755D"/>
    <w:rsid w:val="00D709B3"/>
    <w:rsid w:val="00D71865"/>
    <w:rsid w:val="00D7774D"/>
    <w:rsid w:val="00DA2ED6"/>
    <w:rsid w:val="00DB0332"/>
    <w:rsid w:val="00DB2C52"/>
    <w:rsid w:val="00DB5A96"/>
    <w:rsid w:val="00DB76B8"/>
    <w:rsid w:val="00DC2EA1"/>
    <w:rsid w:val="00DC4461"/>
    <w:rsid w:val="00DD05F0"/>
    <w:rsid w:val="00DD0BE5"/>
    <w:rsid w:val="00DD6AAF"/>
    <w:rsid w:val="00DE3F5C"/>
    <w:rsid w:val="00DE6C1B"/>
    <w:rsid w:val="00DF1D20"/>
    <w:rsid w:val="00E05CC5"/>
    <w:rsid w:val="00E11D43"/>
    <w:rsid w:val="00E15745"/>
    <w:rsid w:val="00E21324"/>
    <w:rsid w:val="00E246B9"/>
    <w:rsid w:val="00E253EB"/>
    <w:rsid w:val="00E31FEA"/>
    <w:rsid w:val="00E417E0"/>
    <w:rsid w:val="00E45169"/>
    <w:rsid w:val="00E455D3"/>
    <w:rsid w:val="00E47787"/>
    <w:rsid w:val="00E51C30"/>
    <w:rsid w:val="00E561FB"/>
    <w:rsid w:val="00E64180"/>
    <w:rsid w:val="00E74AEE"/>
    <w:rsid w:val="00E868E5"/>
    <w:rsid w:val="00E879EF"/>
    <w:rsid w:val="00E91543"/>
    <w:rsid w:val="00E9237A"/>
    <w:rsid w:val="00E939FA"/>
    <w:rsid w:val="00E9458C"/>
    <w:rsid w:val="00E97372"/>
    <w:rsid w:val="00EA1D7A"/>
    <w:rsid w:val="00EA5765"/>
    <w:rsid w:val="00EC2532"/>
    <w:rsid w:val="00ED7812"/>
    <w:rsid w:val="00EE7708"/>
    <w:rsid w:val="00EF3B86"/>
    <w:rsid w:val="00EF3E45"/>
    <w:rsid w:val="00F0051D"/>
    <w:rsid w:val="00F07110"/>
    <w:rsid w:val="00F173B7"/>
    <w:rsid w:val="00F20B87"/>
    <w:rsid w:val="00F20DDA"/>
    <w:rsid w:val="00F317E9"/>
    <w:rsid w:val="00F34554"/>
    <w:rsid w:val="00F4354E"/>
    <w:rsid w:val="00F444D2"/>
    <w:rsid w:val="00F45F77"/>
    <w:rsid w:val="00F5167F"/>
    <w:rsid w:val="00F52258"/>
    <w:rsid w:val="00F6119A"/>
    <w:rsid w:val="00F62F94"/>
    <w:rsid w:val="00F6300A"/>
    <w:rsid w:val="00F7066B"/>
    <w:rsid w:val="00F72609"/>
    <w:rsid w:val="00F8570A"/>
    <w:rsid w:val="00F90FF2"/>
    <w:rsid w:val="00F91C7B"/>
    <w:rsid w:val="00FA1E5C"/>
    <w:rsid w:val="00FA2309"/>
    <w:rsid w:val="00FC62E3"/>
    <w:rsid w:val="00FD2F34"/>
    <w:rsid w:val="00FD63C2"/>
    <w:rsid w:val="00FF0BB9"/>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698CE"/>
  <w15:docId w15:val="{ECC3D601-0B7A-4CE5-B3D4-DE0AAC69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9F6"/>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E05CC5"/>
    <w:pPr>
      <w:autoSpaceDE w:val="0"/>
      <w:autoSpaceDN w:val="0"/>
      <w:adjustRightInd w:val="0"/>
    </w:pPr>
    <w:rPr>
      <w:color w:val="000000"/>
      <w:sz w:val="24"/>
      <w:szCs w:val="24"/>
      <w:lang w:val="hr-HR" w:eastAsia="hr-HR"/>
    </w:rPr>
  </w:style>
  <w:style w:type="character" w:customStyle="1" w:styleId="HeaderChar">
    <w:name w:val="Header Char"/>
    <w:link w:val="Header"/>
    <w:rsid w:val="00445585"/>
    <w:rPr>
      <w:sz w:val="24"/>
      <w:szCs w:val="24"/>
      <w:lang w:val="en-US" w:eastAsia="en-US"/>
    </w:rPr>
  </w:style>
  <w:style w:type="paragraph" w:styleId="ListParagraph">
    <w:name w:val="List Paragraph"/>
    <w:basedOn w:val="Normal"/>
    <w:uiPriority w:val="34"/>
    <w:qFormat/>
    <w:rsid w:val="004963C6"/>
    <w:pPr>
      <w:ind w:left="720"/>
      <w:contextualSpacing/>
    </w:pPr>
  </w:style>
  <w:style w:type="paragraph" w:styleId="ListNumber">
    <w:name w:val="List Number"/>
    <w:basedOn w:val="Normal"/>
    <w:rsid w:val="00275364"/>
    <w:pPr>
      <w:numPr>
        <w:numId w:val="16"/>
      </w:numPr>
    </w:pPr>
    <w:rPr>
      <w:rFonts w:ascii="Arial" w:hAnsi="Arial"/>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AA2F-A69E-4E94-B27F-05651743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12</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28492</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Gordana Boljević</cp:lastModifiedBy>
  <cp:revision>119</cp:revision>
  <cp:lastPrinted>2023-01-19T10:32:00Z</cp:lastPrinted>
  <dcterms:created xsi:type="dcterms:W3CDTF">2023-01-19T08:17:00Z</dcterms:created>
  <dcterms:modified xsi:type="dcterms:W3CDTF">2023-11-17T10:50:00Z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