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24AF9" w14:textId="77777777" w:rsidR="001A5518" w:rsidRPr="00461F66" w:rsidRDefault="001A5518" w:rsidP="00CC415C">
      <w:pPr>
        <w:jc w:val="both"/>
        <w:rPr>
          <w:b/>
          <w:bCs/>
          <w:i/>
          <w:iCs/>
          <w:sz w:val="22"/>
          <w:szCs w:val="22"/>
          <w:u w:val="single"/>
          <w:lang w:val="sr-Latn-ME"/>
        </w:rPr>
      </w:pPr>
    </w:p>
    <w:p w14:paraId="6D92E867" w14:textId="77777777" w:rsidR="00F91C7B" w:rsidRPr="00461F66" w:rsidRDefault="00F91C7B" w:rsidP="00CC415C">
      <w:pPr>
        <w:jc w:val="both"/>
        <w:rPr>
          <w:b/>
          <w:bCs/>
          <w:i/>
          <w:iCs/>
          <w:sz w:val="22"/>
          <w:szCs w:val="22"/>
          <w:u w:val="single"/>
          <w:lang w:val="sr-Latn-ME"/>
        </w:rPr>
      </w:pPr>
    </w:p>
    <w:p w14:paraId="37EAAF3B" w14:textId="4381479F" w:rsidR="002510A5" w:rsidRPr="00461F66" w:rsidRDefault="00CC415C" w:rsidP="00CC415C">
      <w:pPr>
        <w:jc w:val="both"/>
        <w:rPr>
          <w:b/>
          <w:bCs/>
          <w:iCs/>
          <w:sz w:val="22"/>
          <w:szCs w:val="22"/>
          <w:u w:val="single"/>
          <w:lang w:val="sr-Latn-ME"/>
        </w:rPr>
      </w:pPr>
      <w:r w:rsidRPr="00461F66">
        <w:rPr>
          <w:b/>
          <w:bCs/>
          <w:iCs/>
          <w:sz w:val="22"/>
          <w:szCs w:val="22"/>
          <w:lang w:val="sr-Latn-ME"/>
        </w:rPr>
        <w:t xml:space="preserve">                                                    </w:t>
      </w:r>
      <w:r w:rsidR="002510A5" w:rsidRPr="00461F66">
        <w:rPr>
          <w:b/>
          <w:bCs/>
          <w:iCs/>
          <w:sz w:val="22"/>
          <w:szCs w:val="22"/>
          <w:u w:val="single"/>
          <w:lang w:val="sr-Latn-ME"/>
        </w:rPr>
        <w:t>SAŽETAK KARAKTERISTIKA LIJEKA</w:t>
      </w:r>
    </w:p>
    <w:p w14:paraId="41512EFE" w14:textId="77777777" w:rsidR="002510A5" w:rsidRPr="00461F66" w:rsidRDefault="002510A5" w:rsidP="00CC415C">
      <w:pPr>
        <w:jc w:val="both"/>
        <w:rPr>
          <w:b/>
          <w:bCs/>
          <w:i/>
          <w:iCs/>
          <w:sz w:val="22"/>
          <w:szCs w:val="22"/>
          <w:u w:val="single"/>
          <w:lang w:val="sr-Latn-ME"/>
        </w:rPr>
      </w:pPr>
    </w:p>
    <w:p w14:paraId="6284A7D4" w14:textId="618FDB71" w:rsidR="003C17AB" w:rsidRPr="00461F66" w:rsidRDefault="003C17AB" w:rsidP="00CC415C">
      <w:pPr>
        <w:jc w:val="both"/>
        <w:rPr>
          <w:sz w:val="22"/>
          <w:szCs w:val="22"/>
          <w:u w:val="single"/>
          <w:lang w:val="sr-Latn-ME"/>
        </w:rPr>
      </w:pPr>
    </w:p>
    <w:p w14:paraId="0776490E" w14:textId="77777777" w:rsidR="00C37FD7" w:rsidRPr="00461F66" w:rsidRDefault="00C37FD7" w:rsidP="00CC415C">
      <w:pPr>
        <w:tabs>
          <w:tab w:val="left" w:pos="540"/>
          <w:tab w:val="left" w:pos="569"/>
        </w:tabs>
        <w:jc w:val="both"/>
        <w:rPr>
          <w:bCs/>
          <w:sz w:val="22"/>
          <w:szCs w:val="22"/>
          <w:lang w:val="sr-Latn-ME"/>
        </w:rPr>
      </w:pPr>
    </w:p>
    <w:p w14:paraId="5FDD5874" w14:textId="77777777" w:rsidR="00411B4B" w:rsidRPr="00461F66" w:rsidRDefault="00411B4B" w:rsidP="00CC415C">
      <w:pPr>
        <w:tabs>
          <w:tab w:val="left" w:pos="540"/>
          <w:tab w:val="left" w:pos="569"/>
        </w:tabs>
        <w:jc w:val="both"/>
        <w:rPr>
          <w:b/>
          <w:bCs/>
          <w:sz w:val="22"/>
          <w:szCs w:val="22"/>
          <w:lang w:val="sr-Latn-ME"/>
        </w:rPr>
      </w:pPr>
      <w:r w:rsidRPr="00461F66">
        <w:rPr>
          <w:b/>
          <w:bCs/>
          <w:sz w:val="22"/>
          <w:szCs w:val="22"/>
          <w:lang w:val="sr-Latn-ME"/>
        </w:rPr>
        <w:t>1.</w:t>
      </w:r>
      <w:r w:rsidR="00F5167F" w:rsidRPr="00461F66">
        <w:rPr>
          <w:b/>
          <w:bCs/>
          <w:sz w:val="22"/>
          <w:szCs w:val="22"/>
          <w:lang w:val="sr-Latn-ME"/>
        </w:rPr>
        <w:tab/>
      </w:r>
      <w:r w:rsidR="002846DB" w:rsidRPr="00461F66">
        <w:rPr>
          <w:b/>
          <w:bCs/>
          <w:sz w:val="22"/>
          <w:szCs w:val="22"/>
          <w:lang w:val="sr-Latn-ME"/>
        </w:rPr>
        <w:t xml:space="preserve">NAZIV </w:t>
      </w:r>
      <w:r w:rsidRPr="00461F66">
        <w:rPr>
          <w:b/>
          <w:bCs/>
          <w:sz w:val="22"/>
          <w:szCs w:val="22"/>
          <w:lang w:val="sr-Latn-ME"/>
        </w:rPr>
        <w:t>LIJEKA</w:t>
      </w:r>
    </w:p>
    <w:p w14:paraId="49974716" w14:textId="77777777" w:rsidR="00EC2532" w:rsidRPr="00461F66" w:rsidRDefault="00EC2532" w:rsidP="00CC415C">
      <w:pPr>
        <w:jc w:val="both"/>
        <w:rPr>
          <w:sz w:val="22"/>
          <w:szCs w:val="22"/>
          <w:lang w:val="sr-Latn-ME"/>
        </w:rPr>
      </w:pPr>
    </w:p>
    <w:p w14:paraId="57182C76" w14:textId="77777777"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Rextol, 5 mikrograma/ml, rastvor za injekciju</w:t>
      </w:r>
    </w:p>
    <w:p w14:paraId="4B8EF4E1" w14:textId="556E84DB" w:rsidR="00107BF7" w:rsidRPr="00461F66" w:rsidRDefault="00B851E2" w:rsidP="00CC415C">
      <w:pPr>
        <w:jc w:val="both"/>
        <w:rPr>
          <w:i/>
          <w:iCs/>
          <w:color w:val="808080"/>
          <w:sz w:val="22"/>
          <w:szCs w:val="22"/>
          <w:lang w:val="sr-Latn-ME"/>
        </w:rPr>
      </w:pPr>
      <w:r w:rsidRPr="00461F66">
        <w:rPr>
          <w:sz w:val="22"/>
          <w:szCs w:val="22"/>
          <w:lang w:val="sr-Latn-ME" w:eastAsia="sr-Latn-ME"/>
        </w:rPr>
        <w:t>INN: parikalcitol</w:t>
      </w:r>
    </w:p>
    <w:p w14:paraId="29C642B6" w14:textId="77777777" w:rsidR="006D20A5" w:rsidRPr="00461F66" w:rsidRDefault="006D20A5" w:rsidP="00CC415C">
      <w:pPr>
        <w:jc w:val="both"/>
        <w:rPr>
          <w:bCs/>
          <w:sz w:val="22"/>
          <w:szCs w:val="22"/>
          <w:lang w:val="sr-Latn-ME"/>
        </w:rPr>
      </w:pPr>
    </w:p>
    <w:p w14:paraId="35FA0D85" w14:textId="77777777" w:rsidR="00530BD7" w:rsidRPr="00461F66" w:rsidRDefault="00530BD7" w:rsidP="00CC415C">
      <w:pPr>
        <w:jc w:val="both"/>
        <w:rPr>
          <w:bCs/>
          <w:sz w:val="22"/>
          <w:szCs w:val="22"/>
          <w:lang w:val="sr-Latn-ME"/>
        </w:rPr>
      </w:pPr>
    </w:p>
    <w:p w14:paraId="54E57325" w14:textId="77777777" w:rsidR="00411B4B" w:rsidRPr="00461F66" w:rsidRDefault="00411B4B" w:rsidP="00CC415C">
      <w:pPr>
        <w:tabs>
          <w:tab w:val="left" w:pos="540"/>
          <w:tab w:val="left" w:pos="569"/>
        </w:tabs>
        <w:jc w:val="both"/>
        <w:rPr>
          <w:b/>
          <w:bCs/>
          <w:sz w:val="22"/>
          <w:szCs w:val="22"/>
          <w:lang w:val="sr-Latn-ME"/>
        </w:rPr>
      </w:pPr>
      <w:r w:rsidRPr="00461F66">
        <w:rPr>
          <w:b/>
          <w:bCs/>
          <w:sz w:val="22"/>
          <w:szCs w:val="22"/>
          <w:lang w:val="sr-Latn-ME"/>
        </w:rPr>
        <w:t xml:space="preserve">2. </w:t>
      </w:r>
      <w:r w:rsidR="00F5167F" w:rsidRPr="00461F66">
        <w:rPr>
          <w:b/>
          <w:bCs/>
          <w:sz w:val="22"/>
          <w:szCs w:val="22"/>
          <w:lang w:val="sr-Latn-ME"/>
        </w:rPr>
        <w:tab/>
      </w:r>
      <w:r w:rsidRPr="00461F66">
        <w:rPr>
          <w:b/>
          <w:bCs/>
          <w:sz w:val="22"/>
          <w:szCs w:val="22"/>
          <w:lang w:val="sr-Latn-ME"/>
        </w:rPr>
        <w:t>KVALITATIVNI I KVANTITATIVNI SASTAV</w:t>
      </w:r>
    </w:p>
    <w:p w14:paraId="017F2564" w14:textId="77777777" w:rsidR="005A0B2E" w:rsidRPr="00461F66" w:rsidRDefault="005A0B2E" w:rsidP="00CC415C">
      <w:pPr>
        <w:jc w:val="both"/>
        <w:rPr>
          <w:sz w:val="22"/>
          <w:szCs w:val="22"/>
          <w:lang w:val="sr-Latn-ME"/>
        </w:rPr>
      </w:pPr>
    </w:p>
    <w:p w14:paraId="60C63DC8" w14:textId="77777777" w:rsidR="00B851E2" w:rsidRPr="00461F66" w:rsidRDefault="00B851E2" w:rsidP="00CC415C">
      <w:pPr>
        <w:jc w:val="both"/>
        <w:rPr>
          <w:sz w:val="22"/>
          <w:szCs w:val="22"/>
          <w:lang w:val="sr-Latn-ME"/>
        </w:rPr>
      </w:pPr>
      <w:r w:rsidRPr="00461F66">
        <w:rPr>
          <w:sz w:val="22"/>
          <w:szCs w:val="22"/>
          <w:lang w:val="sr-Latn-ME"/>
        </w:rPr>
        <w:t>Jedan ml rastvora za injekciju sadrži 5 mikrograma parikalcitola.</w:t>
      </w:r>
      <w:r w:rsidRPr="00461F66">
        <w:rPr>
          <w:sz w:val="22"/>
          <w:szCs w:val="22"/>
          <w:lang w:val="sr-Latn-ME"/>
        </w:rPr>
        <w:tab/>
      </w:r>
    </w:p>
    <w:p w14:paraId="70F6775A" w14:textId="6CBFC472" w:rsidR="00B851E2" w:rsidRPr="00461F66" w:rsidRDefault="00B851E2" w:rsidP="00CC415C">
      <w:pPr>
        <w:jc w:val="both"/>
        <w:rPr>
          <w:sz w:val="22"/>
          <w:szCs w:val="22"/>
          <w:lang w:val="sr-Latn-ME"/>
        </w:rPr>
      </w:pPr>
      <w:r w:rsidRPr="00461F66">
        <w:rPr>
          <w:sz w:val="22"/>
          <w:szCs w:val="22"/>
          <w:lang w:val="sr-Latn-ME"/>
        </w:rPr>
        <w:t>Pomoćne supstance sa potvrđenim dejstvom: etanol, bezvodni (11% v/v, 0</w:t>
      </w:r>
      <w:r w:rsidR="00461F66">
        <w:rPr>
          <w:sz w:val="22"/>
          <w:szCs w:val="22"/>
          <w:lang w:val="sr-Latn-ME"/>
        </w:rPr>
        <w:t>.</w:t>
      </w:r>
      <w:r w:rsidRPr="00461F66">
        <w:rPr>
          <w:sz w:val="22"/>
          <w:szCs w:val="22"/>
          <w:lang w:val="sr-Latn-ME"/>
        </w:rPr>
        <w:t>110 ml/ml), propilen</w:t>
      </w:r>
      <w:r w:rsidR="00461F66">
        <w:rPr>
          <w:sz w:val="22"/>
          <w:szCs w:val="22"/>
          <w:lang w:val="sr-Latn-ME"/>
        </w:rPr>
        <w:t xml:space="preserve"> </w:t>
      </w:r>
      <w:r w:rsidRPr="00461F66">
        <w:rPr>
          <w:sz w:val="22"/>
          <w:szCs w:val="22"/>
          <w:lang w:val="sr-Latn-ME"/>
        </w:rPr>
        <w:t>glikol.</w:t>
      </w:r>
    </w:p>
    <w:p w14:paraId="521929C9" w14:textId="77777777" w:rsidR="00B851E2" w:rsidRPr="00461F66" w:rsidRDefault="00B851E2" w:rsidP="00CC415C">
      <w:pPr>
        <w:jc w:val="both"/>
        <w:rPr>
          <w:sz w:val="22"/>
          <w:szCs w:val="22"/>
          <w:lang w:val="sr-Latn-ME"/>
        </w:rPr>
      </w:pPr>
    </w:p>
    <w:p w14:paraId="05CA23BB" w14:textId="3A4DB4AD" w:rsidR="0003793F" w:rsidRPr="00461F66" w:rsidRDefault="0003793F" w:rsidP="00CC415C">
      <w:pPr>
        <w:jc w:val="both"/>
        <w:rPr>
          <w:sz w:val="22"/>
          <w:szCs w:val="22"/>
          <w:lang w:val="sr-Latn-ME"/>
        </w:rPr>
      </w:pPr>
      <w:r w:rsidRPr="00461F66">
        <w:rPr>
          <w:sz w:val="22"/>
          <w:szCs w:val="22"/>
          <w:lang w:val="sr-Latn-ME"/>
        </w:rPr>
        <w:t>Za spisak svih ekscipijenasa, pogledati dio 6.1.</w:t>
      </w:r>
    </w:p>
    <w:p w14:paraId="36C96B77" w14:textId="77777777" w:rsidR="0003793F" w:rsidRPr="00461F66" w:rsidRDefault="0003793F" w:rsidP="00CC415C">
      <w:pPr>
        <w:jc w:val="both"/>
        <w:rPr>
          <w:sz w:val="22"/>
          <w:szCs w:val="22"/>
          <w:lang w:val="sr-Latn-ME"/>
        </w:rPr>
      </w:pPr>
    </w:p>
    <w:p w14:paraId="682C91D9" w14:textId="77777777" w:rsidR="00C37FD7" w:rsidRPr="00461F66" w:rsidRDefault="00C37FD7" w:rsidP="00CC415C">
      <w:pPr>
        <w:jc w:val="both"/>
        <w:rPr>
          <w:sz w:val="22"/>
          <w:szCs w:val="22"/>
          <w:lang w:val="sr-Latn-ME"/>
        </w:rPr>
      </w:pPr>
    </w:p>
    <w:p w14:paraId="10E415B7" w14:textId="77777777" w:rsidR="00411B4B" w:rsidRPr="00461F66" w:rsidRDefault="00411B4B" w:rsidP="00CC415C">
      <w:pPr>
        <w:tabs>
          <w:tab w:val="left" w:pos="540"/>
          <w:tab w:val="left" w:pos="569"/>
        </w:tabs>
        <w:jc w:val="both"/>
        <w:rPr>
          <w:b/>
          <w:bCs/>
          <w:sz w:val="22"/>
          <w:szCs w:val="22"/>
          <w:lang w:val="sr-Latn-ME"/>
        </w:rPr>
      </w:pPr>
      <w:r w:rsidRPr="00461F66">
        <w:rPr>
          <w:b/>
          <w:bCs/>
          <w:sz w:val="22"/>
          <w:szCs w:val="22"/>
          <w:lang w:val="sr-Latn-ME"/>
        </w:rPr>
        <w:t xml:space="preserve">3. </w:t>
      </w:r>
      <w:r w:rsidR="00F5167F" w:rsidRPr="00461F66">
        <w:rPr>
          <w:b/>
          <w:bCs/>
          <w:sz w:val="22"/>
          <w:szCs w:val="22"/>
          <w:lang w:val="sr-Latn-ME"/>
        </w:rPr>
        <w:tab/>
      </w:r>
      <w:r w:rsidRPr="00461F66">
        <w:rPr>
          <w:b/>
          <w:bCs/>
          <w:sz w:val="22"/>
          <w:szCs w:val="22"/>
          <w:lang w:val="sr-Latn-ME"/>
        </w:rPr>
        <w:t>FARMACEUTSKI OBLIK</w:t>
      </w:r>
      <w:r w:rsidR="009F2D23" w:rsidRPr="00461F66">
        <w:rPr>
          <w:b/>
          <w:bCs/>
          <w:sz w:val="22"/>
          <w:szCs w:val="22"/>
          <w:lang w:val="sr-Latn-ME"/>
        </w:rPr>
        <w:t xml:space="preserve"> </w:t>
      </w:r>
    </w:p>
    <w:p w14:paraId="1921C5D4" w14:textId="77777777" w:rsidR="00411B4B" w:rsidRPr="00461F66" w:rsidRDefault="00411B4B" w:rsidP="00CC415C">
      <w:pPr>
        <w:jc w:val="both"/>
        <w:rPr>
          <w:bCs/>
          <w:sz w:val="22"/>
          <w:szCs w:val="22"/>
          <w:lang w:val="sr-Latn-ME"/>
        </w:rPr>
      </w:pPr>
    </w:p>
    <w:p w14:paraId="179158DB" w14:textId="77777777" w:rsidR="00B851E2" w:rsidRPr="00461F66" w:rsidRDefault="00B851E2" w:rsidP="00CC415C">
      <w:pPr>
        <w:jc w:val="both"/>
        <w:rPr>
          <w:bCs/>
          <w:sz w:val="22"/>
          <w:szCs w:val="22"/>
          <w:lang w:val="sr-Latn-ME"/>
        </w:rPr>
      </w:pPr>
      <w:r w:rsidRPr="00461F66">
        <w:rPr>
          <w:bCs/>
          <w:sz w:val="22"/>
          <w:szCs w:val="22"/>
          <w:lang w:val="sr-Latn-ME"/>
        </w:rPr>
        <w:t>Rastvor za injekciju.</w:t>
      </w:r>
    </w:p>
    <w:p w14:paraId="28D69711" w14:textId="3E0A9550" w:rsidR="00B851E2" w:rsidRPr="00461F66" w:rsidRDefault="00B851E2" w:rsidP="00CC415C">
      <w:pPr>
        <w:jc w:val="both"/>
        <w:rPr>
          <w:bCs/>
          <w:sz w:val="22"/>
          <w:szCs w:val="22"/>
          <w:lang w:val="sr-Latn-ME"/>
        </w:rPr>
      </w:pPr>
      <w:r w:rsidRPr="00461F66">
        <w:rPr>
          <w:bCs/>
          <w:sz w:val="22"/>
          <w:szCs w:val="22"/>
          <w:lang w:val="sr-Latn-ME"/>
        </w:rPr>
        <w:t>Bistar, bezbojan vodeni rastvor, bez vidljivih čestica.</w:t>
      </w:r>
    </w:p>
    <w:p w14:paraId="3FAF2045" w14:textId="77777777" w:rsidR="00EC2532" w:rsidRPr="00461F66" w:rsidRDefault="00EC2532" w:rsidP="00CC415C">
      <w:pPr>
        <w:jc w:val="both"/>
        <w:rPr>
          <w:bCs/>
          <w:sz w:val="22"/>
          <w:szCs w:val="22"/>
          <w:lang w:val="sr-Latn-ME"/>
        </w:rPr>
      </w:pPr>
    </w:p>
    <w:p w14:paraId="3C75D121" w14:textId="77777777" w:rsidR="00411B4B" w:rsidRPr="00461F66" w:rsidRDefault="00411B4B" w:rsidP="00CC415C">
      <w:pPr>
        <w:tabs>
          <w:tab w:val="left" w:pos="540"/>
          <w:tab w:val="left" w:pos="569"/>
        </w:tabs>
        <w:jc w:val="both"/>
        <w:rPr>
          <w:b/>
          <w:bCs/>
          <w:sz w:val="22"/>
          <w:szCs w:val="22"/>
          <w:lang w:val="sr-Latn-ME"/>
        </w:rPr>
      </w:pPr>
      <w:r w:rsidRPr="00461F66">
        <w:rPr>
          <w:b/>
          <w:bCs/>
          <w:sz w:val="22"/>
          <w:szCs w:val="22"/>
          <w:lang w:val="sr-Latn-ME"/>
        </w:rPr>
        <w:t xml:space="preserve">4. </w:t>
      </w:r>
      <w:r w:rsidR="00480FB1" w:rsidRPr="00461F66">
        <w:rPr>
          <w:b/>
          <w:bCs/>
          <w:sz w:val="22"/>
          <w:szCs w:val="22"/>
          <w:lang w:val="sr-Latn-ME"/>
        </w:rPr>
        <w:tab/>
      </w:r>
      <w:r w:rsidRPr="00461F66">
        <w:rPr>
          <w:b/>
          <w:bCs/>
          <w:sz w:val="22"/>
          <w:szCs w:val="22"/>
          <w:lang w:val="sr-Latn-ME"/>
        </w:rPr>
        <w:t>KLINIČKI PODACI</w:t>
      </w:r>
    </w:p>
    <w:p w14:paraId="0EE4C592" w14:textId="77777777" w:rsidR="00CD6F02" w:rsidRPr="00461F66" w:rsidRDefault="00CD6F02" w:rsidP="00CC415C">
      <w:pPr>
        <w:tabs>
          <w:tab w:val="left" w:pos="540"/>
          <w:tab w:val="left" w:pos="569"/>
        </w:tabs>
        <w:jc w:val="both"/>
        <w:rPr>
          <w:bCs/>
          <w:sz w:val="22"/>
          <w:szCs w:val="22"/>
          <w:lang w:val="sr-Latn-ME"/>
        </w:rPr>
      </w:pPr>
    </w:p>
    <w:p w14:paraId="797C18B3" w14:textId="77777777" w:rsidR="00411B4B" w:rsidRPr="00461F66" w:rsidRDefault="00411B4B" w:rsidP="00CC415C">
      <w:pPr>
        <w:tabs>
          <w:tab w:val="left" w:pos="540"/>
          <w:tab w:val="left" w:pos="569"/>
        </w:tabs>
        <w:jc w:val="both"/>
        <w:rPr>
          <w:b/>
          <w:bCs/>
          <w:sz w:val="22"/>
          <w:szCs w:val="22"/>
          <w:lang w:val="sr-Latn-ME"/>
        </w:rPr>
      </w:pPr>
      <w:r w:rsidRPr="00461F66">
        <w:rPr>
          <w:b/>
          <w:bCs/>
          <w:sz w:val="22"/>
          <w:szCs w:val="22"/>
          <w:lang w:val="sr-Latn-ME"/>
        </w:rPr>
        <w:t xml:space="preserve">4.1. </w:t>
      </w:r>
      <w:r w:rsidR="00480FB1" w:rsidRPr="00461F66">
        <w:rPr>
          <w:b/>
          <w:bCs/>
          <w:sz w:val="22"/>
          <w:szCs w:val="22"/>
          <w:lang w:val="sr-Latn-ME"/>
        </w:rPr>
        <w:tab/>
      </w:r>
      <w:r w:rsidRPr="00461F66">
        <w:rPr>
          <w:b/>
          <w:bCs/>
          <w:sz w:val="22"/>
          <w:szCs w:val="22"/>
          <w:lang w:val="sr-Latn-ME"/>
        </w:rPr>
        <w:t>Terapijske indikacije</w:t>
      </w:r>
    </w:p>
    <w:p w14:paraId="14798061" w14:textId="77777777" w:rsidR="00B851E2" w:rsidRPr="00461F66" w:rsidRDefault="00B851E2" w:rsidP="00CC415C">
      <w:pPr>
        <w:tabs>
          <w:tab w:val="left" w:pos="540"/>
          <w:tab w:val="left" w:pos="569"/>
        </w:tabs>
        <w:jc w:val="both"/>
        <w:rPr>
          <w:b/>
          <w:bCs/>
          <w:sz w:val="22"/>
          <w:szCs w:val="22"/>
          <w:lang w:val="sr-Latn-ME"/>
        </w:rPr>
      </w:pPr>
    </w:p>
    <w:p w14:paraId="28CC80BE" w14:textId="6A5B1707" w:rsidR="00411B4B" w:rsidRPr="00461F66" w:rsidRDefault="00B851E2" w:rsidP="00CC415C">
      <w:pPr>
        <w:tabs>
          <w:tab w:val="left" w:pos="540"/>
          <w:tab w:val="left" w:pos="569"/>
        </w:tabs>
        <w:jc w:val="both"/>
        <w:rPr>
          <w:bCs/>
          <w:sz w:val="22"/>
          <w:szCs w:val="22"/>
          <w:lang w:val="sr-Latn-ME"/>
        </w:rPr>
      </w:pPr>
      <w:r w:rsidRPr="00461F66">
        <w:rPr>
          <w:bCs/>
          <w:sz w:val="22"/>
          <w:szCs w:val="22"/>
          <w:lang w:val="sr-Latn-ME"/>
        </w:rPr>
        <w:t xml:space="preserve">Parikalcitol je indikovan za </w:t>
      </w:r>
      <w:r w:rsidR="00982F6E" w:rsidRPr="00461F66">
        <w:rPr>
          <w:bCs/>
          <w:sz w:val="22"/>
          <w:szCs w:val="22"/>
          <w:lang w:val="sr-Latn-ME"/>
        </w:rPr>
        <w:t>prevenciju</w:t>
      </w:r>
      <w:r w:rsidRPr="00461F66">
        <w:rPr>
          <w:bCs/>
          <w:sz w:val="22"/>
          <w:szCs w:val="22"/>
          <w:lang w:val="sr-Latn-ME"/>
        </w:rPr>
        <w:t xml:space="preserve"> i liječenje sekundarnog hiperparatireoidizma kod pacijenata sa hroničnim oboljenjem bubrega, koji su na hemodijalizi.</w:t>
      </w:r>
    </w:p>
    <w:p w14:paraId="60639599" w14:textId="77777777" w:rsidR="00B851E2" w:rsidRPr="00461F66" w:rsidRDefault="00B851E2" w:rsidP="00CC415C">
      <w:pPr>
        <w:tabs>
          <w:tab w:val="left" w:pos="540"/>
          <w:tab w:val="left" w:pos="569"/>
        </w:tabs>
        <w:jc w:val="both"/>
        <w:rPr>
          <w:bCs/>
          <w:sz w:val="22"/>
          <w:szCs w:val="22"/>
          <w:lang w:val="sr-Latn-ME"/>
        </w:rPr>
      </w:pPr>
    </w:p>
    <w:p w14:paraId="4873BA49" w14:textId="77777777" w:rsidR="00411B4B" w:rsidRPr="00461F66" w:rsidRDefault="00411B4B" w:rsidP="00CC415C">
      <w:pPr>
        <w:tabs>
          <w:tab w:val="left" w:pos="540"/>
          <w:tab w:val="left" w:pos="569"/>
        </w:tabs>
        <w:jc w:val="both"/>
        <w:rPr>
          <w:b/>
          <w:bCs/>
          <w:sz w:val="22"/>
          <w:szCs w:val="22"/>
          <w:lang w:val="sr-Latn-ME"/>
        </w:rPr>
      </w:pPr>
      <w:r w:rsidRPr="00461F66">
        <w:rPr>
          <w:b/>
          <w:bCs/>
          <w:sz w:val="22"/>
          <w:szCs w:val="22"/>
          <w:lang w:val="sr-Latn-ME"/>
        </w:rPr>
        <w:t xml:space="preserve">4.2. </w:t>
      </w:r>
      <w:r w:rsidR="00480FB1" w:rsidRPr="00461F66">
        <w:rPr>
          <w:b/>
          <w:bCs/>
          <w:sz w:val="22"/>
          <w:szCs w:val="22"/>
          <w:lang w:val="sr-Latn-ME"/>
        </w:rPr>
        <w:tab/>
      </w:r>
      <w:r w:rsidRPr="00461F66">
        <w:rPr>
          <w:b/>
          <w:bCs/>
          <w:sz w:val="22"/>
          <w:szCs w:val="22"/>
          <w:lang w:val="sr-Latn-ME"/>
        </w:rPr>
        <w:t>Doziranje i način primjene</w:t>
      </w:r>
    </w:p>
    <w:p w14:paraId="1ABE6461" w14:textId="77777777" w:rsidR="0072020E" w:rsidRPr="00461F66" w:rsidRDefault="0072020E" w:rsidP="00CC415C">
      <w:pPr>
        <w:tabs>
          <w:tab w:val="left" w:pos="540"/>
          <w:tab w:val="left" w:pos="569"/>
        </w:tabs>
        <w:jc w:val="both"/>
        <w:rPr>
          <w:bCs/>
          <w:sz w:val="22"/>
          <w:szCs w:val="22"/>
          <w:lang w:val="sr-Latn-ME"/>
        </w:rPr>
      </w:pPr>
    </w:p>
    <w:p w14:paraId="32131648"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Lijek Rextol, rastvor za injekciju daje se kroz centralnu liniju za vrijeme hemodijalize.</w:t>
      </w:r>
    </w:p>
    <w:p w14:paraId="333FCFC9" w14:textId="77777777" w:rsidR="00B851E2" w:rsidRPr="00461F66" w:rsidRDefault="00B851E2" w:rsidP="00CC415C">
      <w:pPr>
        <w:tabs>
          <w:tab w:val="left" w:pos="540"/>
          <w:tab w:val="left" w:pos="569"/>
        </w:tabs>
        <w:jc w:val="both"/>
        <w:rPr>
          <w:bCs/>
          <w:sz w:val="22"/>
          <w:szCs w:val="22"/>
          <w:lang w:val="sr-Latn-ME"/>
        </w:rPr>
      </w:pPr>
    </w:p>
    <w:p w14:paraId="151D9942" w14:textId="77777777" w:rsidR="00452E9D" w:rsidRPr="00461F66" w:rsidRDefault="00452E9D" w:rsidP="00CC415C">
      <w:pPr>
        <w:tabs>
          <w:tab w:val="left" w:pos="540"/>
          <w:tab w:val="left" w:pos="569"/>
        </w:tabs>
        <w:jc w:val="both"/>
        <w:rPr>
          <w:bCs/>
          <w:sz w:val="22"/>
          <w:szCs w:val="22"/>
          <w:u w:val="single"/>
          <w:lang w:val="sr-Latn-ME"/>
        </w:rPr>
      </w:pPr>
      <w:r w:rsidRPr="00461F66">
        <w:rPr>
          <w:bCs/>
          <w:sz w:val="22"/>
          <w:szCs w:val="22"/>
          <w:u w:val="single"/>
          <w:lang w:val="sr-Latn-ME"/>
        </w:rPr>
        <w:t>Doziranje</w:t>
      </w:r>
    </w:p>
    <w:p w14:paraId="2B8D3F69" w14:textId="77777777" w:rsidR="00452E9D" w:rsidRPr="00461F66" w:rsidRDefault="00452E9D" w:rsidP="00CC415C">
      <w:pPr>
        <w:tabs>
          <w:tab w:val="left" w:pos="540"/>
          <w:tab w:val="left" w:pos="569"/>
        </w:tabs>
        <w:jc w:val="both"/>
        <w:rPr>
          <w:bCs/>
          <w:sz w:val="22"/>
          <w:szCs w:val="22"/>
          <w:u w:val="single"/>
          <w:lang w:val="sr-Latn-ME"/>
        </w:rPr>
      </w:pPr>
    </w:p>
    <w:p w14:paraId="74667DCA" w14:textId="77777777" w:rsidR="00B851E2" w:rsidRPr="00461F66" w:rsidRDefault="00B851E2" w:rsidP="00CC415C">
      <w:pPr>
        <w:tabs>
          <w:tab w:val="left" w:pos="540"/>
          <w:tab w:val="left" w:pos="569"/>
        </w:tabs>
        <w:jc w:val="both"/>
        <w:rPr>
          <w:bCs/>
          <w:sz w:val="22"/>
          <w:szCs w:val="22"/>
          <w:u w:val="single"/>
          <w:lang w:val="sr-Latn-ME"/>
        </w:rPr>
      </w:pPr>
      <w:r w:rsidRPr="00461F66">
        <w:rPr>
          <w:bCs/>
          <w:sz w:val="22"/>
          <w:szCs w:val="22"/>
          <w:u w:val="single"/>
          <w:lang w:val="sr-Latn-ME"/>
        </w:rPr>
        <w:t>Odrasli</w:t>
      </w:r>
    </w:p>
    <w:p w14:paraId="1AF4988F" w14:textId="6E8367F4" w:rsidR="00B851E2" w:rsidRPr="00461F66" w:rsidRDefault="00B851E2" w:rsidP="00CC415C">
      <w:pPr>
        <w:pStyle w:val="ListParagraph"/>
        <w:numPr>
          <w:ilvl w:val="0"/>
          <w:numId w:val="12"/>
        </w:numPr>
        <w:ind w:left="270" w:hanging="270"/>
        <w:jc w:val="both"/>
        <w:rPr>
          <w:bCs/>
          <w:sz w:val="22"/>
          <w:szCs w:val="22"/>
          <w:lang w:val="sr-Latn-ME"/>
        </w:rPr>
      </w:pPr>
      <w:r w:rsidRPr="00461F66">
        <w:rPr>
          <w:bCs/>
          <w:sz w:val="22"/>
          <w:szCs w:val="22"/>
          <w:lang w:val="sr-Latn-ME"/>
        </w:rPr>
        <w:t>Početna doza se određuje na osnovu vrijednosti paratireoidnog hormona (PTH):</w:t>
      </w:r>
    </w:p>
    <w:p w14:paraId="2FE5A2AA" w14:textId="69C048B1" w:rsidR="00B851E2" w:rsidRPr="00461F66" w:rsidRDefault="00B851E2" w:rsidP="00CC415C">
      <w:pPr>
        <w:ind w:firstLine="270"/>
        <w:jc w:val="both"/>
        <w:rPr>
          <w:bCs/>
          <w:sz w:val="22"/>
          <w:szCs w:val="22"/>
          <w:lang w:val="sr-Latn-ME"/>
        </w:rPr>
      </w:pPr>
      <w:r w:rsidRPr="00461F66">
        <w:rPr>
          <w:bCs/>
          <w:sz w:val="22"/>
          <w:szCs w:val="22"/>
          <w:lang w:val="sr-Latn-ME"/>
        </w:rPr>
        <w:t>Početna doza parikalcitola izračunava se prema sljedećoj formuli:</w:t>
      </w:r>
    </w:p>
    <w:p w14:paraId="179E22CF" w14:textId="77777777" w:rsidR="00B851E2" w:rsidRPr="00461F66" w:rsidRDefault="00B851E2" w:rsidP="00CC415C">
      <w:pPr>
        <w:tabs>
          <w:tab w:val="left" w:pos="540"/>
          <w:tab w:val="left" w:pos="569"/>
        </w:tabs>
        <w:jc w:val="both"/>
        <w:rPr>
          <w:bCs/>
          <w:sz w:val="22"/>
          <w:szCs w:val="22"/>
          <w:lang w:val="sr-Latn-ME"/>
        </w:rPr>
      </w:pPr>
    </w:p>
    <w:p w14:paraId="28AA2AE1" w14:textId="00CBF768" w:rsidR="00B851E2" w:rsidRPr="00461F66" w:rsidRDefault="00B851E2" w:rsidP="00CC415C">
      <w:pPr>
        <w:ind w:firstLine="270"/>
        <w:jc w:val="both"/>
        <w:rPr>
          <w:bCs/>
          <w:sz w:val="22"/>
          <w:szCs w:val="22"/>
          <w:lang w:val="sr-Latn-ME"/>
        </w:rPr>
      </w:pPr>
      <w:r w:rsidRPr="00461F66">
        <w:rPr>
          <w:bCs/>
          <w:sz w:val="22"/>
          <w:szCs w:val="22"/>
          <w:lang w:val="sr-Latn-ME"/>
        </w:rPr>
        <w:t xml:space="preserve">Početna doza (mikrogrami) = </w:t>
      </w:r>
      <w:r w:rsidRPr="00461F66">
        <w:rPr>
          <w:bCs/>
          <w:sz w:val="22"/>
          <w:szCs w:val="22"/>
          <w:u w:val="single"/>
          <w:lang w:val="sr-Latn-ME"/>
        </w:rPr>
        <w:t>početna vrijednost intaktnog PTH u pikomol</w:t>
      </w:r>
      <w:r w:rsidR="00982F6E" w:rsidRPr="00461F66">
        <w:rPr>
          <w:bCs/>
          <w:sz w:val="22"/>
          <w:szCs w:val="22"/>
          <w:u w:val="single"/>
          <w:lang w:val="sr-Latn-ME"/>
        </w:rPr>
        <w:t>im</w:t>
      </w:r>
      <w:r w:rsidRPr="00461F66">
        <w:rPr>
          <w:bCs/>
          <w:sz w:val="22"/>
          <w:szCs w:val="22"/>
          <w:u w:val="single"/>
          <w:lang w:val="sr-Latn-ME"/>
        </w:rPr>
        <w:t>a/l</w:t>
      </w:r>
    </w:p>
    <w:p w14:paraId="233BBEC0"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ab/>
      </w:r>
      <w:r w:rsidRPr="00461F66">
        <w:rPr>
          <w:bCs/>
          <w:sz w:val="22"/>
          <w:szCs w:val="22"/>
          <w:lang w:val="sr-Latn-ME"/>
        </w:rPr>
        <w:tab/>
      </w:r>
      <w:r w:rsidRPr="00461F66">
        <w:rPr>
          <w:bCs/>
          <w:sz w:val="22"/>
          <w:szCs w:val="22"/>
          <w:lang w:val="sr-Latn-ME"/>
        </w:rPr>
        <w:tab/>
      </w:r>
      <w:r w:rsidRPr="00461F66">
        <w:rPr>
          <w:bCs/>
          <w:sz w:val="22"/>
          <w:szCs w:val="22"/>
          <w:lang w:val="sr-Latn-ME"/>
        </w:rPr>
        <w:tab/>
      </w:r>
      <w:r w:rsidRPr="00461F66">
        <w:rPr>
          <w:bCs/>
          <w:sz w:val="22"/>
          <w:szCs w:val="22"/>
          <w:lang w:val="sr-Latn-ME"/>
        </w:rPr>
        <w:tab/>
      </w:r>
      <w:r w:rsidRPr="00461F66">
        <w:rPr>
          <w:bCs/>
          <w:sz w:val="22"/>
          <w:szCs w:val="22"/>
          <w:lang w:val="sr-Latn-ME"/>
        </w:rPr>
        <w:tab/>
      </w:r>
      <w:r w:rsidRPr="00461F66">
        <w:rPr>
          <w:bCs/>
          <w:sz w:val="22"/>
          <w:szCs w:val="22"/>
          <w:lang w:val="sr-Latn-ME"/>
        </w:rPr>
        <w:tab/>
      </w:r>
      <w:r w:rsidRPr="00461F66">
        <w:rPr>
          <w:bCs/>
          <w:sz w:val="22"/>
          <w:szCs w:val="22"/>
          <w:lang w:val="sr-Latn-ME"/>
        </w:rPr>
        <w:tab/>
        <w:t>8</w:t>
      </w:r>
    </w:p>
    <w:p w14:paraId="29F6F279" w14:textId="3B39920A"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ili</w:t>
      </w:r>
    </w:p>
    <w:p w14:paraId="01C0E520" w14:textId="22D34AC2"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ab/>
      </w:r>
      <w:r w:rsidRPr="00461F66">
        <w:rPr>
          <w:bCs/>
          <w:sz w:val="22"/>
          <w:szCs w:val="22"/>
          <w:lang w:val="sr-Latn-ME"/>
        </w:rPr>
        <w:tab/>
      </w:r>
      <w:r w:rsidRPr="00461F66">
        <w:rPr>
          <w:bCs/>
          <w:sz w:val="22"/>
          <w:szCs w:val="22"/>
          <w:lang w:val="sr-Latn-ME"/>
        </w:rPr>
        <w:tab/>
      </w:r>
      <w:r w:rsidRPr="00461F66">
        <w:rPr>
          <w:bCs/>
          <w:sz w:val="22"/>
          <w:szCs w:val="22"/>
          <w:lang w:val="sr-Latn-ME"/>
        </w:rPr>
        <w:tab/>
      </w:r>
      <w:r w:rsidRPr="00461F66">
        <w:rPr>
          <w:bCs/>
          <w:sz w:val="22"/>
          <w:szCs w:val="22"/>
          <w:lang w:val="sr-Latn-ME"/>
        </w:rPr>
        <w:tab/>
        <w:t xml:space="preserve">= </w:t>
      </w:r>
      <w:r w:rsidRPr="00461F66">
        <w:rPr>
          <w:bCs/>
          <w:sz w:val="22"/>
          <w:szCs w:val="22"/>
          <w:u w:val="single"/>
          <w:lang w:val="sr-Latn-ME"/>
        </w:rPr>
        <w:t>početna vrijednost intaktnog PTH u pikogram</w:t>
      </w:r>
      <w:r w:rsidR="00982F6E" w:rsidRPr="00461F66">
        <w:rPr>
          <w:bCs/>
          <w:sz w:val="22"/>
          <w:szCs w:val="22"/>
          <w:u w:val="single"/>
          <w:lang w:val="sr-Latn-ME"/>
        </w:rPr>
        <w:t>im</w:t>
      </w:r>
      <w:r w:rsidRPr="00461F66">
        <w:rPr>
          <w:bCs/>
          <w:sz w:val="22"/>
          <w:szCs w:val="22"/>
          <w:u w:val="single"/>
          <w:lang w:val="sr-Latn-ME"/>
        </w:rPr>
        <w:t>a/ml</w:t>
      </w:r>
    </w:p>
    <w:p w14:paraId="6022B5F2"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ab/>
      </w:r>
      <w:r w:rsidRPr="00461F66">
        <w:rPr>
          <w:bCs/>
          <w:sz w:val="22"/>
          <w:szCs w:val="22"/>
          <w:lang w:val="sr-Latn-ME"/>
        </w:rPr>
        <w:tab/>
      </w:r>
      <w:r w:rsidRPr="00461F66">
        <w:rPr>
          <w:bCs/>
          <w:sz w:val="22"/>
          <w:szCs w:val="22"/>
          <w:lang w:val="sr-Latn-ME"/>
        </w:rPr>
        <w:tab/>
        <w:t xml:space="preserve">  </w:t>
      </w:r>
      <w:r w:rsidRPr="00461F66">
        <w:rPr>
          <w:bCs/>
          <w:sz w:val="22"/>
          <w:szCs w:val="22"/>
          <w:lang w:val="sr-Latn-ME"/>
        </w:rPr>
        <w:tab/>
      </w:r>
      <w:r w:rsidRPr="00461F66">
        <w:rPr>
          <w:bCs/>
          <w:sz w:val="22"/>
          <w:szCs w:val="22"/>
          <w:lang w:val="sr-Latn-ME"/>
        </w:rPr>
        <w:tab/>
      </w:r>
      <w:r w:rsidRPr="00461F66">
        <w:rPr>
          <w:bCs/>
          <w:sz w:val="22"/>
          <w:szCs w:val="22"/>
          <w:lang w:val="sr-Latn-ME"/>
        </w:rPr>
        <w:tab/>
      </w:r>
      <w:r w:rsidRPr="00461F66">
        <w:rPr>
          <w:bCs/>
          <w:sz w:val="22"/>
          <w:szCs w:val="22"/>
          <w:lang w:val="sr-Latn-ME"/>
        </w:rPr>
        <w:tab/>
      </w:r>
      <w:r w:rsidRPr="00461F66">
        <w:rPr>
          <w:bCs/>
          <w:sz w:val="22"/>
          <w:szCs w:val="22"/>
          <w:lang w:val="sr-Latn-ME"/>
        </w:rPr>
        <w:tab/>
        <w:t>80</w:t>
      </w:r>
    </w:p>
    <w:p w14:paraId="2EAADD09"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 xml:space="preserve"> </w:t>
      </w:r>
    </w:p>
    <w:p w14:paraId="6BEE5DC3"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i daje se u obliku intravenske (IV) bolus injekcije, bilo kada za vrijeme hemodijalize, ne češće od svakog drugog dana.</w:t>
      </w:r>
    </w:p>
    <w:p w14:paraId="328FE439" w14:textId="77777777" w:rsidR="00B851E2" w:rsidRPr="00461F66" w:rsidRDefault="00B851E2" w:rsidP="00CC415C">
      <w:pPr>
        <w:tabs>
          <w:tab w:val="left" w:pos="540"/>
          <w:tab w:val="left" w:pos="569"/>
        </w:tabs>
        <w:jc w:val="both"/>
        <w:rPr>
          <w:bCs/>
          <w:sz w:val="22"/>
          <w:szCs w:val="22"/>
          <w:lang w:val="sr-Latn-ME"/>
        </w:rPr>
      </w:pPr>
    </w:p>
    <w:p w14:paraId="55332537"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Najveća doza primijenjena u kliničkim ispitivanjima bez štetnih posljedica bila je 40 mikrograma.</w:t>
      </w:r>
    </w:p>
    <w:p w14:paraId="262785E6" w14:textId="77777777" w:rsidR="00B851E2" w:rsidRPr="00461F66" w:rsidRDefault="00B851E2" w:rsidP="00CC415C">
      <w:pPr>
        <w:tabs>
          <w:tab w:val="left" w:pos="540"/>
          <w:tab w:val="left" w:pos="569"/>
        </w:tabs>
        <w:jc w:val="both"/>
        <w:rPr>
          <w:bCs/>
          <w:sz w:val="22"/>
          <w:szCs w:val="22"/>
          <w:lang w:val="sr-Latn-ME"/>
        </w:rPr>
      </w:pPr>
    </w:p>
    <w:p w14:paraId="55489701" w14:textId="77777777" w:rsidR="00B851E2" w:rsidRPr="00461F66" w:rsidRDefault="00B851E2" w:rsidP="00CC415C">
      <w:pPr>
        <w:autoSpaceDE w:val="0"/>
        <w:autoSpaceDN w:val="0"/>
        <w:adjustRightInd w:val="0"/>
        <w:jc w:val="both"/>
        <w:rPr>
          <w:sz w:val="22"/>
          <w:szCs w:val="22"/>
          <w:u w:val="single"/>
          <w:lang w:val="sr-Latn-ME" w:eastAsia="sr-Latn-ME"/>
        </w:rPr>
      </w:pPr>
      <w:r w:rsidRPr="00461F66">
        <w:rPr>
          <w:sz w:val="22"/>
          <w:szCs w:val="22"/>
          <w:u w:val="single"/>
          <w:lang w:val="sr-Latn-ME" w:eastAsia="sr-Latn-ME"/>
        </w:rPr>
        <w:t>2) Titriranje doze:</w:t>
      </w:r>
    </w:p>
    <w:p w14:paraId="5CD5E205" w14:textId="77777777" w:rsidR="00B851E2" w:rsidRPr="00461F66" w:rsidRDefault="00B851E2" w:rsidP="00CC415C">
      <w:pPr>
        <w:autoSpaceDE w:val="0"/>
        <w:autoSpaceDN w:val="0"/>
        <w:adjustRightInd w:val="0"/>
        <w:jc w:val="both"/>
        <w:rPr>
          <w:sz w:val="22"/>
          <w:szCs w:val="22"/>
          <w:u w:val="single"/>
          <w:lang w:val="sr-Latn-ME" w:eastAsia="sr-Latn-ME"/>
        </w:rPr>
      </w:pPr>
    </w:p>
    <w:p w14:paraId="0197A612" w14:textId="057FBAD6"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Trenutno prihvaćen ciljni raspon vrijednosti PTH kod dijaliziranih pacijenata sa hroničnom bubrežnom</w:t>
      </w:r>
      <w:r w:rsidR="00982F6E" w:rsidRPr="00461F66">
        <w:rPr>
          <w:sz w:val="22"/>
          <w:szCs w:val="22"/>
          <w:lang w:val="sr-Latn-ME" w:eastAsia="sr-Latn-ME"/>
        </w:rPr>
        <w:t xml:space="preserve"> </w:t>
      </w:r>
      <w:r w:rsidRPr="00461F66">
        <w:rPr>
          <w:sz w:val="22"/>
          <w:szCs w:val="22"/>
          <w:lang w:val="sr-Latn-ME" w:eastAsia="sr-Latn-ME"/>
        </w:rPr>
        <w:t>insuficijencijom u završnoj fazi samo je 1,5 do 3 puta veći od gornje granice referentnih vrijednosti pri</w:t>
      </w:r>
      <w:r w:rsidR="00982F6E" w:rsidRPr="00461F66">
        <w:rPr>
          <w:sz w:val="22"/>
          <w:szCs w:val="22"/>
          <w:lang w:val="sr-Latn-ME" w:eastAsia="sr-Latn-ME"/>
        </w:rPr>
        <w:t xml:space="preserve"> </w:t>
      </w:r>
      <w:r w:rsidRPr="00461F66">
        <w:rPr>
          <w:sz w:val="22"/>
          <w:szCs w:val="22"/>
          <w:lang w:val="sr-Latn-ME" w:eastAsia="sr-Latn-ME"/>
        </w:rPr>
        <w:lastRenderedPageBreak/>
        <w:t>urednoj funkciji bubrega 15,9 do 31,8 pikomola/l (150-300 pikograma/ml) za intaktni PTH. Zbog toga su pomno praćenje pacijenata i individualno titriranje doze neophodni za postizanje odgovarajućih fizioloških vrijednosti. Ako se razvije hiperkalcemija ili je proizvod korigovane vrijednosti kalcijuma i fosfora (Ca x P) trajno veći od 5,2 mmol²/</w:t>
      </w:r>
      <w:r w:rsidR="00F31740" w:rsidRPr="00461F66">
        <w:rPr>
          <w:sz w:val="22"/>
          <w:szCs w:val="22"/>
          <w:lang w:val="sr-Latn-ME" w:eastAsia="sr-Latn-ME"/>
        </w:rPr>
        <w:t>l</w:t>
      </w:r>
      <w:r w:rsidRPr="00461F66">
        <w:rPr>
          <w:sz w:val="22"/>
          <w:szCs w:val="22"/>
          <w:lang w:val="sr-Latn-ME" w:eastAsia="sr-Latn-ME"/>
        </w:rPr>
        <w:t>² (65 mg²/d</w:t>
      </w:r>
      <w:r w:rsidR="00F31740" w:rsidRPr="00461F66">
        <w:rPr>
          <w:sz w:val="22"/>
          <w:szCs w:val="22"/>
          <w:lang w:val="sr-Latn-ME" w:eastAsia="sr-Latn-ME"/>
        </w:rPr>
        <w:t>l</w:t>
      </w:r>
      <w:r w:rsidRPr="00461F66">
        <w:rPr>
          <w:sz w:val="22"/>
          <w:szCs w:val="22"/>
          <w:lang w:val="sr-Latn-ME" w:eastAsia="sr-Latn-ME"/>
        </w:rPr>
        <w:t>²), dozu treba smanjiti ili primjenu lijeka potpuno obustaviti sve dok se te vrijednosti ne normalizuju. Nakon toga treba nastaviti primjenu parikalcitola, ali u manjim dozama. Doze ponekad treba smanjivati i zato što se vrijednosti PTH snižavaju za vrijeme liječenja.</w:t>
      </w:r>
    </w:p>
    <w:p w14:paraId="31CABEBB" w14:textId="77777777" w:rsidR="00B851E2" w:rsidRPr="00461F66" w:rsidRDefault="00B851E2" w:rsidP="00CC415C">
      <w:pPr>
        <w:autoSpaceDE w:val="0"/>
        <w:autoSpaceDN w:val="0"/>
        <w:adjustRightInd w:val="0"/>
        <w:jc w:val="both"/>
        <w:rPr>
          <w:sz w:val="22"/>
          <w:szCs w:val="22"/>
          <w:lang w:val="sr-Latn-ME" w:eastAsia="sr-Latn-ME"/>
        </w:rPr>
      </w:pPr>
    </w:p>
    <w:p w14:paraId="4A03DCA2" w14:textId="77777777" w:rsidR="00B851E2" w:rsidRPr="00461F66" w:rsidRDefault="00B851E2" w:rsidP="00CC415C">
      <w:pPr>
        <w:tabs>
          <w:tab w:val="left" w:pos="540"/>
          <w:tab w:val="left" w:pos="569"/>
        </w:tabs>
        <w:jc w:val="both"/>
        <w:rPr>
          <w:sz w:val="22"/>
          <w:szCs w:val="22"/>
          <w:lang w:val="sr-Latn-ME" w:eastAsia="sr-Latn-ME"/>
        </w:rPr>
      </w:pPr>
      <w:r w:rsidRPr="00461F66">
        <w:rPr>
          <w:sz w:val="22"/>
          <w:szCs w:val="22"/>
          <w:lang w:val="sr-Latn-ME" w:eastAsia="sr-Latn-ME"/>
        </w:rPr>
        <w:t>Preporučuje se da se doza titrira na način kako je prikazano u tabeli:</w:t>
      </w:r>
    </w:p>
    <w:p w14:paraId="113409E2" w14:textId="77777777" w:rsidR="00B851E2" w:rsidRPr="00461F66" w:rsidRDefault="00B851E2" w:rsidP="00CC415C">
      <w:pPr>
        <w:tabs>
          <w:tab w:val="left" w:pos="540"/>
          <w:tab w:val="left" w:pos="569"/>
        </w:tabs>
        <w:jc w:val="both"/>
        <w:rPr>
          <w:bCs/>
          <w:sz w:val="22"/>
          <w:szCs w:val="22"/>
          <w:u w:val="single"/>
          <w:lang w:val="sr-Latn-ME"/>
        </w:rPr>
      </w:pPr>
    </w:p>
    <w:tbl>
      <w:tblPr>
        <w:tblStyle w:val="TableGrid"/>
        <w:tblW w:w="0" w:type="auto"/>
        <w:tblLook w:val="04A0" w:firstRow="1" w:lastRow="0" w:firstColumn="1" w:lastColumn="0" w:noHBand="0" w:noVBand="1"/>
      </w:tblPr>
      <w:tblGrid>
        <w:gridCol w:w="3708"/>
        <w:gridCol w:w="2970"/>
      </w:tblGrid>
      <w:tr w:rsidR="00B851E2" w:rsidRPr="00461F66" w14:paraId="252DCE83" w14:textId="77777777" w:rsidTr="008F12CF">
        <w:tc>
          <w:tcPr>
            <w:tcW w:w="6678" w:type="dxa"/>
            <w:gridSpan w:val="2"/>
          </w:tcPr>
          <w:p w14:paraId="146BE8CA" w14:textId="77777777" w:rsidR="00B851E2" w:rsidRPr="00461F66" w:rsidRDefault="00B851E2" w:rsidP="00CC415C">
            <w:pPr>
              <w:tabs>
                <w:tab w:val="left" w:pos="540"/>
                <w:tab w:val="left" w:pos="569"/>
              </w:tabs>
              <w:jc w:val="both"/>
              <w:rPr>
                <w:b/>
                <w:bCs/>
                <w:sz w:val="22"/>
                <w:szCs w:val="22"/>
                <w:lang w:val="sr-Latn-ME"/>
              </w:rPr>
            </w:pPr>
            <w:r w:rsidRPr="00461F66">
              <w:rPr>
                <w:b/>
                <w:bCs/>
                <w:sz w:val="22"/>
                <w:szCs w:val="22"/>
                <w:lang w:val="sr-Latn-ME"/>
              </w:rPr>
              <w:t>Preporuke za doziranje</w:t>
            </w:r>
          </w:p>
          <w:p w14:paraId="0ACE3E04" w14:textId="77777777" w:rsidR="00B851E2" w:rsidRPr="00461F66" w:rsidRDefault="00B851E2" w:rsidP="00CC415C">
            <w:pPr>
              <w:tabs>
                <w:tab w:val="left" w:pos="540"/>
                <w:tab w:val="left" w:pos="569"/>
              </w:tabs>
              <w:jc w:val="both"/>
              <w:rPr>
                <w:bCs/>
                <w:sz w:val="22"/>
                <w:szCs w:val="22"/>
                <w:u w:val="single"/>
                <w:lang w:val="sr-Latn-ME"/>
              </w:rPr>
            </w:pPr>
            <w:r w:rsidRPr="00461F66">
              <w:rPr>
                <w:b/>
                <w:bCs/>
                <w:sz w:val="22"/>
                <w:szCs w:val="22"/>
                <w:u w:val="single"/>
                <w:lang w:val="sr-Latn-ME"/>
              </w:rPr>
              <w:t>(Prilagođavanje doze u intervalima od 2 do 4 nedjelje)</w:t>
            </w:r>
          </w:p>
        </w:tc>
      </w:tr>
      <w:tr w:rsidR="00B851E2" w:rsidRPr="00461F66" w14:paraId="1C6FCE4A" w14:textId="77777777" w:rsidTr="008F12CF">
        <w:tc>
          <w:tcPr>
            <w:tcW w:w="3708" w:type="dxa"/>
          </w:tcPr>
          <w:p w14:paraId="69582DC3" w14:textId="77777777" w:rsidR="00B851E2" w:rsidRPr="00461F66" w:rsidRDefault="00B851E2" w:rsidP="00CC415C">
            <w:pPr>
              <w:tabs>
                <w:tab w:val="left" w:pos="540"/>
                <w:tab w:val="left" w:pos="569"/>
              </w:tabs>
              <w:jc w:val="both"/>
              <w:rPr>
                <w:b/>
                <w:bCs/>
                <w:sz w:val="22"/>
                <w:szCs w:val="22"/>
                <w:lang w:val="sr-Latn-ME"/>
              </w:rPr>
            </w:pPr>
            <w:r w:rsidRPr="00461F66">
              <w:rPr>
                <w:b/>
                <w:bCs/>
                <w:sz w:val="22"/>
                <w:szCs w:val="22"/>
                <w:lang w:val="sr-Latn-ME"/>
              </w:rPr>
              <w:t>Vrijednosti intaktnog PTH (iPTH) u odnosu na početnu vrijednost</w:t>
            </w:r>
          </w:p>
        </w:tc>
        <w:tc>
          <w:tcPr>
            <w:tcW w:w="2970" w:type="dxa"/>
          </w:tcPr>
          <w:p w14:paraId="76E07830" w14:textId="77777777" w:rsidR="00B851E2" w:rsidRPr="00461F66" w:rsidRDefault="00B851E2" w:rsidP="0039071D">
            <w:pPr>
              <w:tabs>
                <w:tab w:val="left" w:pos="540"/>
                <w:tab w:val="left" w:pos="569"/>
              </w:tabs>
              <w:rPr>
                <w:b/>
                <w:bCs/>
                <w:sz w:val="22"/>
                <w:szCs w:val="22"/>
                <w:lang w:val="sr-Latn-ME"/>
              </w:rPr>
            </w:pPr>
            <w:r w:rsidRPr="00461F66">
              <w:rPr>
                <w:b/>
                <w:bCs/>
                <w:sz w:val="22"/>
                <w:szCs w:val="22"/>
                <w:lang w:val="sr-Latn-ME"/>
              </w:rPr>
              <w:t>Prilagođavanje doze parikalcitola</w:t>
            </w:r>
          </w:p>
        </w:tc>
      </w:tr>
      <w:tr w:rsidR="00B851E2" w:rsidRPr="00461F66" w14:paraId="567962AB" w14:textId="77777777" w:rsidTr="008F12CF">
        <w:tc>
          <w:tcPr>
            <w:tcW w:w="3708" w:type="dxa"/>
          </w:tcPr>
          <w:p w14:paraId="0849A24F"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Jednak ili povećan</w:t>
            </w:r>
          </w:p>
        </w:tc>
        <w:tc>
          <w:tcPr>
            <w:tcW w:w="2970" w:type="dxa"/>
            <w:vMerge w:val="restart"/>
          </w:tcPr>
          <w:p w14:paraId="0BE477BC"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 xml:space="preserve">Povećati za 2 do 4 </w:t>
            </w:r>
          </w:p>
          <w:p w14:paraId="56D22244"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mikrograma</w:t>
            </w:r>
          </w:p>
        </w:tc>
      </w:tr>
      <w:tr w:rsidR="00B851E2" w:rsidRPr="00461F66" w14:paraId="6D35F53E" w14:textId="77777777" w:rsidTr="008F12CF">
        <w:tc>
          <w:tcPr>
            <w:tcW w:w="3708" w:type="dxa"/>
          </w:tcPr>
          <w:p w14:paraId="09CB1D68"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Smanjen za &lt;30%</w:t>
            </w:r>
          </w:p>
        </w:tc>
        <w:tc>
          <w:tcPr>
            <w:tcW w:w="2970" w:type="dxa"/>
            <w:vMerge/>
          </w:tcPr>
          <w:p w14:paraId="5033C5BE" w14:textId="77777777" w:rsidR="00B851E2" w:rsidRPr="00461F66" w:rsidRDefault="00B851E2" w:rsidP="00CC415C">
            <w:pPr>
              <w:tabs>
                <w:tab w:val="left" w:pos="540"/>
                <w:tab w:val="left" w:pos="569"/>
              </w:tabs>
              <w:jc w:val="both"/>
              <w:rPr>
                <w:bCs/>
                <w:sz w:val="22"/>
                <w:szCs w:val="22"/>
                <w:u w:val="single"/>
                <w:lang w:val="sr-Latn-ME"/>
              </w:rPr>
            </w:pPr>
          </w:p>
        </w:tc>
      </w:tr>
      <w:tr w:rsidR="00B851E2" w:rsidRPr="00461F66" w14:paraId="3A94C5B3" w14:textId="77777777" w:rsidTr="008F12CF">
        <w:tc>
          <w:tcPr>
            <w:tcW w:w="3708" w:type="dxa"/>
          </w:tcPr>
          <w:p w14:paraId="4A0E48F4"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Smanjen za &gt;30%, &lt;60%</w:t>
            </w:r>
          </w:p>
        </w:tc>
        <w:tc>
          <w:tcPr>
            <w:tcW w:w="2970" w:type="dxa"/>
          </w:tcPr>
          <w:p w14:paraId="2111952E"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Održavati</w:t>
            </w:r>
          </w:p>
        </w:tc>
      </w:tr>
      <w:tr w:rsidR="00B851E2" w:rsidRPr="00461F66" w14:paraId="351AAB67" w14:textId="77777777" w:rsidTr="008F12CF">
        <w:tc>
          <w:tcPr>
            <w:tcW w:w="3708" w:type="dxa"/>
          </w:tcPr>
          <w:p w14:paraId="78714282"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 xml:space="preserve">Smanjen &gt;60% </w:t>
            </w:r>
          </w:p>
        </w:tc>
        <w:tc>
          <w:tcPr>
            <w:tcW w:w="2970" w:type="dxa"/>
            <w:vMerge w:val="restart"/>
          </w:tcPr>
          <w:p w14:paraId="2C11774E"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Smanjiti za 2 do 4 mikrograma</w:t>
            </w:r>
          </w:p>
        </w:tc>
      </w:tr>
      <w:tr w:rsidR="00B851E2" w:rsidRPr="00461F66" w14:paraId="7B4977B9" w14:textId="77777777" w:rsidTr="008F12CF">
        <w:tc>
          <w:tcPr>
            <w:tcW w:w="3708" w:type="dxa"/>
          </w:tcPr>
          <w:p w14:paraId="5B2E4D82" w14:textId="77777777" w:rsidR="00B851E2" w:rsidRPr="00461F66" w:rsidRDefault="00B851E2" w:rsidP="00CC415C">
            <w:pPr>
              <w:tabs>
                <w:tab w:val="left" w:pos="540"/>
                <w:tab w:val="left" w:pos="569"/>
              </w:tabs>
              <w:jc w:val="both"/>
              <w:rPr>
                <w:bCs/>
                <w:sz w:val="22"/>
                <w:szCs w:val="22"/>
                <w:lang w:val="sr-Latn-ME"/>
              </w:rPr>
            </w:pPr>
            <w:r w:rsidRPr="00461F66">
              <w:rPr>
                <w:bCs/>
                <w:sz w:val="22"/>
                <w:szCs w:val="22"/>
                <w:lang w:val="sr-Latn-ME"/>
              </w:rPr>
              <w:t>iPTH &lt;15,9 pikomola/l (150 pikograma/ml)</w:t>
            </w:r>
          </w:p>
        </w:tc>
        <w:tc>
          <w:tcPr>
            <w:tcW w:w="2970" w:type="dxa"/>
            <w:vMerge/>
          </w:tcPr>
          <w:p w14:paraId="1A604BD2" w14:textId="77777777" w:rsidR="00B851E2" w:rsidRPr="00461F66" w:rsidRDefault="00B851E2" w:rsidP="00CC415C">
            <w:pPr>
              <w:tabs>
                <w:tab w:val="left" w:pos="540"/>
                <w:tab w:val="left" w:pos="569"/>
              </w:tabs>
              <w:jc w:val="both"/>
              <w:rPr>
                <w:bCs/>
                <w:sz w:val="22"/>
                <w:szCs w:val="22"/>
                <w:u w:val="single"/>
                <w:lang w:val="sr-Latn-ME"/>
              </w:rPr>
            </w:pPr>
          </w:p>
        </w:tc>
      </w:tr>
    </w:tbl>
    <w:p w14:paraId="4C82FC80" w14:textId="77777777" w:rsidR="00B851E2" w:rsidRPr="00461F66" w:rsidRDefault="00B851E2" w:rsidP="00CC415C">
      <w:pPr>
        <w:tabs>
          <w:tab w:val="left" w:pos="540"/>
          <w:tab w:val="left" w:pos="569"/>
        </w:tabs>
        <w:jc w:val="both"/>
        <w:rPr>
          <w:bCs/>
          <w:sz w:val="22"/>
          <w:szCs w:val="22"/>
          <w:u w:val="single"/>
          <w:lang w:val="sr-Latn-ME"/>
        </w:rPr>
      </w:pPr>
    </w:p>
    <w:p w14:paraId="581DA3EC" w14:textId="3CF9E7B7"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Nakon utvrđivanja doze, koncentracij</w:t>
      </w:r>
      <w:r w:rsidR="003C3A8F" w:rsidRPr="00461F66">
        <w:rPr>
          <w:sz w:val="22"/>
          <w:szCs w:val="22"/>
          <w:lang w:val="sr-Latn-ME" w:eastAsia="sr-Latn-ME"/>
        </w:rPr>
        <w:t>u</w:t>
      </w:r>
      <w:r w:rsidRPr="00461F66">
        <w:rPr>
          <w:sz w:val="22"/>
          <w:szCs w:val="22"/>
          <w:lang w:val="sr-Latn-ME" w:eastAsia="sr-Latn-ME"/>
        </w:rPr>
        <w:t xml:space="preserve"> kalcijuma i fosfata u serumu treba m</w:t>
      </w:r>
      <w:r w:rsidR="00F31740" w:rsidRPr="00461F66">
        <w:rPr>
          <w:sz w:val="22"/>
          <w:szCs w:val="22"/>
          <w:lang w:val="sr-Latn-ME" w:eastAsia="sr-Latn-ME"/>
        </w:rPr>
        <w:t>j</w:t>
      </w:r>
      <w:r w:rsidRPr="00461F66">
        <w:rPr>
          <w:sz w:val="22"/>
          <w:szCs w:val="22"/>
          <w:lang w:val="sr-Latn-ME" w:eastAsia="sr-Latn-ME"/>
        </w:rPr>
        <w:t>eriti najmanje jednom mjesečno. Preporučuje se da se vrijednost intaktnog PTH u serumu kontroliše svaka tri mjeseca. Za vrijeme prilagođavanja doze parikalcitola laboratorijske analize treba češće ponavljati.</w:t>
      </w:r>
    </w:p>
    <w:p w14:paraId="04268462" w14:textId="77777777" w:rsidR="00B851E2" w:rsidRPr="00461F66" w:rsidRDefault="00B851E2" w:rsidP="00CC415C">
      <w:pPr>
        <w:autoSpaceDE w:val="0"/>
        <w:autoSpaceDN w:val="0"/>
        <w:adjustRightInd w:val="0"/>
        <w:jc w:val="both"/>
        <w:rPr>
          <w:sz w:val="22"/>
          <w:szCs w:val="22"/>
          <w:lang w:val="sr-Latn-ME" w:eastAsia="sr-Latn-ME"/>
        </w:rPr>
      </w:pPr>
    </w:p>
    <w:p w14:paraId="54B14970" w14:textId="77777777"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Oštećenje funkcije jetre</w:t>
      </w:r>
    </w:p>
    <w:p w14:paraId="305B437A" w14:textId="77777777" w:rsidR="00B851E2" w:rsidRPr="00461F66" w:rsidRDefault="00B851E2" w:rsidP="00CC415C">
      <w:pPr>
        <w:autoSpaceDE w:val="0"/>
        <w:autoSpaceDN w:val="0"/>
        <w:adjustRightInd w:val="0"/>
        <w:jc w:val="both"/>
        <w:rPr>
          <w:sz w:val="22"/>
          <w:szCs w:val="22"/>
          <w:lang w:val="sr-Latn-ME" w:eastAsia="sr-Latn-ME"/>
        </w:rPr>
      </w:pPr>
    </w:p>
    <w:p w14:paraId="3838677A" w14:textId="77777777"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Koncentracije nevezanog parikalcitola kod pacijenata sa blagim do umjerenim oštećenjem funkcije jetre slične su onima kod zdravih ispitanika pa kod takvih pacijenata ne treba prilagođavati dozu. Međutim, nema kliničkih iskustava kod pacijenata sa teškim oštećenjem funkcije jetre.</w:t>
      </w:r>
    </w:p>
    <w:p w14:paraId="66E68A16" w14:textId="77777777" w:rsidR="00B851E2" w:rsidRPr="00461F66" w:rsidRDefault="00B851E2" w:rsidP="00CC415C">
      <w:pPr>
        <w:autoSpaceDE w:val="0"/>
        <w:autoSpaceDN w:val="0"/>
        <w:adjustRightInd w:val="0"/>
        <w:jc w:val="both"/>
        <w:rPr>
          <w:sz w:val="22"/>
          <w:szCs w:val="22"/>
          <w:lang w:val="sr-Latn-ME" w:eastAsia="sr-Latn-ME"/>
        </w:rPr>
      </w:pPr>
    </w:p>
    <w:p w14:paraId="354C54DF" w14:textId="77777777"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Pedijatrijska populacija</w:t>
      </w:r>
    </w:p>
    <w:p w14:paraId="4C60B18C" w14:textId="77777777" w:rsidR="00B851E2" w:rsidRPr="00461F66" w:rsidRDefault="00B851E2" w:rsidP="00CC415C">
      <w:pPr>
        <w:autoSpaceDE w:val="0"/>
        <w:autoSpaceDN w:val="0"/>
        <w:adjustRightInd w:val="0"/>
        <w:jc w:val="both"/>
        <w:rPr>
          <w:sz w:val="22"/>
          <w:szCs w:val="22"/>
          <w:lang w:val="sr-Latn-ME" w:eastAsia="sr-Latn-ME"/>
        </w:rPr>
      </w:pPr>
    </w:p>
    <w:p w14:paraId="34882D17" w14:textId="04688A67"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Bezbjednost i efikasnost primjene parikalcitola kod djece </w:t>
      </w:r>
      <w:r w:rsidR="00062C93" w:rsidRPr="00461F66">
        <w:rPr>
          <w:sz w:val="22"/>
          <w:szCs w:val="22"/>
          <w:lang w:val="sr-Latn-ME" w:eastAsia="sr-Latn-ME"/>
        </w:rPr>
        <w:t>nisu</w:t>
      </w:r>
      <w:r w:rsidRPr="00461F66">
        <w:rPr>
          <w:sz w:val="22"/>
          <w:szCs w:val="22"/>
          <w:lang w:val="sr-Latn-ME" w:eastAsia="sr-Latn-ME"/>
        </w:rPr>
        <w:t xml:space="preserve"> utvrđeni. Ne postoje dostupni podaci za djecu uzrasta ispod 5 godina. Trenutno dostupni podaci o upotrebi kod pedijatrijskih pacijenata opisani su u </w:t>
      </w:r>
      <w:r w:rsidR="00CC415C" w:rsidRPr="00461F66">
        <w:rPr>
          <w:sz w:val="22"/>
          <w:szCs w:val="22"/>
          <w:lang w:val="sr-Latn-ME" w:eastAsia="sr-Latn-ME"/>
        </w:rPr>
        <w:t xml:space="preserve">dijelu </w:t>
      </w:r>
      <w:r w:rsidRPr="00461F66">
        <w:rPr>
          <w:sz w:val="22"/>
          <w:szCs w:val="22"/>
          <w:lang w:val="sr-Latn-ME" w:eastAsia="sr-Latn-ME"/>
        </w:rPr>
        <w:t>5.1, ali se ne mogu dati preporuke za doziranje lijeka u ovoj populaciji.</w:t>
      </w:r>
    </w:p>
    <w:p w14:paraId="67368E0A" w14:textId="77777777" w:rsidR="00B851E2" w:rsidRPr="00461F66" w:rsidRDefault="00B851E2" w:rsidP="00CC415C">
      <w:pPr>
        <w:autoSpaceDE w:val="0"/>
        <w:autoSpaceDN w:val="0"/>
        <w:adjustRightInd w:val="0"/>
        <w:jc w:val="both"/>
        <w:rPr>
          <w:sz w:val="22"/>
          <w:szCs w:val="22"/>
          <w:lang w:val="sr-Latn-ME" w:eastAsia="sr-Latn-ME"/>
        </w:rPr>
      </w:pPr>
    </w:p>
    <w:p w14:paraId="32F408CC" w14:textId="77777777"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Stariji pacijenti</w:t>
      </w:r>
    </w:p>
    <w:p w14:paraId="57025AEA" w14:textId="77777777" w:rsidR="00B851E2" w:rsidRPr="00461F66" w:rsidRDefault="00B851E2" w:rsidP="00CC415C">
      <w:pPr>
        <w:autoSpaceDE w:val="0"/>
        <w:autoSpaceDN w:val="0"/>
        <w:adjustRightInd w:val="0"/>
        <w:jc w:val="both"/>
        <w:rPr>
          <w:sz w:val="22"/>
          <w:szCs w:val="22"/>
          <w:lang w:val="sr-Latn-ME" w:eastAsia="sr-Latn-ME"/>
        </w:rPr>
      </w:pPr>
    </w:p>
    <w:p w14:paraId="31786FD1" w14:textId="3658A1AD" w:rsidR="00B851E2" w:rsidRPr="00461F66" w:rsidRDefault="00B851E2" w:rsidP="00CC415C">
      <w:pPr>
        <w:tabs>
          <w:tab w:val="left" w:pos="540"/>
          <w:tab w:val="left" w:pos="569"/>
        </w:tabs>
        <w:jc w:val="both"/>
        <w:rPr>
          <w:sz w:val="22"/>
          <w:szCs w:val="22"/>
          <w:lang w:val="sr-Latn-ME" w:eastAsia="sr-Latn-ME"/>
        </w:rPr>
      </w:pPr>
      <w:r w:rsidRPr="00461F66">
        <w:rPr>
          <w:sz w:val="22"/>
          <w:szCs w:val="22"/>
          <w:lang w:val="sr-Latn-ME" w:eastAsia="sr-Latn-ME"/>
        </w:rPr>
        <w:t xml:space="preserve">Malo je kliničkih podataka iz ispitivanja III faze o primjeni parikalcitola kod pacijenata starijih od 65 godina. U sprovedenim ispitivanjima </w:t>
      </w:r>
      <w:r w:rsidR="00062C93" w:rsidRPr="00461F66">
        <w:rPr>
          <w:sz w:val="22"/>
          <w:szCs w:val="22"/>
          <w:lang w:val="sr-Latn-ME" w:eastAsia="sr-Latn-ME"/>
        </w:rPr>
        <w:t>nisu</w:t>
      </w:r>
      <w:r w:rsidRPr="00461F66">
        <w:rPr>
          <w:sz w:val="22"/>
          <w:szCs w:val="22"/>
          <w:lang w:val="sr-Latn-ME" w:eastAsia="sr-Latn-ME"/>
        </w:rPr>
        <w:t xml:space="preserve"> zabilježene razlike u efikasnosti i bezbjednosti lijeka između mlađih pacijenata i onih starijih od 65 godina.</w:t>
      </w:r>
    </w:p>
    <w:p w14:paraId="5A473D44" w14:textId="77777777" w:rsidR="00B851E2" w:rsidRPr="00461F66" w:rsidRDefault="00B851E2" w:rsidP="00CC415C">
      <w:pPr>
        <w:tabs>
          <w:tab w:val="left" w:pos="540"/>
          <w:tab w:val="left" w:pos="569"/>
        </w:tabs>
        <w:jc w:val="both"/>
        <w:rPr>
          <w:bCs/>
          <w:sz w:val="22"/>
          <w:szCs w:val="22"/>
          <w:u w:val="single"/>
          <w:lang w:val="sr-Latn-ME"/>
        </w:rPr>
      </w:pPr>
    </w:p>
    <w:p w14:paraId="50B0FD2A" w14:textId="77777777" w:rsidR="00411B4B" w:rsidRPr="00461F66" w:rsidRDefault="00411B4B" w:rsidP="00CC415C">
      <w:pPr>
        <w:tabs>
          <w:tab w:val="left" w:pos="540"/>
          <w:tab w:val="left" w:pos="569"/>
        </w:tabs>
        <w:jc w:val="both"/>
        <w:rPr>
          <w:b/>
          <w:bCs/>
          <w:sz w:val="22"/>
          <w:szCs w:val="22"/>
          <w:lang w:val="sr-Latn-ME"/>
        </w:rPr>
      </w:pPr>
      <w:r w:rsidRPr="00461F66">
        <w:rPr>
          <w:b/>
          <w:bCs/>
          <w:sz w:val="22"/>
          <w:szCs w:val="22"/>
          <w:lang w:val="sr-Latn-ME"/>
        </w:rPr>
        <w:t xml:space="preserve">4.3. </w:t>
      </w:r>
      <w:r w:rsidR="00480FB1" w:rsidRPr="00461F66">
        <w:rPr>
          <w:b/>
          <w:bCs/>
          <w:sz w:val="22"/>
          <w:szCs w:val="22"/>
          <w:lang w:val="sr-Latn-ME"/>
        </w:rPr>
        <w:tab/>
      </w:r>
      <w:r w:rsidRPr="00461F66">
        <w:rPr>
          <w:b/>
          <w:bCs/>
          <w:sz w:val="22"/>
          <w:szCs w:val="22"/>
          <w:lang w:val="sr-Latn-ME"/>
        </w:rPr>
        <w:t>Kontraindikacije</w:t>
      </w:r>
    </w:p>
    <w:p w14:paraId="30ED1DC2" w14:textId="77777777" w:rsidR="0072020E" w:rsidRPr="00461F66" w:rsidRDefault="0072020E" w:rsidP="00CC415C">
      <w:pPr>
        <w:tabs>
          <w:tab w:val="left" w:pos="540"/>
          <w:tab w:val="left" w:pos="569"/>
        </w:tabs>
        <w:jc w:val="both"/>
        <w:rPr>
          <w:bCs/>
          <w:sz w:val="22"/>
          <w:szCs w:val="22"/>
          <w:lang w:val="sr-Latn-ME"/>
        </w:rPr>
      </w:pPr>
    </w:p>
    <w:p w14:paraId="4A38A267" w14:textId="42F2FAF9"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 </w:t>
      </w:r>
      <w:r w:rsidR="00F31740" w:rsidRPr="00461F66">
        <w:rPr>
          <w:sz w:val="22"/>
          <w:szCs w:val="22"/>
          <w:lang w:val="sr-Latn-ME" w:eastAsia="sr-Latn-ME"/>
        </w:rPr>
        <w:t>Hipersenzitivnost</w:t>
      </w:r>
      <w:r w:rsidRPr="00461F66">
        <w:rPr>
          <w:sz w:val="22"/>
          <w:szCs w:val="22"/>
          <w:lang w:val="sr-Latn-ME" w:eastAsia="sr-Latn-ME"/>
        </w:rPr>
        <w:t xml:space="preserve"> na parikalcitol ili na bilo koju od pomoćnih supstanci;</w:t>
      </w:r>
    </w:p>
    <w:p w14:paraId="79BB32FD" w14:textId="77777777"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 Trovanje vitaminom D;</w:t>
      </w:r>
    </w:p>
    <w:p w14:paraId="2DCD5263" w14:textId="1DA0117E" w:rsidR="00B851E2" w:rsidRPr="00461F66" w:rsidRDefault="00B851E2" w:rsidP="00CC415C">
      <w:pPr>
        <w:tabs>
          <w:tab w:val="left" w:pos="540"/>
          <w:tab w:val="left" w:pos="569"/>
        </w:tabs>
        <w:jc w:val="both"/>
        <w:rPr>
          <w:bCs/>
          <w:sz w:val="22"/>
          <w:szCs w:val="22"/>
          <w:lang w:val="sr-Latn-ME"/>
        </w:rPr>
      </w:pPr>
      <w:r w:rsidRPr="00461F66">
        <w:rPr>
          <w:sz w:val="22"/>
          <w:szCs w:val="22"/>
          <w:lang w:val="sr-Latn-ME" w:eastAsia="sr-Latn-ME"/>
        </w:rPr>
        <w:t>- Hiperkalcemija.</w:t>
      </w:r>
    </w:p>
    <w:p w14:paraId="2BCCEDAB" w14:textId="77777777" w:rsidR="00B851E2" w:rsidRPr="00461F66" w:rsidRDefault="00B851E2" w:rsidP="00CC415C">
      <w:pPr>
        <w:tabs>
          <w:tab w:val="left" w:pos="540"/>
          <w:tab w:val="left" w:pos="569"/>
        </w:tabs>
        <w:jc w:val="both"/>
        <w:rPr>
          <w:bCs/>
          <w:sz w:val="22"/>
          <w:szCs w:val="22"/>
          <w:lang w:val="sr-Latn-ME"/>
        </w:rPr>
      </w:pPr>
    </w:p>
    <w:p w14:paraId="139B6BBA" w14:textId="77777777" w:rsidR="00411B4B" w:rsidRPr="00461F66" w:rsidRDefault="00411B4B" w:rsidP="00CC415C">
      <w:pPr>
        <w:tabs>
          <w:tab w:val="left" w:pos="540"/>
          <w:tab w:val="left" w:pos="569"/>
        </w:tabs>
        <w:jc w:val="both"/>
        <w:rPr>
          <w:b/>
          <w:bCs/>
          <w:sz w:val="22"/>
          <w:szCs w:val="22"/>
          <w:lang w:val="sr-Latn-ME"/>
        </w:rPr>
      </w:pPr>
      <w:r w:rsidRPr="00461F66">
        <w:rPr>
          <w:b/>
          <w:bCs/>
          <w:sz w:val="22"/>
          <w:szCs w:val="22"/>
          <w:lang w:val="sr-Latn-ME"/>
        </w:rPr>
        <w:t xml:space="preserve">4.4. </w:t>
      </w:r>
      <w:r w:rsidR="00480FB1" w:rsidRPr="00461F66">
        <w:rPr>
          <w:b/>
          <w:bCs/>
          <w:sz w:val="22"/>
          <w:szCs w:val="22"/>
          <w:lang w:val="sr-Latn-ME"/>
        </w:rPr>
        <w:tab/>
      </w:r>
      <w:r w:rsidRPr="00461F66">
        <w:rPr>
          <w:b/>
          <w:bCs/>
          <w:sz w:val="22"/>
          <w:szCs w:val="22"/>
          <w:lang w:val="sr-Latn-ME"/>
        </w:rPr>
        <w:t>Posebna upozorenja i mjere opreza pri upotrebi lijeka</w:t>
      </w:r>
    </w:p>
    <w:p w14:paraId="4C8086A7" w14:textId="77777777" w:rsidR="0072020E" w:rsidRPr="00461F66" w:rsidRDefault="0072020E" w:rsidP="00CC415C">
      <w:pPr>
        <w:tabs>
          <w:tab w:val="left" w:pos="540"/>
          <w:tab w:val="left" w:pos="569"/>
        </w:tabs>
        <w:jc w:val="both"/>
        <w:rPr>
          <w:bCs/>
          <w:sz w:val="22"/>
          <w:szCs w:val="22"/>
          <w:lang w:val="sr-Latn-ME"/>
        </w:rPr>
      </w:pPr>
    </w:p>
    <w:p w14:paraId="47B69EE8" w14:textId="77777777"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Prevelika supresija paratireoidnog hormona može rezultirati povećanjem koncentracije kalcijuma u serumu i može voditi ka metaboličkoj bolesti kostiju. Praćenje pacijenata i individualno titriranje doze su potrebni kako bi se postigli odgovarajući fiziološki efekti.</w:t>
      </w:r>
    </w:p>
    <w:p w14:paraId="43FB04B8" w14:textId="77777777" w:rsidR="00B851E2" w:rsidRPr="00461F66" w:rsidRDefault="00B851E2" w:rsidP="00CC415C">
      <w:pPr>
        <w:autoSpaceDE w:val="0"/>
        <w:autoSpaceDN w:val="0"/>
        <w:adjustRightInd w:val="0"/>
        <w:jc w:val="both"/>
        <w:rPr>
          <w:sz w:val="22"/>
          <w:szCs w:val="22"/>
          <w:lang w:val="sr-Latn-ME" w:eastAsia="sr-Latn-ME"/>
        </w:rPr>
      </w:pPr>
    </w:p>
    <w:p w14:paraId="0FF0E9E7" w14:textId="77777777"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lastRenderedPageBreak/>
        <w:t>Ukoliko se razvije klinički značajna hiperkalcemija, a pacijent prima ljekove koji vezuju fosfate na bazi kalcijuma, dozu ljekova koji vezuje fosfate na bazi kalcijuma treba smanjiti ili obustaviti njihovu primjenu.</w:t>
      </w:r>
    </w:p>
    <w:p w14:paraId="2849FB57" w14:textId="77777777" w:rsidR="00B851E2" w:rsidRPr="00461F66" w:rsidRDefault="00B851E2" w:rsidP="00CC415C">
      <w:pPr>
        <w:autoSpaceDE w:val="0"/>
        <w:autoSpaceDN w:val="0"/>
        <w:adjustRightInd w:val="0"/>
        <w:jc w:val="both"/>
        <w:rPr>
          <w:sz w:val="22"/>
          <w:szCs w:val="22"/>
          <w:lang w:val="sr-Latn-ME" w:eastAsia="sr-Latn-ME"/>
        </w:rPr>
      </w:pPr>
    </w:p>
    <w:p w14:paraId="7370A081" w14:textId="108E4913"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Fosfat ili vitamin D-vezani ljekovi se ne smiju uzimati zajedno sa parikalcitolom zbog povećanog rizika od hiperkalcemije i povećanja Ca x P proizvoda (vidjeti </w:t>
      </w:r>
      <w:r w:rsidR="00F31740" w:rsidRPr="00461F66">
        <w:rPr>
          <w:sz w:val="22"/>
          <w:szCs w:val="22"/>
          <w:lang w:val="sr-Latn-ME" w:eastAsia="sr-Latn-ME"/>
        </w:rPr>
        <w:t>dio</w:t>
      </w:r>
      <w:r w:rsidRPr="00461F66">
        <w:rPr>
          <w:sz w:val="22"/>
          <w:szCs w:val="22"/>
          <w:lang w:val="sr-Latn-ME" w:eastAsia="sr-Latn-ME"/>
        </w:rPr>
        <w:t xml:space="preserve"> 4.5).</w:t>
      </w:r>
    </w:p>
    <w:p w14:paraId="42CA7C55" w14:textId="77777777" w:rsidR="00B851E2" w:rsidRPr="00461F66" w:rsidRDefault="00B851E2" w:rsidP="00CC415C">
      <w:pPr>
        <w:autoSpaceDE w:val="0"/>
        <w:autoSpaceDN w:val="0"/>
        <w:adjustRightInd w:val="0"/>
        <w:jc w:val="both"/>
        <w:rPr>
          <w:sz w:val="22"/>
          <w:szCs w:val="22"/>
          <w:lang w:val="sr-Latn-ME" w:eastAsia="sr-Latn-ME"/>
        </w:rPr>
      </w:pPr>
    </w:p>
    <w:p w14:paraId="6D10B24D" w14:textId="0C3DCECD"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Toksičnost digitalisa je povećana usljed hiperkalcemije iz bilo kog razloga, zbog toga treba biti vrlo oprezan kada se digitalis propisuje zajedno sa parikalcitolom (vidjeti </w:t>
      </w:r>
      <w:r w:rsidR="00F31740" w:rsidRPr="00461F66">
        <w:rPr>
          <w:sz w:val="22"/>
          <w:szCs w:val="22"/>
          <w:lang w:val="sr-Latn-ME" w:eastAsia="sr-Latn-ME"/>
        </w:rPr>
        <w:t>dio</w:t>
      </w:r>
      <w:r w:rsidRPr="00461F66">
        <w:rPr>
          <w:sz w:val="22"/>
          <w:szCs w:val="22"/>
          <w:lang w:val="sr-Latn-ME" w:eastAsia="sr-Latn-ME"/>
        </w:rPr>
        <w:t xml:space="preserve"> 4.5).</w:t>
      </w:r>
    </w:p>
    <w:p w14:paraId="3495239E" w14:textId="77777777" w:rsidR="00B851E2" w:rsidRPr="00461F66" w:rsidRDefault="00B851E2" w:rsidP="00CC415C">
      <w:pPr>
        <w:autoSpaceDE w:val="0"/>
        <w:autoSpaceDN w:val="0"/>
        <w:adjustRightInd w:val="0"/>
        <w:jc w:val="both"/>
        <w:rPr>
          <w:sz w:val="22"/>
          <w:szCs w:val="22"/>
          <w:lang w:val="sr-Latn-ME" w:eastAsia="sr-Latn-ME"/>
        </w:rPr>
      </w:pPr>
    </w:p>
    <w:p w14:paraId="588430C0" w14:textId="3C410DFC" w:rsidR="00B851E2" w:rsidRPr="00461F66" w:rsidRDefault="00B851E2"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Treba voditi računa kada se parikalcitol daje zajedno sa ketokonazolom (vidjeti </w:t>
      </w:r>
      <w:r w:rsidR="00F31740" w:rsidRPr="00461F66">
        <w:rPr>
          <w:sz w:val="22"/>
          <w:szCs w:val="22"/>
          <w:lang w:val="sr-Latn-ME" w:eastAsia="sr-Latn-ME"/>
        </w:rPr>
        <w:t>dio</w:t>
      </w:r>
      <w:r w:rsidRPr="00461F66">
        <w:rPr>
          <w:sz w:val="22"/>
          <w:szCs w:val="22"/>
          <w:lang w:val="sr-Latn-ME" w:eastAsia="sr-Latn-ME"/>
        </w:rPr>
        <w:t xml:space="preserve"> 4.5).</w:t>
      </w:r>
    </w:p>
    <w:p w14:paraId="624F131C" w14:textId="77777777" w:rsidR="00B851E2" w:rsidRPr="00461F66" w:rsidRDefault="00B851E2" w:rsidP="00CC415C">
      <w:pPr>
        <w:autoSpaceDE w:val="0"/>
        <w:autoSpaceDN w:val="0"/>
        <w:adjustRightInd w:val="0"/>
        <w:jc w:val="both"/>
        <w:rPr>
          <w:sz w:val="22"/>
          <w:szCs w:val="22"/>
          <w:lang w:val="sr-Latn-ME" w:eastAsia="sr-Latn-ME"/>
        </w:rPr>
      </w:pPr>
    </w:p>
    <w:p w14:paraId="0378B43B" w14:textId="0E9CFF74" w:rsidR="00057E35" w:rsidRPr="00461F66" w:rsidRDefault="00B851E2" w:rsidP="00CC415C">
      <w:pPr>
        <w:tabs>
          <w:tab w:val="left" w:pos="540"/>
          <w:tab w:val="left" w:pos="569"/>
        </w:tabs>
        <w:jc w:val="both"/>
        <w:rPr>
          <w:sz w:val="22"/>
          <w:szCs w:val="22"/>
          <w:lang w:val="sr-Latn-ME" w:eastAsia="sr-Latn-ME"/>
        </w:rPr>
      </w:pPr>
      <w:r w:rsidRPr="00461F66">
        <w:rPr>
          <w:sz w:val="22"/>
          <w:szCs w:val="22"/>
          <w:lang w:val="sr-Latn-ME" w:eastAsia="sr-Latn-ME"/>
        </w:rPr>
        <w:t>Ovaj lijek sadrži 11% v/v etanola (alkohola). Štetan je za osobe koje boluju od alkoholizma. Mora se obratiti pažnja tokom primjene ovog lijeka kod trudnica i dojilja, djece i populacija visokog rizika kao što su pacijenti sa oboljenjima jetre ili epilepsijom.</w:t>
      </w:r>
    </w:p>
    <w:p w14:paraId="39279A5C" w14:textId="77777777" w:rsidR="00B851E2" w:rsidRPr="00461F66" w:rsidRDefault="00B851E2" w:rsidP="00CC415C">
      <w:pPr>
        <w:tabs>
          <w:tab w:val="left" w:pos="540"/>
          <w:tab w:val="left" w:pos="569"/>
        </w:tabs>
        <w:jc w:val="both"/>
        <w:rPr>
          <w:bCs/>
          <w:sz w:val="22"/>
          <w:szCs w:val="22"/>
          <w:lang w:val="sr-Latn-ME"/>
        </w:rPr>
      </w:pPr>
    </w:p>
    <w:p w14:paraId="48A6FD98" w14:textId="088CF306" w:rsidR="00411B4B" w:rsidRPr="00461F66" w:rsidRDefault="00411B4B" w:rsidP="00CC415C">
      <w:pPr>
        <w:tabs>
          <w:tab w:val="left" w:pos="540"/>
          <w:tab w:val="left" w:pos="569"/>
        </w:tabs>
        <w:jc w:val="both"/>
        <w:rPr>
          <w:b/>
          <w:bCs/>
          <w:sz w:val="22"/>
          <w:szCs w:val="22"/>
          <w:lang w:val="sr-Latn-ME"/>
        </w:rPr>
      </w:pPr>
      <w:r w:rsidRPr="00461F66">
        <w:rPr>
          <w:b/>
          <w:bCs/>
          <w:sz w:val="22"/>
          <w:szCs w:val="22"/>
          <w:lang w:val="sr-Latn-ME"/>
        </w:rPr>
        <w:t>4.5.</w:t>
      </w:r>
      <w:r w:rsidR="00DC0AEE" w:rsidRPr="00461F66">
        <w:rPr>
          <w:b/>
          <w:bCs/>
          <w:sz w:val="22"/>
          <w:szCs w:val="22"/>
          <w:lang w:val="sr-Latn-ME"/>
        </w:rPr>
        <w:t xml:space="preserve"> </w:t>
      </w:r>
      <w:r w:rsidRPr="00461F66">
        <w:rPr>
          <w:b/>
          <w:bCs/>
          <w:sz w:val="22"/>
          <w:szCs w:val="22"/>
          <w:lang w:val="sr-Latn-ME"/>
        </w:rPr>
        <w:t>Interakcije sa drugim ljekovima i druge vrste interakcija</w:t>
      </w:r>
    </w:p>
    <w:p w14:paraId="495B98F8" w14:textId="77777777" w:rsidR="0072020E" w:rsidRPr="00461F66" w:rsidRDefault="0072020E" w:rsidP="00CC415C">
      <w:pPr>
        <w:tabs>
          <w:tab w:val="left" w:pos="540"/>
          <w:tab w:val="left" w:pos="569"/>
        </w:tabs>
        <w:jc w:val="both"/>
        <w:rPr>
          <w:bCs/>
          <w:sz w:val="22"/>
          <w:szCs w:val="22"/>
          <w:lang w:val="sr-Latn-ME"/>
        </w:rPr>
      </w:pPr>
    </w:p>
    <w:p w14:paraId="6378CBCF" w14:textId="3F4E1D1F"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Nisu sprovedena ispitivanja mogućih interakcija parikalcitola u obliku rastvora za injekciju sa drugim ljekovima. Ipak, sprovedeno je ispitivanje interakcije između ketokonazola i parikalcitola u obliku kapsula.</w:t>
      </w:r>
    </w:p>
    <w:p w14:paraId="2C2FC29B" w14:textId="77777777" w:rsidR="00B151B4" w:rsidRPr="00461F66" w:rsidRDefault="00B151B4" w:rsidP="00CC415C">
      <w:pPr>
        <w:autoSpaceDE w:val="0"/>
        <w:autoSpaceDN w:val="0"/>
        <w:adjustRightInd w:val="0"/>
        <w:jc w:val="both"/>
        <w:rPr>
          <w:sz w:val="22"/>
          <w:szCs w:val="22"/>
          <w:lang w:val="sr-Latn-ME" w:eastAsia="sr-Latn-ME"/>
        </w:rPr>
      </w:pPr>
    </w:p>
    <w:p w14:paraId="7E6C8D5F" w14:textId="079E8378" w:rsidR="00F31740" w:rsidRPr="00461F66" w:rsidRDefault="00F31740"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Ljekove koji se odnose na fosfate ili vitamin D ne treba uzimati zajedno sa parikalcitolom zbog povećanog rizika od hiperkalcemije i povećane proizvodnje Ca x P proizvoda (vidjeti dio 4.4). </w:t>
      </w:r>
    </w:p>
    <w:p w14:paraId="17B3718A" w14:textId="77777777" w:rsidR="00F31740" w:rsidRPr="00461F66" w:rsidRDefault="00F31740" w:rsidP="00CC415C">
      <w:pPr>
        <w:autoSpaceDE w:val="0"/>
        <w:autoSpaceDN w:val="0"/>
        <w:adjustRightInd w:val="0"/>
        <w:jc w:val="both"/>
        <w:rPr>
          <w:sz w:val="22"/>
          <w:szCs w:val="22"/>
          <w:lang w:val="sr-Latn-ME" w:eastAsia="sr-Latn-ME"/>
        </w:rPr>
      </w:pPr>
    </w:p>
    <w:p w14:paraId="2317DD2B" w14:textId="77777777" w:rsidR="00F31740" w:rsidRPr="00461F66" w:rsidRDefault="00F31740" w:rsidP="00CC415C">
      <w:pPr>
        <w:tabs>
          <w:tab w:val="left" w:pos="540"/>
          <w:tab w:val="left" w:pos="569"/>
        </w:tabs>
        <w:jc w:val="both"/>
        <w:rPr>
          <w:sz w:val="22"/>
          <w:szCs w:val="22"/>
          <w:lang w:val="sr-Latn-ME" w:eastAsia="sr-Latn-ME"/>
        </w:rPr>
      </w:pPr>
      <w:r w:rsidRPr="00461F66">
        <w:rPr>
          <w:sz w:val="22"/>
          <w:szCs w:val="22"/>
          <w:lang w:val="sr-Latn-ME" w:eastAsia="sr-Latn-ME"/>
        </w:rPr>
        <w:t>Visoke doze preparata koji sadrže kalcijum ili tiazidni diuretici mogu povećati rizik od hiperkalcemije.</w:t>
      </w:r>
    </w:p>
    <w:p w14:paraId="24BBA6B6" w14:textId="77777777" w:rsidR="00F31740" w:rsidRPr="00461F66" w:rsidRDefault="00F31740" w:rsidP="00CC415C">
      <w:pPr>
        <w:autoSpaceDE w:val="0"/>
        <w:autoSpaceDN w:val="0"/>
        <w:adjustRightInd w:val="0"/>
        <w:jc w:val="both"/>
        <w:rPr>
          <w:sz w:val="22"/>
          <w:szCs w:val="22"/>
          <w:lang w:val="sr-Latn-ME" w:eastAsia="sr-Latn-ME"/>
        </w:rPr>
      </w:pPr>
    </w:p>
    <w:p w14:paraId="19F273DC" w14:textId="41C97E64" w:rsidR="00F31740" w:rsidRPr="00461F66" w:rsidRDefault="00F31740" w:rsidP="00CC415C">
      <w:pPr>
        <w:autoSpaceDE w:val="0"/>
        <w:autoSpaceDN w:val="0"/>
        <w:adjustRightInd w:val="0"/>
        <w:jc w:val="both"/>
        <w:rPr>
          <w:sz w:val="22"/>
          <w:szCs w:val="22"/>
          <w:lang w:val="sr-Latn-ME" w:eastAsia="sr-Latn-ME"/>
        </w:rPr>
      </w:pPr>
      <w:r w:rsidRPr="00461F66">
        <w:rPr>
          <w:sz w:val="22"/>
          <w:szCs w:val="22"/>
          <w:lang w:val="sr-Latn-ME" w:eastAsia="sr-Latn-ME"/>
        </w:rPr>
        <w:t>Ljekovi koji sadrže aluminijum (npr.</w:t>
      </w:r>
      <w:r w:rsidR="00DC0AEE" w:rsidRPr="00461F66">
        <w:rPr>
          <w:sz w:val="22"/>
          <w:szCs w:val="22"/>
          <w:lang w:val="sr-Latn-ME" w:eastAsia="sr-Latn-ME"/>
        </w:rPr>
        <w:t xml:space="preserve"> </w:t>
      </w:r>
      <w:r w:rsidRPr="00461F66">
        <w:rPr>
          <w:sz w:val="22"/>
          <w:szCs w:val="22"/>
          <w:lang w:val="sr-Latn-ME" w:eastAsia="sr-Latn-ME"/>
        </w:rPr>
        <w:t>antacidi ili ljekovi koji vezuju fosfate) ne smiju se dugotrajno uzimati zajedno sa preparatima koji sadrže vitamin D, jer mogu izazvati porast aluminijuma u krvi i pojavu toksičnog djelovanja aluminijuma na kosti.</w:t>
      </w:r>
    </w:p>
    <w:p w14:paraId="1CAFA8FB" w14:textId="77777777" w:rsidR="00F31740" w:rsidRPr="00461F66" w:rsidRDefault="00F31740" w:rsidP="00CC415C">
      <w:pPr>
        <w:autoSpaceDE w:val="0"/>
        <w:autoSpaceDN w:val="0"/>
        <w:adjustRightInd w:val="0"/>
        <w:jc w:val="both"/>
        <w:rPr>
          <w:sz w:val="22"/>
          <w:szCs w:val="22"/>
          <w:lang w:val="sr-Latn-ME" w:eastAsia="sr-Latn-ME"/>
        </w:rPr>
      </w:pPr>
    </w:p>
    <w:p w14:paraId="774A9399" w14:textId="4166BD65" w:rsidR="00CD7ACC" w:rsidRPr="00461F66" w:rsidRDefault="00CD7ACC" w:rsidP="00CC415C">
      <w:pPr>
        <w:autoSpaceDE w:val="0"/>
        <w:autoSpaceDN w:val="0"/>
        <w:adjustRightInd w:val="0"/>
        <w:jc w:val="both"/>
        <w:rPr>
          <w:sz w:val="22"/>
          <w:szCs w:val="22"/>
          <w:lang w:val="sr-Latn-ME" w:eastAsia="sr-Latn-ME"/>
        </w:rPr>
      </w:pPr>
      <w:r w:rsidRPr="00461F66">
        <w:rPr>
          <w:sz w:val="22"/>
          <w:szCs w:val="22"/>
          <w:lang w:val="sr-Latn-ME" w:eastAsia="sr-Latn-ME"/>
        </w:rPr>
        <w:t>Ljekovi koji sadrže magnezijum (npr. antacidi) ne smiju se uzimati istovremeno sa preparatima vitamina D, jer se može razviti hipermagnezijemija.</w:t>
      </w:r>
    </w:p>
    <w:p w14:paraId="7E6E0E76" w14:textId="77777777" w:rsidR="00CD7ACC" w:rsidRPr="00461F66" w:rsidRDefault="00CD7ACC" w:rsidP="00CC415C">
      <w:pPr>
        <w:autoSpaceDE w:val="0"/>
        <w:autoSpaceDN w:val="0"/>
        <w:adjustRightInd w:val="0"/>
        <w:jc w:val="both"/>
        <w:rPr>
          <w:sz w:val="22"/>
          <w:szCs w:val="22"/>
          <w:lang w:val="sr-Latn-ME" w:eastAsia="sr-Latn-ME"/>
        </w:rPr>
      </w:pPr>
    </w:p>
    <w:p w14:paraId="3F497832" w14:textId="1D7CA981"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Ketokonazol je poznat kao nespecifični inhibitor nekoliko enzima citohroma P450. Dostupni </w:t>
      </w:r>
      <w:r w:rsidRPr="00461F66">
        <w:rPr>
          <w:i/>
          <w:iCs/>
          <w:sz w:val="22"/>
          <w:szCs w:val="22"/>
          <w:lang w:val="sr-Latn-ME" w:eastAsia="sr-Latn-ME"/>
        </w:rPr>
        <w:t xml:space="preserve">in vivo </w:t>
      </w:r>
      <w:r w:rsidRPr="00461F66">
        <w:rPr>
          <w:sz w:val="22"/>
          <w:szCs w:val="22"/>
          <w:lang w:val="sr-Latn-ME" w:eastAsia="sr-Latn-ME"/>
        </w:rPr>
        <w:t xml:space="preserve">i </w:t>
      </w:r>
      <w:r w:rsidRPr="00461F66">
        <w:rPr>
          <w:i/>
          <w:iCs/>
          <w:sz w:val="22"/>
          <w:szCs w:val="22"/>
          <w:lang w:val="sr-Latn-ME" w:eastAsia="sr-Latn-ME"/>
        </w:rPr>
        <w:t xml:space="preserve">in vitro </w:t>
      </w:r>
      <w:r w:rsidRPr="00461F66">
        <w:rPr>
          <w:sz w:val="22"/>
          <w:szCs w:val="22"/>
          <w:lang w:val="sr-Latn-ME" w:eastAsia="sr-Latn-ME"/>
        </w:rPr>
        <w:t>podaci ukazuju na to da ketokonazol može da stupi u interakciju sa enzimima koji su</w:t>
      </w:r>
      <w:r w:rsidRPr="00461F66">
        <w:rPr>
          <w:i/>
          <w:iCs/>
          <w:sz w:val="22"/>
          <w:szCs w:val="22"/>
          <w:lang w:val="sr-Latn-ME" w:eastAsia="sr-Latn-ME"/>
        </w:rPr>
        <w:t xml:space="preserve"> </w:t>
      </w:r>
      <w:r w:rsidRPr="00461F66">
        <w:rPr>
          <w:sz w:val="22"/>
          <w:szCs w:val="22"/>
          <w:lang w:val="sr-Latn-ME" w:eastAsia="sr-Latn-ME"/>
        </w:rPr>
        <w:t>odgovorni za metabolizam parikalcitola i drugih analoga D vitamina. Potreban je oprez pri doziranju</w:t>
      </w:r>
      <w:r w:rsidRPr="00461F66">
        <w:rPr>
          <w:i/>
          <w:iCs/>
          <w:sz w:val="22"/>
          <w:szCs w:val="22"/>
          <w:lang w:val="sr-Latn-ME" w:eastAsia="sr-Latn-ME"/>
        </w:rPr>
        <w:t xml:space="preserve"> </w:t>
      </w:r>
      <w:r w:rsidRPr="00461F66">
        <w:rPr>
          <w:sz w:val="22"/>
          <w:szCs w:val="22"/>
          <w:lang w:val="sr-Latn-ME" w:eastAsia="sr-Latn-ME"/>
        </w:rPr>
        <w:t xml:space="preserve">parikalcitola u prisustvu ketokonazola (vidjeti </w:t>
      </w:r>
      <w:r w:rsidR="00F31740" w:rsidRPr="00461F66">
        <w:rPr>
          <w:sz w:val="22"/>
          <w:szCs w:val="22"/>
          <w:lang w:val="sr-Latn-ME" w:eastAsia="sr-Latn-ME"/>
        </w:rPr>
        <w:t>dio</w:t>
      </w:r>
      <w:r w:rsidRPr="00461F66">
        <w:rPr>
          <w:sz w:val="22"/>
          <w:szCs w:val="22"/>
          <w:lang w:val="sr-Latn-ME" w:eastAsia="sr-Latn-ME"/>
        </w:rPr>
        <w:t xml:space="preserve"> 4.4). Efekat višekratnih doza ketokonazola primijenjenih u dozi od 200 mg, dva puta dnevno u toku 5 dana na farmakokinetiku parikalcitola u obliku kapsula ispitivana je kod zdravih ispitanika. Prisustvo ketokonazola je minimalno uticalo na vrijednost C</w:t>
      </w:r>
      <w:r w:rsidRPr="00461F66">
        <w:rPr>
          <w:sz w:val="14"/>
          <w:szCs w:val="14"/>
          <w:lang w:val="sr-Latn-ME" w:eastAsia="sr-Latn-ME"/>
        </w:rPr>
        <w:t>max</w:t>
      </w:r>
      <w:r w:rsidRPr="00461F66">
        <w:rPr>
          <w:sz w:val="22"/>
          <w:szCs w:val="22"/>
          <w:lang w:val="sr-Latn-ME" w:eastAsia="sr-Latn-ME"/>
        </w:rPr>
        <w:t>, ali se vrijednost PIK</w:t>
      </w:r>
      <w:r w:rsidRPr="00461F66">
        <w:rPr>
          <w:sz w:val="14"/>
          <w:szCs w:val="14"/>
          <w:lang w:val="sr-Latn-ME" w:eastAsia="sr-Latn-ME"/>
        </w:rPr>
        <w:t xml:space="preserve">0-∞ </w:t>
      </w:r>
      <w:r w:rsidRPr="00461F66">
        <w:rPr>
          <w:sz w:val="22"/>
          <w:szCs w:val="22"/>
          <w:lang w:val="sr-Latn-ME" w:eastAsia="sr-Latn-ME"/>
        </w:rPr>
        <w:t>gotovo udvostručila. Srednji poluživot parikalcitola u prisustvu ketokonazola bio je 17 sati, u odnosu na 9,8 sati kada je dat samo parikalcitol. Rezultati ovog ispitivanja pokazuju da se PIK</w:t>
      </w:r>
      <w:r w:rsidRPr="00461F66">
        <w:rPr>
          <w:sz w:val="14"/>
          <w:szCs w:val="14"/>
          <w:lang w:val="sr-Latn-ME" w:eastAsia="sr-Latn-ME"/>
        </w:rPr>
        <w:t xml:space="preserve">∞ </w:t>
      </w:r>
      <w:r w:rsidRPr="00461F66">
        <w:rPr>
          <w:sz w:val="22"/>
          <w:szCs w:val="22"/>
          <w:lang w:val="sr-Latn-ME" w:eastAsia="sr-Latn-ME"/>
        </w:rPr>
        <w:t>peroralno primijenjenog parikalcitola, zbog interakcije sa ketokonazolom vjerovatno ne bi povećala za više od otprilike dvostruko.</w:t>
      </w:r>
    </w:p>
    <w:p w14:paraId="0094DF60" w14:textId="77777777" w:rsidR="00B151B4" w:rsidRPr="00461F66" w:rsidRDefault="00B151B4" w:rsidP="00CC415C">
      <w:pPr>
        <w:autoSpaceDE w:val="0"/>
        <w:autoSpaceDN w:val="0"/>
        <w:adjustRightInd w:val="0"/>
        <w:jc w:val="both"/>
        <w:rPr>
          <w:i/>
          <w:iCs/>
          <w:sz w:val="22"/>
          <w:szCs w:val="22"/>
          <w:lang w:val="sr-Latn-ME" w:eastAsia="sr-Latn-ME"/>
        </w:rPr>
      </w:pPr>
    </w:p>
    <w:p w14:paraId="6A4A04BE" w14:textId="6F1536A6"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Studije specifičnih interakcija </w:t>
      </w:r>
      <w:r w:rsidR="00062C93" w:rsidRPr="00461F66">
        <w:rPr>
          <w:sz w:val="22"/>
          <w:szCs w:val="22"/>
          <w:lang w:val="sr-Latn-ME" w:eastAsia="sr-Latn-ME"/>
        </w:rPr>
        <w:t>nisu</w:t>
      </w:r>
      <w:r w:rsidRPr="00461F66">
        <w:rPr>
          <w:sz w:val="22"/>
          <w:szCs w:val="22"/>
          <w:lang w:val="sr-Latn-ME" w:eastAsia="sr-Latn-ME"/>
        </w:rPr>
        <w:t xml:space="preserve"> izvršene. Toksičnost digitalisa se povećava hiperkalcemijom bilo kog uzroka, stoga treba voditi računa kada se digitalis propisuje istovremeno sa parikalcitolom (vidjeti </w:t>
      </w:r>
      <w:r w:rsidR="00F31740" w:rsidRPr="00461F66">
        <w:rPr>
          <w:sz w:val="22"/>
          <w:szCs w:val="22"/>
          <w:lang w:val="sr-Latn-ME" w:eastAsia="sr-Latn-ME"/>
        </w:rPr>
        <w:t>dio</w:t>
      </w:r>
      <w:r w:rsidRPr="00461F66">
        <w:rPr>
          <w:sz w:val="22"/>
          <w:szCs w:val="22"/>
          <w:lang w:val="sr-Latn-ME" w:eastAsia="sr-Latn-ME"/>
        </w:rPr>
        <w:t xml:space="preserve"> 4.4). </w:t>
      </w:r>
    </w:p>
    <w:p w14:paraId="34A4E6EF" w14:textId="6AD0C153" w:rsidR="00B151B4" w:rsidRPr="00461F66" w:rsidRDefault="00B151B4" w:rsidP="00CC415C">
      <w:pPr>
        <w:autoSpaceDE w:val="0"/>
        <w:autoSpaceDN w:val="0"/>
        <w:adjustRightInd w:val="0"/>
        <w:jc w:val="both"/>
        <w:rPr>
          <w:sz w:val="22"/>
          <w:szCs w:val="22"/>
          <w:lang w:val="sr-Latn-ME" w:eastAsia="sr-Latn-ME"/>
        </w:rPr>
      </w:pPr>
    </w:p>
    <w:p w14:paraId="5A083962" w14:textId="77777777" w:rsidR="0072020E" w:rsidRPr="00461F66" w:rsidRDefault="0072020E" w:rsidP="00CC415C">
      <w:pPr>
        <w:tabs>
          <w:tab w:val="left" w:pos="540"/>
          <w:tab w:val="left" w:pos="569"/>
        </w:tabs>
        <w:jc w:val="both"/>
        <w:rPr>
          <w:b/>
          <w:sz w:val="22"/>
          <w:szCs w:val="22"/>
          <w:lang w:val="sr-Latn-ME"/>
        </w:rPr>
      </w:pPr>
      <w:r w:rsidRPr="00461F66">
        <w:rPr>
          <w:b/>
          <w:bCs/>
          <w:sz w:val="22"/>
          <w:szCs w:val="22"/>
          <w:lang w:val="sr-Latn-ME"/>
        </w:rPr>
        <w:t xml:space="preserve">4.6. </w:t>
      </w:r>
      <w:r w:rsidR="00480FB1" w:rsidRPr="00461F66">
        <w:rPr>
          <w:b/>
          <w:bCs/>
          <w:sz w:val="22"/>
          <w:szCs w:val="22"/>
          <w:lang w:val="sr-Latn-ME"/>
        </w:rPr>
        <w:tab/>
      </w:r>
      <w:r w:rsidR="006D20A5" w:rsidRPr="00461F66">
        <w:rPr>
          <w:b/>
          <w:sz w:val="22"/>
          <w:szCs w:val="22"/>
          <w:lang w:val="sr-Latn-ME"/>
        </w:rPr>
        <w:t>Plodnost, trudnoća i dojenje</w:t>
      </w:r>
    </w:p>
    <w:p w14:paraId="088E55E6" w14:textId="77777777" w:rsidR="002031B3" w:rsidRPr="00461F66" w:rsidRDefault="002031B3" w:rsidP="00CC415C">
      <w:pPr>
        <w:tabs>
          <w:tab w:val="left" w:pos="540"/>
          <w:tab w:val="left" w:pos="569"/>
        </w:tabs>
        <w:jc w:val="both"/>
        <w:rPr>
          <w:sz w:val="22"/>
          <w:szCs w:val="22"/>
          <w:u w:val="single"/>
          <w:lang w:val="sr-Latn-ME"/>
        </w:rPr>
      </w:pPr>
    </w:p>
    <w:p w14:paraId="7C214ACB" w14:textId="77777777" w:rsidR="00B151B4" w:rsidRPr="00461F66" w:rsidRDefault="00B151B4" w:rsidP="00CC415C">
      <w:pPr>
        <w:tabs>
          <w:tab w:val="left" w:pos="540"/>
          <w:tab w:val="left" w:pos="569"/>
        </w:tabs>
        <w:jc w:val="both"/>
        <w:rPr>
          <w:sz w:val="22"/>
          <w:szCs w:val="22"/>
          <w:u w:val="single"/>
          <w:lang w:val="sr-Latn-ME"/>
        </w:rPr>
      </w:pPr>
      <w:r w:rsidRPr="00461F66">
        <w:rPr>
          <w:sz w:val="22"/>
          <w:szCs w:val="22"/>
          <w:u w:val="single"/>
          <w:lang w:val="sr-Latn-ME"/>
        </w:rPr>
        <w:t>Trudnoća</w:t>
      </w:r>
    </w:p>
    <w:p w14:paraId="243F390C" w14:textId="66A62D40"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Nema podataka ili su podaci o primjeni parikalcitola kod trudnica ograničeni. Ispitivanja na životinjama su pokazala reproduktivnu toksičnost (vidjeti </w:t>
      </w:r>
      <w:r w:rsidR="00F31740" w:rsidRPr="00461F66">
        <w:rPr>
          <w:sz w:val="22"/>
          <w:szCs w:val="22"/>
          <w:lang w:val="sr-Latn-ME" w:eastAsia="sr-Latn-ME"/>
        </w:rPr>
        <w:t>dio</w:t>
      </w:r>
      <w:r w:rsidRPr="00461F66">
        <w:rPr>
          <w:sz w:val="22"/>
          <w:szCs w:val="22"/>
          <w:lang w:val="sr-Latn-ME" w:eastAsia="sr-Latn-ME"/>
        </w:rPr>
        <w:t xml:space="preserve"> 5.3). Lijek Rextol se ne preporučuje tokom trudnoće i kod žena u reproduktivnom periodu, koje ne koriste kontracepciju.</w:t>
      </w:r>
    </w:p>
    <w:p w14:paraId="287C3908" w14:textId="77777777" w:rsidR="00B151B4" w:rsidRPr="00461F66" w:rsidRDefault="00B151B4" w:rsidP="00CC415C">
      <w:pPr>
        <w:tabs>
          <w:tab w:val="left" w:pos="540"/>
          <w:tab w:val="left" w:pos="569"/>
        </w:tabs>
        <w:jc w:val="both"/>
        <w:rPr>
          <w:sz w:val="22"/>
          <w:szCs w:val="22"/>
          <w:u w:val="single"/>
          <w:lang w:val="sr-Latn-ME"/>
        </w:rPr>
      </w:pPr>
    </w:p>
    <w:p w14:paraId="32B196C7" w14:textId="77777777" w:rsidR="00D20112" w:rsidRDefault="00D20112" w:rsidP="00CC415C">
      <w:pPr>
        <w:tabs>
          <w:tab w:val="left" w:pos="540"/>
          <w:tab w:val="left" w:pos="569"/>
        </w:tabs>
        <w:jc w:val="both"/>
        <w:rPr>
          <w:sz w:val="22"/>
          <w:szCs w:val="22"/>
          <w:u w:val="single"/>
          <w:lang w:val="sr-Latn-ME"/>
        </w:rPr>
      </w:pPr>
    </w:p>
    <w:p w14:paraId="40A4C02C" w14:textId="58543CE9" w:rsidR="00B151B4" w:rsidRPr="00461F66" w:rsidRDefault="00B151B4" w:rsidP="00CC415C">
      <w:pPr>
        <w:tabs>
          <w:tab w:val="left" w:pos="540"/>
          <w:tab w:val="left" w:pos="569"/>
        </w:tabs>
        <w:jc w:val="both"/>
        <w:rPr>
          <w:b/>
          <w:bCs/>
          <w:sz w:val="22"/>
          <w:szCs w:val="22"/>
          <w:lang w:val="sr-Latn-ME"/>
        </w:rPr>
      </w:pPr>
      <w:r w:rsidRPr="00461F66">
        <w:rPr>
          <w:sz w:val="22"/>
          <w:szCs w:val="22"/>
          <w:u w:val="single"/>
          <w:lang w:val="sr-Latn-ME"/>
        </w:rPr>
        <w:lastRenderedPageBreak/>
        <w:t xml:space="preserve">Dojenje </w:t>
      </w:r>
    </w:p>
    <w:p w14:paraId="65BC8D55" w14:textId="153477C1" w:rsidR="0072020E" w:rsidRPr="00461F66" w:rsidRDefault="00E75287" w:rsidP="00CC415C">
      <w:pPr>
        <w:autoSpaceDE w:val="0"/>
        <w:autoSpaceDN w:val="0"/>
        <w:adjustRightInd w:val="0"/>
        <w:jc w:val="both"/>
        <w:rPr>
          <w:b/>
          <w:bCs/>
          <w:sz w:val="22"/>
          <w:szCs w:val="22"/>
          <w:lang w:val="sr-Latn-ME"/>
        </w:rPr>
      </w:pPr>
      <w:r w:rsidRPr="00461F66">
        <w:rPr>
          <w:sz w:val="22"/>
          <w:szCs w:val="22"/>
          <w:lang w:val="sr-Latn-ME" w:eastAsia="sr-Latn-ME"/>
        </w:rPr>
        <w:t xml:space="preserve">Studije na životinjama pokazale su da </w:t>
      </w:r>
      <w:r w:rsidR="00B151B4" w:rsidRPr="00461F66">
        <w:rPr>
          <w:sz w:val="22"/>
          <w:szCs w:val="22"/>
          <w:lang w:val="sr-Latn-ME" w:eastAsia="sr-Latn-ME"/>
        </w:rPr>
        <w:t>se parikalcitol i/ili njegovi metaboliti izlučuju putem majčinog mlijek</w:t>
      </w:r>
      <w:r w:rsidRPr="00461F66">
        <w:rPr>
          <w:sz w:val="22"/>
          <w:szCs w:val="22"/>
          <w:lang w:val="sr-Latn-ME" w:eastAsia="sr-Latn-ME"/>
        </w:rPr>
        <w:t>a u malim količinama</w:t>
      </w:r>
      <w:r w:rsidR="00B151B4" w:rsidRPr="00461F66">
        <w:rPr>
          <w:sz w:val="22"/>
          <w:szCs w:val="22"/>
          <w:lang w:val="sr-Latn-ME" w:eastAsia="sr-Latn-ME"/>
        </w:rPr>
        <w:t>. Mora se donijeti odluka da li prekinuti dojenje ili prekinuti terapiju lijekom Rextol, uzimajući u obzir korist od dojenja za d</w:t>
      </w:r>
      <w:r w:rsidR="009B5B93" w:rsidRPr="00461F66">
        <w:rPr>
          <w:sz w:val="22"/>
          <w:szCs w:val="22"/>
          <w:lang w:val="sr-Latn-ME" w:eastAsia="sr-Latn-ME"/>
        </w:rPr>
        <w:t>i</w:t>
      </w:r>
      <w:r w:rsidR="00B151B4" w:rsidRPr="00461F66">
        <w:rPr>
          <w:sz w:val="22"/>
          <w:szCs w:val="22"/>
          <w:lang w:val="sr-Latn-ME" w:eastAsia="sr-Latn-ME"/>
        </w:rPr>
        <w:t>jete i korist terapije za ženu.</w:t>
      </w:r>
    </w:p>
    <w:p w14:paraId="0D86E1A1" w14:textId="77777777" w:rsidR="00227BDB" w:rsidRPr="00461F66" w:rsidRDefault="00227BDB" w:rsidP="00CC415C">
      <w:pPr>
        <w:tabs>
          <w:tab w:val="left" w:pos="540"/>
          <w:tab w:val="left" w:pos="569"/>
        </w:tabs>
        <w:ind w:left="540" w:hanging="540"/>
        <w:jc w:val="both"/>
        <w:rPr>
          <w:b/>
          <w:bCs/>
          <w:sz w:val="22"/>
          <w:szCs w:val="22"/>
          <w:lang w:val="sr-Latn-ME"/>
        </w:rPr>
      </w:pPr>
    </w:p>
    <w:p w14:paraId="0A8A989C" w14:textId="77777777" w:rsidR="0072020E" w:rsidRPr="00461F66" w:rsidRDefault="0072020E" w:rsidP="00CC415C">
      <w:pPr>
        <w:tabs>
          <w:tab w:val="left" w:pos="540"/>
          <w:tab w:val="left" w:pos="569"/>
        </w:tabs>
        <w:ind w:left="540" w:hanging="540"/>
        <w:jc w:val="both"/>
        <w:rPr>
          <w:b/>
          <w:bCs/>
          <w:sz w:val="22"/>
          <w:szCs w:val="22"/>
          <w:lang w:val="sr-Latn-ME"/>
        </w:rPr>
      </w:pPr>
      <w:r w:rsidRPr="00461F66">
        <w:rPr>
          <w:b/>
          <w:bCs/>
          <w:sz w:val="22"/>
          <w:szCs w:val="22"/>
          <w:lang w:val="sr-Latn-ME"/>
        </w:rPr>
        <w:t xml:space="preserve">4.7. </w:t>
      </w:r>
      <w:r w:rsidR="00480FB1" w:rsidRPr="00461F66">
        <w:rPr>
          <w:b/>
          <w:bCs/>
          <w:sz w:val="22"/>
          <w:szCs w:val="22"/>
          <w:lang w:val="sr-Latn-ME"/>
        </w:rPr>
        <w:tab/>
      </w:r>
      <w:r w:rsidRPr="00461F66">
        <w:rPr>
          <w:b/>
          <w:bCs/>
          <w:sz w:val="22"/>
          <w:szCs w:val="22"/>
          <w:lang w:val="sr-Latn-ME"/>
        </w:rPr>
        <w:t xml:space="preserve">Uticaj na </w:t>
      </w:r>
      <w:r w:rsidR="002031B3" w:rsidRPr="00461F66">
        <w:rPr>
          <w:b/>
          <w:bCs/>
          <w:sz w:val="22"/>
          <w:szCs w:val="22"/>
          <w:lang w:val="sr-Latn-ME"/>
        </w:rPr>
        <w:t xml:space="preserve">sposobnost </w:t>
      </w:r>
      <w:r w:rsidR="00F34554" w:rsidRPr="00461F66">
        <w:rPr>
          <w:b/>
          <w:bCs/>
          <w:sz w:val="22"/>
          <w:szCs w:val="22"/>
          <w:lang w:val="sr-Latn-ME"/>
        </w:rPr>
        <w:t>upravljanja vozili</w:t>
      </w:r>
      <w:r w:rsidRPr="00461F66">
        <w:rPr>
          <w:b/>
          <w:bCs/>
          <w:sz w:val="22"/>
          <w:szCs w:val="22"/>
          <w:lang w:val="sr-Latn-ME"/>
        </w:rPr>
        <w:t>m</w:t>
      </w:r>
      <w:r w:rsidR="00F34554" w:rsidRPr="00461F66">
        <w:rPr>
          <w:b/>
          <w:bCs/>
          <w:sz w:val="22"/>
          <w:szCs w:val="22"/>
          <w:lang w:val="sr-Latn-ME"/>
        </w:rPr>
        <w:t>a</w:t>
      </w:r>
      <w:r w:rsidRPr="00461F66">
        <w:rPr>
          <w:b/>
          <w:bCs/>
          <w:sz w:val="22"/>
          <w:szCs w:val="22"/>
          <w:lang w:val="sr-Latn-ME"/>
        </w:rPr>
        <w:t xml:space="preserve"> i </w:t>
      </w:r>
      <w:r w:rsidR="000D3449" w:rsidRPr="00461F66">
        <w:rPr>
          <w:b/>
          <w:bCs/>
          <w:sz w:val="22"/>
          <w:szCs w:val="22"/>
          <w:lang w:val="sr-Latn-ME"/>
        </w:rPr>
        <w:t xml:space="preserve">rukovanje </w:t>
      </w:r>
      <w:r w:rsidRPr="00461F66">
        <w:rPr>
          <w:b/>
          <w:bCs/>
          <w:sz w:val="22"/>
          <w:szCs w:val="22"/>
          <w:lang w:val="sr-Latn-ME"/>
        </w:rPr>
        <w:t>mašinama</w:t>
      </w:r>
    </w:p>
    <w:p w14:paraId="020D5837" w14:textId="77777777" w:rsidR="0072020E" w:rsidRPr="00461F66" w:rsidRDefault="0072020E" w:rsidP="00CC415C">
      <w:pPr>
        <w:tabs>
          <w:tab w:val="left" w:pos="540"/>
          <w:tab w:val="left" w:pos="569"/>
        </w:tabs>
        <w:jc w:val="both"/>
        <w:rPr>
          <w:b/>
          <w:bCs/>
          <w:sz w:val="22"/>
          <w:szCs w:val="22"/>
          <w:lang w:val="sr-Latn-ME"/>
        </w:rPr>
      </w:pPr>
    </w:p>
    <w:p w14:paraId="7DD01AE1" w14:textId="3D3B9178" w:rsidR="00B151B4" w:rsidRPr="00461F66" w:rsidRDefault="00062C93" w:rsidP="00CC415C">
      <w:pPr>
        <w:tabs>
          <w:tab w:val="left" w:pos="540"/>
          <w:tab w:val="left" w:pos="569"/>
        </w:tabs>
        <w:jc w:val="both"/>
        <w:rPr>
          <w:sz w:val="22"/>
          <w:szCs w:val="22"/>
          <w:lang w:val="sr-Latn-ME" w:eastAsia="sr-Latn-ME"/>
        </w:rPr>
      </w:pPr>
      <w:r w:rsidRPr="00461F66">
        <w:rPr>
          <w:sz w:val="22"/>
          <w:szCs w:val="22"/>
          <w:lang w:val="sr-Latn-ME" w:eastAsia="sr-Latn-ME"/>
        </w:rPr>
        <w:t>Nisu</w:t>
      </w:r>
      <w:r w:rsidR="00B151B4" w:rsidRPr="00461F66">
        <w:rPr>
          <w:sz w:val="22"/>
          <w:szCs w:val="22"/>
          <w:lang w:val="sr-Latn-ME" w:eastAsia="sr-Latn-ME"/>
        </w:rPr>
        <w:t xml:space="preserve"> sprovedena ispitivanja uticaja na sposobnosti upravljanja vozilom i rukovanja mašinama.</w:t>
      </w:r>
    </w:p>
    <w:p w14:paraId="02E79F60" w14:textId="77777777" w:rsidR="00B151B4" w:rsidRPr="00461F66" w:rsidRDefault="00B151B4" w:rsidP="00CC415C">
      <w:pPr>
        <w:tabs>
          <w:tab w:val="left" w:pos="540"/>
          <w:tab w:val="left" w:pos="569"/>
        </w:tabs>
        <w:jc w:val="both"/>
        <w:rPr>
          <w:b/>
          <w:bCs/>
          <w:sz w:val="22"/>
          <w:szCs w:val="22"/>
          <w:lang w:val="sr-Latn-ME"/>
        </w:rPr>
      </w:pPr>
    </w:p>
    <w:p w14:paraId="54FDEAA7"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4.8. </w:t>
      </w:r>
      <w:r w:rsidR="00480FB1" w:rsidRPr="00461F66">
        <w:rPr>
          <w:b/>
          <w:bCs/>
          <w:sz w:val="22"/>
          <w:szCs w:val="22"/>
          <w:lang w:val="sr-Latn-ME"/>
        </w:rPr>
        <w:tab/>
      </w:r>
      <w:r w:rsidRPr="00461F66">
        <w:rPr>
          <w:b/>
          <w:bCs/>
          <w:sz w:val="22"/>
          <w:szCs w:val="22"/>
          <w:lang w:val="sr-Latn-ME"/>
        </w:rPr>
        <w:t>Neželjena dejstva</w:t>
      </w:r>
    </w:p>
    <w:p w14:paraId="32525F5F" w14:textId="77777777" w:rsidR="00D20112" w:rsidRDefault="00D20112" w:rsidP="00CC415C">
      <w:pPr>
        <w:autoSpaceDE w:val="0"/>
        <w:autoSpaceDN w:val="0"/>
        <w:adjustRightInd w:val="0"/>
        <w:jc w:val="both"/>
        <w:rPr>
          <w:sz w:val="22"/>
          <w:szCs w:val="22"/>
          <w:u w:val="single"/>
          <w:lang w:val="sr-Latn-ME" w:eastAsia="sr-Latn-ME"/>
        </w:rPr>
      </w:pPr>
    </w:p>
    <w:p w14:paraId="002AF30A" w14:textId="33392522" w:rsidR="00B151B4" w:rsidRPr="00461F66" w:rsidRDefault="00B151B4" w:rsidP="00CC415C">
      <w:pPr>
        <w:autoSpaceDE w:val="0"/>
        <w:autoSpaceDN w:val="0"/>
        <w:adjustRightInd w:val="0"/>
        <w:jc w:val="both"/>
        <w:rPr>
          <w:sz w:val="22"/>
          <w:szCs w:val="22"/>
          <w:u w:val="single"/>
          <w:lang w:val="sr-Latn-ME" w:eastAsia="sr-Latn-ME"/>
        </w:rPr>
      </w:pPr>
      <w:r w:rsidRPr="00461F66">
        <w:rPr>
          <w:sz w:val="22"/>
          <w:szCs w:val="22"/>
          <w:u w:val="single"/>
          <w:lang w:val="sr-Latn-ME" w:eastAsia="sr-Latn-ME"/>
        </w:rPr>
        <w:t>Sažetak bezbjednosnog profila</w:t>
      </w:r>
    </w:p>
    <w:p w14:paraId="0ABA6E20"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U kliničkim ispitivanjma II/III/IV faze parikalcitol je primalo oko 600 pacijenata. Neželjena dejstva</w:t>
      </w:r>
    </w:p>
    <w:p w14:paraId="2D1F6A8A"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prijavljena su kod ukupno 6% ispitanika liječenih parikalcitolom.</w:t>
      </w:r>
    </w:p>
    <w:p w14:paraId="2946F8BB" w14:textId="77777777" w:rsidR="00B151B4" w:rsidRPr="00461F66" w:rsidRDefault="00B151B4" w:rsidP="00CC415C">
      <w:pPr>
        <w:autoSpaceDE w:val="0"/>
        <w:autoSpaceDN w:val="0"/>
        <w:adjustRightInd w:val="0"/>
        <w:jc w:val="both"/>
        <w:rPr>
          <w:sz w:val="22"/>
          <w:szCs w:val="22"/>
          <w:lang w:val="sr-Latn-ME" w:eastAsia="sr-Latn-ME"/>
        </w:rPr>
      </w:pPr>
    </w:p>
    <w:p w14:paraId="22C0E8E7"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Najčešće neželjeno dejstvo povezano sa primjenom parikalcitola bila je hiperkalcemija koja se javila kod 4,7% pacijenata. Hiperkalcemija zavisi od nivoa prekomjerne supresije PTH i može da se svede na minimum pravilnom titracijom doze.</w:t>
      </w:r>
    </w:p>
    <w:p w14:paraId="5DB3A245" w14:textId="77777777" w:rsidR="00B151B4" w:rsidRPr="00461F66" w:rsidRDefault="00B151B4" w:rsidP="00CC415C">
      <w:pPr>
        <w:autoSpaceDE w:val="0"/>
        <w:autoSpaceDN w:val="0"/>
        <w:adjustRightInd w:val="0"/>
        <w:jc w:val="both"/>
        <w:rPr>
          <w:b/>
          <w:sz w:val="22"/>
          <w:szCs w:val="22"/>
          <w:lang w:val="sr-Latn-ME" w:eastAsia="sr-Latn-ME"/>
        </w:rPr>
      </w:pPr>
    </w:p>
    <w:p w14:paraId="4F652A0A" w14:textId="77777777" w:rsidR="00B151B4" w:rsidRPr="00461F66" w:rsidRDefault="00B151B4" w:rsidP="00CC415C">
      <w:pPr>
        <w:autoSpaceDE w:val="0"/>
        <w:autoSpaceDN w:val="0"/>
        <w:adjustRightInd w:val="0"/>
        <w:jc w:val="both"/>
        <w:rPr>
          <w:b/>
          <w:sz w:val="22"/>
          <w:szCs w:val="22"/>
          <w:lang w:val="sr-Latn-ME" w:eastAsia="sr-Latn-ME"/>
        </w:rPr>
      </w:pPr>
      <w:r w:rsidRPr="00461F66">
        <w:rPr>
          <w:b/>
          <w:sz w:val="22"/>
          <w:szCs w:val="22"/>
          <w:lang w:val="sr-Latn-ME" w:eastAsia="sr-Latn-ME"/>
        </w:rPr>
        <w:t>Tabelarni prikaz neželjenih reakcija</w:t>
      </w:r>
    </w:p>
    <w:p w14:paraId="6B99B289" w14:textId="339CD606"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Neželjena dejstva, klinička i laboratorijska, koja su i najmanje moguće bila povezana s parikalcitolom</w:t>
      </w:r>
      <w:r w:rsidR="00B61DE8" w:rsidRPr="00461F66">
        <w:rPr>
          <w:sz w:val="22"/>
          <w:szCs w:val="22"/>
          <w:lang w:val="sr-Latn-ME" w:eastAsia="sr-Latn-ME"/>
        </w:rPr>
        <w:t xml:space="preserve"> </w:t>
      </w:r>
      <w:r w:rsidRPr="00461F66">
        <w:rPr>
          <w:sz w:val="22"/>
          <w:szCs w:val="22"/>
          <w:lang w:val="sr-Latn-ME" w:eastAsia="sr-Latn-ME"/>
        </w:rPr>
        <w:t>navedena su prema organskom sistemu MedDRA i učestalosti javljanja. Korišćeno je sljedeće grupisanje po učestalosti pojave: Veoma često (≥1/10); Često (≥1/100 do &lt;1/10); Povremeno (≥1/1000 do &lt;1/100); Rijetko (≥1/10000 do &lt;1/1000); Veoma rijetko (&lt;1/10000), Nepoznato (ne mogu biti procijenjena na osnovu dostupnih podataka).</w:t>
      </w:r>
    </w:p>
    <w:p w14:paraId="76526BB2" w14:textId="77777777" w:rsidR="00B151B4" w:rsidRPr="00461F66" w:rsidRDefault="00B151B4" w:rsidP="00CC415C">
      <w:pPr>
        <w:autoSpaceDE w:val="0"/>
        <w:autoSpaceDN w:val="0"/>
        <w:adjustRightInd w:val="0"/>
        <w:jc w:val="both"/>
        <w:rPr>
          <w:sz w:val="22"/>
          <w:szCs w:val="22"/>
          <w:lang w:val="sr-Latn-ME" w:eastAsia="sr-Latn-ME"/>
        </w:rPr>
      </w:pPr>
    </w:p>
    <w:tbl>
      <w:tblPr>
        <w:tblStyle w:val="TableGrid"/>
        <w:tblW w:w="0" w:type="auto"/>
        <w:tblLook w:val="04A0" w:firstRow="1" w:lastRow="0" w:firstColumn="1" w:lastColumn="0" w:noHBand="0" w:noVBand="1"/>
      </w:tblPr>
      <w:tblGrid>
        <w:gridCol w:w="2335"/>
        <w:gridCol w:w="4671"/>
        <w:gridCol w:w="2057"/>
      </w:tblGrid>
      <w:tr w:rsidR="00B151B4" w:rsidRPr="00461F66" w14:paraId="49FF306C" w14:textId="77777777" w:rsidTr="00A741A3">
        <w:tc>
          <w:tcPr>
            <w:tcW w:w="2335" w:type="dxa"/>
          </w:tcPr>
          <w:p w14:paraId="52FA8BB7" w14:textId="77777777" w:rsidR="00B151B4" w:rsidRPr="00461F66" w:rsidRDefault="00B151B4" w:rsidP="00CC415C">
            <w:pPr>
              <w:autoSpaceDE w:val="0"/>
              <w:autoSpaceDN w:val="0"/>
              <w:adjustRightInd w:val="0"/>
              <w:jc w:val="both"/>
              <w:rPr>
                <w:b/>
                <w:sz w:val="22"/>
                <w:szCs w:val="22"/>
                <w:lang w:val="sr-Latn-ME" w:eastAsia="sr-Latn-ME"/>
              </w:rPr>
            </w:pPr>
            <w:r w:rsidRPr="00461F66">
              <w:rPr>
                <w:b/>
                <w:sz w:val="22"/>
                <w:szCs w:val="22"/>
                <w:lang w:val="sr-Latn-ME" w:eastAsia="sr-Latn-ME"/>
              </w:rPr>
              <w:t xml:space="preserve">Sistem organa </w:t>
            </w:r>
          </w:p>
        </w:tc>
        <w:tc>
          <w:tcPr>
            <w:tcW w:w="4671" w:type="dxa"/>
          </w:tcPr>
          <w:p w14:paraId="70CED5A7" w14:textId="77777777" w:rsidR="00B151B4" w:rsidRPr="00461F66" w:rsidRDefault="00B151B4" w:rsidP="00CC415C">
            <w:pPr>
              <w:autoSpaceDE w:val="0"/>
              <w:autoSpaceDN w:val="0"/>
              <w:adjustRightInd w:val="0"/>
              <w:jc w:val="both"/>
              <w:rPr>
                <w:b/>
                <w:sz w:val="22"/>
                <w:szCs w:val="22"/>
                <w:lang w:val="sr-Latn-ME" w:eastAsia="sr-Latn-ME"/>
              </w:rPr>
            </w:pPr>
            <w:r w:rsidRPr="00461F66">
              <w:rPr>
                <w:b/>
                <w:sz w:val="22"/>
                <w:szCs w:val="22"/>
                <w:lang w:val="sr-Latn-ME" w:eastAsia="sr-Latn-ME"/>
              </w:rPr>
              <w:t>Neželjena dejstva</w:t>
            </w:r>
          </w:p>
        </w:tc>
        <w:tc>
          <w:tcPr>
            <w:tcW w:w="2057" w:type="dxa"/>
          </w:tcPr>
          <w:p w14:paraId="49E75045" w14:textId="77777777" w:rsidR="00B151B4" w:rsidRPr="00461F66" w:rsidRDefault="00B151B4" w:rsidP="00CC415C">
            <w:pPr>
              <w:autoSpaceDE w:val="0"/>
              <w:autoSpaceDN w:val="0"/>
              <w:adjustRightInd w:val="0"/>
              <w:jc w:val="both"/>
              <w:rPr>
                <w:b/>
                <w:sz w:val="22"/>
                <w:szCs w:val="22"/>
                <w:lang w:val="sr-Latn-ME" w:eastAsia="sr-Latn-ME"/>
              </w:rPr>
            </w:pPr>
            <w:r w:rsidRPr="00461F66">
              <w:rPr>
                <w:b/>
                <w:sz w:val="22"/>
                <w:szCs w:val="22"/>
                <w:lang w:val="sr-Latn-ME" w:eastAsia="sr-Latn-ME"/>
              </w:rPr>
              <w:t>Učestalost</w:t>
            </w:r>
          </w:p>
        </w:tc>
      </w:tr>
      <w:tr w:rsidR="00B151B4" w:rsidRPr="00461F66" w14:paraId="5B9C8EEC" w14:textId="77777777" w:rsidTr="00A741A3">
        <w:tc>
          <w:tcPr>
            <w:tcW w:w="2335" w:type="dxa"/>
          </w:tcPr>
          <w:p w14:paraId="5DF17267"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Infekcije i infestacije</w:t>
            </w:r>
          </w:p>
        </w:tc>
        <w:tc>
          <w:tcPr>
            <w:tcW w:w="4671" w:type="dxa"/>
          </w:tcPr>
          <w:p w14:paraId="12BECB16" w14:textId="54B860C1"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Sepsa, pneumonija, infekcija, faringitis, vaginalna infekcija, influenc</w:t>
            </w:r>
            <w:r w:rsidR="00A741A3" w:rsidRPr="00461F66">
              <w:rPr>
                <w:sz w:val="22"/>
                <w:szCs w:val="22"/>
                <w:lang w:val="sr-Latn-ME" w:eastAsia="sr-Latn-ME"/>
              </w:rPr>
              <w:t>a</w:t>
            </w:r>
          </w:p>
        </w:tc>
        <w:tc>
          <w:tcPr>
            <w:tcW w:w="2057" w:type="dxa"/>
          </w:tcPr>
          <w:p w14:paraId="3C81D386"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Povremeno</w:t>
            </w:r>
          </w:p>
        </w:tc>
      </w:tr>
      <w:tr w:rsidR="00B151B4" w:rsidRPr="00461F66" w14:paraId="0F28DAD0" w14:textId="77777777" w:rsidTr="00A741A3">
        <w:tc>
          <w:tcPr>
            <w:tcW w:w="2335" w:type="dxa"/>
          </w:tcPr>
          <w:p w14:paraId="2023EC5F" w14:textId="1294BC35"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Maligne i benigne neoplazme</w:t>
            </w:r>
            <w:r w:rsidR="00A741A3" w:rsidRPr="00461F66">
              <w:rPr>
                <w:sz w:val="22"/>
                <w:szCs w:val="22"/>
                <w:lang w:val="sr-Latn-ME" w:eastAsia="sr-Latn-ME"/>
              </w:rPr>
              <w:t xml:space="preserve"> </w:t>
            </w:r>
            <w:r w:rsidRPr="00461F66">
              <w:rPr>
                <w:sz w:val="22"/>
                <w:szCs w:val="22"/>
                <w:lang w:val="sr-Latn-ME" w:eastAsia="sr-Latn-ME"/>
              </w:rPr>
              <w:t>(uključujući ciste i polipe)</w:t>
            </w:r>
          </w:p>
        </w:tc>
        <w:tc>
          <w:tcPr>
            <w:tcW w:w="4671" w:type="dxa"/>
          </w:tcPr>
          <w:p w14:paraId="1D2FBCEC"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Karcinom dojke</w:t>
            </w:r>
          </w:p>
        </w:tc>
        <w:tc>
          <w:tcPr>
            <w:tcW w:w="2057" w:type="dxa"/>
          </w:tcPr>
          <w:p w14:paraId="4B6F7D5B"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Povremeno</w:t>
            </w:r>
          </w:p>
        </w:tc>
      </w:tr>
      <w:tr w:rsidR="00B151B4" w:rsidRPr="00461F66" w14:paraId="3C4304DB" w14:textId="77777777" w:rsidTr="00A741A3">
        <w:tc>
          <w:tcPr>
            <w:tcW w:w="2335" w:type="dxa"/>
          </w:tcPr>
          <w:p w14:paraId="2D5F0D5E"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 krvi i</w:t>
            </w:r>
          </w:p>
          <w:p w14:paraId="3290A4A5"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limfnog sistema</w:t>
            </w:r>
          </w:p>
        </w:tc>
        <w:tc>
          <w:tcPr>
            <w:tcW w:w="4671" w:type="dxa"/>
          </w:tcPr>
          <w:p w14:paraId="72090B15"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Anemija, leukopenija, limfadenopatija</w:t>
            </w:r>
          </w:p>
        </w:tc>
        <w:tc>
          <w:tcPr>
            <w:tcW w:w="2057" w:type="dxa"/>
          </w:tcPr>
          <w:p w14:paraId="5FFB06DC"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Povremeno </w:t>
            </w:r>
          </w:p>
        </w:tc>
      </w:tr>
      <w:tr w:rsidR="00B151B4" w:rsidRPr="00461F66" w14:paraId="2C8AA6DC" w14:textId="77777777" w:rsidTr="00A741A3">
        <w:tc>
          <w:tcPr>
            <w:tcW w:w="2335" w:type="dxa"/>
            <w:vMerge w:val="restart"/>
          </w:tcPr>
          <w:p w14:paraId="721E24B7"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 imunskog sistema</w:t>
            </w:r>
          </w:p>
        </w:tc>
        <w:tc>
          <w:tcPr>
            <w:tcW w:w="4671" w:type="dxa"/>
          </w:tcPr>
          <w:p w14:paraId="0973748C" w14:textId="36CF0F56" w:rsidR="00B151B4" w:rsidRPr="00461F66" w:rsidRDefault="00864552"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Hipersenzitivnost </w:t>
            </w:r>
          </w:p>
        </w:tc>
        <w:tc>
          <w:tcPr>
            <w:tcW w:w="2057" w:type="dxa"/>
          </w:tcPr>
          <w:p w14:paraId="2D4AE046"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Povremeno </w:t>
            </w:r>
          </w:p>
        </w:tc>
      </w:tr>
      <w:tr w:rsidR="00B151B4" w:rsidRPr="00461F66" w14:paraId="24D8734C" w14:textId="77777777" w:rsidTr="00A741A3">
        <w:tc>
          <w:tcPr>
            <w:tcW w:w="2335" w:type="dxa"/>
            <w:vMerge/>
          </w:tcPr>
          <w:p w14:paraId="5E30200F" w14:textId="77777777" w:rsidR="00B151B4" w:rsidRPr="00461F66" w:rsidRDefault="00B151B4" w:rsidP="00CC415C">
            <w:pPr>
              <w:autoSpaceDE w:val="0"/>
              <w:autoSpaceDN w:val="0"/>
              <w:adjustRightInd w:val="0"/>
              <w:jc w:val="both"/>
              <w:rPr>
                <w:sz w:val="22"/>
                <w:szCs w:val="22"/>
                <w:lang w:val="sr-Latn-ME" w:eastAsia="sr-Latn-ME"/>
              </w:rPr>
            </w:pPr>
          </w:p>
        </w:tc>
        <w:tc>
          <w:tcPr>
            <w:tcW w:w="4671" w:type="dxa"/>
          </w:tcPr>
          <w:p w14:paraId="774ACCFE" w14:textId="408C1E79"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Edem larinksa, angioedem, uritkarija</w:t>
            </w:r>
          </w:p>
        </w:tc>
        <w:tc>
          <w:tcPr>
            <w:tcW w:w="2057" w:type="dxa"/>
          </w:tcPr>
          <w:p w14:paraId="0BA71B8C"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Nepoznato</w:t>
            </w:r>
          </w:p>
        </w:tc>
      </w:tr>
      <w:tr w:rsidR="00B151B4" w:rsidRPr="00461F66" w14:paraId="3D0F8077" w14:textId="77777777" w:rsidTr="00A741A3">
        <w:tc>
          <w:tcPr>
            <w:tcW w:w="2335" w:type="dxa"/>
            <w:vMerge w:val="restart"/>
          </w:tcPr>
          <w:p w14:paraId="1ECBEF3F"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Endokrini poremećaji </w:t>
            </w:r>
          </w:p>
        </w:tc>
        <w:tc>
          <w:tcPr>
            <w:tcW w:w="4671" w:type="dxa"/>
          </w:tcPr>
          <w:p w14:paraId="10A6060D"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Hipoparatireoidizam</w:t>
            </w:r>
          </w:p>
        </w:tc>
        <w:tc>
          <w:tcPr>
            <w:tcW w:w="2057" w:type="dxa"/>
          </w:tcPr>
          <w:p w14:paraId="4C42E31C"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Često </w:t>
            </w:r>
          </w:p>
        </w:tc>
      </w:tr>
      <w:tr w:rsidR="00B151B4" w:rsidRPr="00461F66" w14:paraId="0037DE9B" w14:textId="77777777" w:rsidTr="00A741A3">
        <w:tc>
          <w:tcPr>
            <w:tcW w:w="2335" w:type="dxa"/>
            <w:vMerge/>
          </w:tcPr>
          <w:p w14:paraId="16C02029" w14:textId="77777777" w:rsidR="00B151B4" w:rsidRPr="00461F66" w:rsidRDefault="00B151B4" w:rsidP="00CC415C">
            <w:pPr>
              <w:autoSpaceDE w:val="0"/>
              <w:autoSpaceDN w:val="0"/>
              <w:adjustRightInd w:val="0"/>
              <w:jc w:val="both"/>
              <w:rPr>
                <w:sz w:val="22"/>
                <w:szCs w:val="22"/>
                <w:lang w:val="sr-Latn-ME" w:eastAsia="sr-Latn-ME"/>
              </w:rPr>
            </w:pPr>
          </w:p>
        </w:tc>
        <w:tc>
          <w:tcPr>
            <w:tcW w:w="4671" w:type="dxa"/>
          </w:tcPr>
          <w:p w14:paraId="639E90F2" w14:textId="73C96CF5"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Hip</w:t>
            </w:r>
            <w:r w:rsidR="00F0379B" w:rsidRPr="00461F66">
              <w:rPr>
                <w:sz w:val="22"/>
                <w:szCs w:val="22"/>
                <w:lang w:val="sr-Latn-ME" w:eastAsia="sr-Latn-ME"/>
              </w:rPr>
              <w:t>er</w:t>
            </w:r>
            <w:r w:rsidRPr="00461F66">
              <w:rPr>
                <w:sz w:val="22"/>
                <w:szCs w:val="22"/>
                <w:lang w:val="sr-Latn-ME" w:eastAsia="sr-Latn-ME"/>
              </w:rPr>
              <w:t>paratireoidizam</w:t>
            </w:r>
          </w:p>
        </w:tc>
        <w:tc>
          <w:tcPr>
            <w:tcW w:w="2057" w:type="dxa"/>
          </w:tcPr>
          <w:p w14:paraId="552B7BC4"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Povremeno</w:t>
            </w:r>
          </w:p>
        </w:tc>
      </w:tr>
      <w:tr w:rsidR="00B151B4" w:rsidRPr="00461F66" w14:paraId="57DA84FE" w14:textId="77777777" w:rsidTr="00A741A3">
        <w:trPr>
          <w:trHeight w:val="383"/>
        </w:trPr>
        <w:tc>
          <w:tcPr>
            <w:tcW w:w="2335" w:type="dxa"/>
            <w:vMerge w:val="restart"/>
          </w:tcPr>
          <w:p w14:paraId="7A638FF6"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w:t>
            </w:r>
          </w:p>
          <w:p w14:paraId="5896BE4A"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metabolizma i</w:t>
            </w:r>
          </w:p>
          <w:p w14:paraId="2A0EF0BB"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ishrane</w:t>
            </w:r>
          </w:p>
        </w:tc>
        <w:tc>
          <w:tcPr>
            <w:tcW w:w="4671" w:type="dxa"/>
          </w:tcPr>
          <w:p w14:paraId="1A35F33A"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Hiperkalcemija, hiperfosfatemija</w:t>
            </w:r>
          </w:p>
        </w:tc>
        <w:tc>
          <w:tcPr>
            <w:tcW w:w="2057" w:type="dxa"/>
          </w:tcPr>
          <w:p w14:paraId="22C0C1E0"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Često </w:t>
            </w:r>
          </w:p>
        </w:tc>
      </w:tr>
      <w:tr w:rsidR="00B151B4" w:rsidRPr="00461F66" w14:paraId="6E760AB9" w14:textId="77777777" w:rsidTr="00A741A3">
        <w:trPr>
          <w:trHeight w:val="382"/>
        </w:trPr>
        <w:tc>
          <w:tcPr>
            <w:tcW w:w="2335" w:type="dxa"/>
            <w:vMerge/>
          </w:tcPr>
          <w:p w14:paraId="752CDD36" w14:textId="77777777" w:rsidR="00B151B4" w:rsidRPr="00461F66" w:rsidRDefault="00B151B4" w:rsidP="00CC415C">
            <w:pPr>
              <w:autoSpaceDE w:val="0"/>
              <w:autoSpaceDN w:val="0"/>
              <w:adjustRightInd w:val="0"/>
              <w:jc w:val="both"/>
              <w:rPr>
                <w:sz w:val="22"/>
                <w:szCs w:val="22"/>
                <w:lang w:val="sr-Latn-ME" w:eastAsia="sr-Latn-ME"/>
              </w:rPr>
            </w:pPr>
          </w:p>
        </w:tc>
        <w:tc>
          <w:tcPr>
            <w:tcW w:w="4671" w:type="dxa"/>
          </w:tcPr>
          <w:p w14:paraId="552F51C2"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Hiperkalemija, hipokalcemija,</w:t>
            </w:r>
          </w:p>
          <w:p w14:paraId="1360641C"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anoreksija</w:t>
            </w:r>
          </w:p>
        </w:tc>
        <w:tc>
          <w:tcPr>
            <w:tcW w:w="2057" w:type="dxa"/>
          </w:tcPr>
          <w:p w14:paraId="73ED3779"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Povremeno</w:t>
            </w:r>
          </w:p>
        </w:tc>
      </w:tr>
      <w:tr w:rsidR="00B151B4" w:rsidRPr="00461F66" w14:paraId="48738579" w14:textId="77777777" w:rsidTr="00A741A3">
        <w:tc>
          <w:tcPr>
            <w:tcW w:w="2335" w:type="dxa"/>
          </w:tcPr>
          <w:p w14:paraId="41865F75"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Psihijatrijski</w:t>
            </w:r>
          </w:p>
          <w:p w14:paraId="5B08D5E8"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w:t>
            </w:r>
          </w:p>
        </w:tc>
        <w:tc>
          <w:tcPr>
            <w:tcW w:w="4671" w:type="dxa"/>
          </w:tcPr>
          <w:p w14:paraId="7D030D47"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Konfuzija, delirijum,</w:t>
            </w:r>
          </w:p>
          <w:p w14:paraId="7921617D"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depersonalizacija, agitacija, nesanica, nervoza</w:t>
            </w:r>
          </w:p>
        </w:tc>
        <w:tc>
          <w:tcPr>
            <w:tcW w:w="2057" w:type="dxa"/>
          </w:tcPr>
          <w:p w14:paraId="10A5ECA1"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Povremeno</w:t>
            </w:r>
          </w:p>
        </w:tc>
      </w:tr>
      <w:tr w:rsidR="00B151B4" w:rsidRPr="00461F66" w14:paraId="470709D9" w14:textId="77777777" w:rsidTr="00A741A3">
        <w:trPr>
          <w:trHeight w:val="255"/>
        </w:trPr>
        <w:tc>
          <w:tcPr>
            <w:tcW w:w="2335" w:type="dxa"/>
            <w:vMerge w:val="restart"/>
          </w:tcPr>
          <w:p w14:paraId="12D45A83"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 nervnog</w:t>
            </w:r>
          </w:p>
          <w:p w14:paraId="77A1081D"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sistema</w:t>
            </w:r>
          </w:p>
        </w:tc>
        <w:tc>
          <w:tcPr>
            <w:tcW w:w="4671" w:type="dxa"/>
          </w:tcPr>
          <w:p w14:paraId="77C12709"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Glavobolja, poremećaj ukusa</w:t>
            </w:r>
          </w:p>
        </w:tc>
        <w:tc>
          <w:tcPr>
            <w:tcW w:w="2057" w:type="dxa"/>
          </w:tcPr>
          <w:p w14:paraId="480370B1"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Često</w:t>
            </w:r>
          </w:p>
        </w:tc>
      </w:tr>
      <w:tr w:rsidR="00B151B4" w:rsidRPr="00461F66" w14:paraId="17F0CC16" w14:textId="77777777" w:rsidTr="00A741A3">
        <w:trPr>
          <w:trHeight w:val="255"/>
        </w:trPr>
        <w:tc>
          <w:tcPr>
            <w:tcW w:w="2335" w:type="dxa"/>
            <w:vMerge/>
          </w:tcPr>
          <w:p w14:paraId="7411919C" w14:textId="77777777" w:rsidR="00B151B4" w:rsidRPr="00461F66" w:rsidRDefault="00B151B4" w:rsidP="00CC415C">
            <w:pPr>
              <w:autoSpaceDE w:val="0"/>
              <w:autoSpaceDN w:val="0"/>
              <w:adjustRightInd w:val="0"/>
              <w:jc w:val="both"/>
              <w:rPr>
                <w:sz w:val="22"/>
                <w:szCs w:val="22"/>
                <w:lang w:val="sr-Latn-ME" w:eastAsia="sr-Latn-ME"/>
              </w:rPr>
            </w:pPr>
          </w:p>
        </w:tc>
        <w:tc>
          <w:tcPr>
            <w:tcW w:w="4671" w:type="dxa"/>
          </w:tcPr>
          <w:p w14:paraId="610C0E52"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Koma, cerebrovaskularni insult, tranzitorni</w:t>
            </w:r>
          </w:p>
          <w:p w14:paraId="268E5B59"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ishemijski napad, sinkopa, mioklonus, hipoestezija, parestezija, vrtoglavica</w:t>
            </w:r>
          </w:p>
        </w:tc>
        <w:tc>
          <w:tcPr>
            <w:tcW w:w="2057" w:type="dxa"/>
          </w:tcPr>
          <w:p w14:paraId="3E532CF7"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Povremeno</w:t>
            </w:r>
          </w:p>
        </w:tc>
      </w:tr>
      <w:tr w:rsidR="00B151B4" w:rsidRPr="00461F66" w14:paraId="15A83E7A" w14:textId="77777777" w:rsidTr="00A741A3">
        <w:tc>
          <w:tcPr>
            <w:tcW w:w="2335" w:type="dxa"/>
          </w:tcPr>
          <w:p w14:paraId="0BD21EFE"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Poremećaji oka </w:t>
            </w:r>
          </w:p>
        </w:tc>
        <w:tc>
          <w:tcPr>
            <w:tcW w:w="4671" w:type="dxa"/>
          </w:tcPr>
          <w:p w14:paraId="16FBB631"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Glaukom, konjunktivitis </w:t>
            </w:r>
          </w:p>
        </w:tc>
        <w:tc>
          <w:tcPr>
            <w:tcW w:w="2057" w:type="dxa"/>
          </w:tcPr>
          <w:p w14:paraId="518926F4"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Povremeno </w:t>
            </w:r>
          </w:p>
        </w:tc>
      </w:tr>
      <w:tr w:rsidR="00B151B4" w:rsidRPr="00461F66" w14:paraId="648A1581" w14:textId="77777777" w:rsidTr="00A741A3">
        <w:tc>
          <w:tcPr>
            <w:tcW w:w="2335" w:type="dxa"/>
          </w:tcPr>
          <w:p w14:paraId="72718E02"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 uha i labirinta</w:t>
            </w:r>
          </w:p>
        </w:tc>
        <w:tc>
          <w:tcPr>
            <w:tcW w:w="4671" w:type="dxa"/>
          </w:tcPr>
          <w:p w14:paraId="0961CBB4"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 uha</w:t>
            </w:r>
          </w:p>
        </w:tc>
        <w:tc>
          <w:tcPr>
            <w:tcW w:w="2057" w:type="dxa"/>
          </w:tcPr>
          <w:p w14:paraId="07D07E4D"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Povremeno </w:t>
            </w:r>
          </w:p>
        </w:tc>
      </w:tr>
      <w:tr w:rsidR="00B151B4" w:rsidRPr="00461F66" w14:paraId="69AF2483" w14:textId="77777777" w:rsidTr="00A741A3">
        <w:tc>
          <w:tcPr>
            <w:tcW w:w="2335" w:type="dxa"/>
          </w:tcPr>
          <w:p w14:paraId="2067E549"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Kardiološki poremećaji </w:t>
            </w:r>
          </w:p>
        </w:tc>
        <w:tc>
          <w:tcPr>
            <w:tcW w:w="4671" w:type="dxa"/>
          </w:tcPr>
          <w:p w14:paraId="4CD3D8D1"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Zastoj srca, aritmija, atrijalni flater </w:t>
            </w:r>
          </w:p>
        </w:tc>
        <w:tc>
          <w:tcPr>
            <w:tcW w:w="2057" w:type="dxa"/>
          </w:tcPr>
          <w:p w14:paraId="7631A5B6"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Povremeno</w:t>
            </w:r>
          </w:p>
        </w:tc>
      </w:tr>
      <w:tr w:rsidR="00B151B4" w:rsidRPr="00461F66" w14:paraId="2B350CD8" w14:textId="77777777" w:rsidTr="00A741A3">
        <w:tc>
          <w:tcPr>
            <w:tcW w:w="2335" w:type="dxa"/>
          </w:tcPr>
          <w:p w14:paraId="7F1896EB"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Vaskularni poremećaji </w:t>
            </w:r>
          </w:p>
        </w:tc>
        <w:tc>
          <w:tcPr>
            <w:tcW w:w="4671" w:type="dxa"/>
          </w:tcPr>
          <w:p w14:paraId="6D62B3B3"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Hipertenzija, hipotenzija</w:t>
            </w:r>
          </w:p>
        </w:tc>
        <w:tc>
          <w:tcPr>
            <w:tcW w:w="2057" w:type="dxa"/>
          </w:tcPr>
          <w:p w14:paraId="7E94BD74"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Povremeno</w:t>
            </w:r>
          </w:p>
        </w:tc>
      </w:tr>
      <w:tr w:rsidR="00B151B4" w:rsidRPr="00461F66" w14:paraId="6018863D" w14:textId="77777777" w:rsidTr="00A741A3">
        <w:tc>
          <w:tcPr>
            <w:tcW w:w="2335" w:type="dxa"/>
          </w:tcPr>
          <w:p w14:paraId="2D3A7E21"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Respiratorni,</w:t>
            </w:r>
          </w:p>
          <w:p w14:paraId="380592A7"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torakalni i</w:t>
            </w:r>
          </w:p>
          <w:p w14:paraId="48D7E244"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medijastinalni</w:t>
            </w:r>
          </w:p>
          <w:p w14:paraId="1D101D20"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w:t>
            </w:r>
          </w:p>
        </w:tc>
        <w:tc>
          <w:tcPr>
            <w:tcW w:w="4671" w:type="dxa"/>
          </w:tcPr>
          <w:p w14:paraId="0E3A26F9"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Edem pluća, astma, dispneja, epistaksa, kašalj</w:t>
            </w:r>
          </w:p>
        </w:tc>
        <w:tc>
          <w:tcPr>
            <w:tcW w:w="2057" w:type="dxa"/>
          </w:tcPr>
          <w:p w14:paraId="67F5E9D5"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Povremeno </w:t>
            </w:r>
          </w:p>
        </w:tc>
      </w:tr>
      <w:tr w:rsidR="00B151B4" w:rsidRPr="00461F66" w14:paraId="019ECD52" w14:textId="77777777" w:rsidTr="00A741A3">
        <w:trPr>
          <w:trHeight w:val="255"/>
        </w:trPr>
        <w:tc>
          <w:tcPr>
            <w:tcW w:w="2335" w:type="dxa"/>
            <w:vMerge w:val="restart"/>
          </w:tcPr>
          <w:p w14:paraId="27E2C7A6"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lastRenderedPageBreak/>
              <w:t>Gastrointestinalni</w:t>
            </w:r>
          </w:p>
          <w:p w14:paraId="4211FDF3"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w:t>
            </w:r>
          </w:p>
        </w:tc>
        <w:tc>
          <w:tcPr>
            <w:tcW w:w="4671" w:type="dxa"/>
          </w:tcPr>
          <w:p w14:paraId="47483A87"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Rektalno krvarenje, kolitis, dijareja, gastritis,</w:t>
            </w:r>
          </w:p>
          <w:p w14:paraId="38FA326C"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dispepsija, disfagija, bol u abdomenu, konstipacija, mučnina, povraćanje, suva usta,</w:t>
            </w:r>
          </w:p>
          <w:p w14:paraId="716D29DB"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gastrointestinalne smetnje</w:t>
            </w:r>
          </w:p>
        </w:tc>
        <w:tc>
          <w:tcPr>
            <w:tcW w:w="2057" w:type="dxa"/>
          </w:tcPr>
          <w:p w14:paraId="03EBA17C"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Povremeno</w:t>
            </w:r>
          </w:p>
        </w:tc>
      </w:tr>
      <w:tr w:rsidR="00B151B4" w:rsidRPr="00461F66" w14:paraId="0B3BC5B0" w14:textId="77777777" w:rsidTr="00A741A3">
        <w:trPr>
          <w:trHeight w:val="255"/>
        </w:trPr>
        <w:tc>
          <w:tcPr>
            <w:tcW w:w="2335" w:type="dxa"/>
            <w:vMerge/>
          </w:tcPr>
          <w:p w14:paraId="443769E7" w14:textId="77777777" w:rsidR="00B151B4" w:rsidRPr="00461F66" w:rsidRDefault="00B151B4" w:rsidP="00CC415C">
            <w:pPr>
              <w:autoSpaceDE w:val="0"/>
              <w:autoSpaceDN w:val="0"/>
              <w:adjustRightInd w:val="0"/>
              <w:jc w:val="both"/>
              <w:rPr>
                <w:sz w:val="22"/>
                <w:szCs w:val="22"/>
                <w:lang w:val="sr-Latn-ME" w:eastAsia="sr-Latn-ME"/>
              </w:rPr>
            </w:pPr>
          </w:p>
        </w:tc>
        <w:tc>
          <w:tcPr>
            <w:tcW w:w="4671" w:type="dxa"/>
          </w:tcPr>
          <w:p w14:paraId="1CE695B8"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Gastrointestinalno krvarenje</w:t>
            </w:r>
          </w:p>
        </w:tc>
        <w:tc>
          <w:tcPr>
            <w:tcW w:w="2057" w:type="dxa"/>
          </w:tcPr>
          <w:p w14:paraId="550A67C5"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Nepoznato </w:t>
            </w:r>
          </w:p>
        </w:tc>
      </w:tr>
      <w:tr w:rsidR="00B151B4" w:rsidRPr="00461F66" w14:paraId="55E0402E" w14:textId="77777777" w:rsidTr="00A741A3">
        <w:trPr>
          <w:trHeight w:val="255"/>
        </w:trPr>
        <w:tc>
          <w:tcPr>
            <w:tcW w:w="2335" w:type="dxa"/>
            <w:vMerge w:val="restart"/>
          </w:tcPr>
          <w:p w14:paraId="0F1BB19B"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 kože i</w:t>
            </w:r>
          </w:p>
          <w:p w14:paraId="3479316B"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potkožnog tkiva</w:t>
            </w:r>
          </w:p>
        </w:tc>
        <w:tc>
          <w:tcPr>
            <w:tcW w:w="4671" w:type="dxa"/>
          </w:tcPr>
          <w:p w14:paraId="2869B2DC" w14:textId="1B308E0D" w:rsidR="00B151B4" w:rsidRPr="00461F66" w:rsidRDefault="00F0379B"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Pruritus </w:t>
            </w:r>
          </w:p>
        </w:tc>
        <w:tc>
          <w:tcPr>
            <w:tcW w:w="2057" w:type="dxa"/>
          </w:tcPr>
          <w:p w14:paraId="79FF655B"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Često</w:t>
            </w:r>
          </w:p>
        </w:tc>
      </w:tr>
      <w:tr w:rsidR="00B151B4" w:rsidRPr="00461F66" w14:paraId="2007F77A" w14:textId="77777777" w:rsidTr="00A741A3">
        <w:trPr>
          <w:trHeight w:val="255"/>
        </w:trPr>
        <w:tc>
          <w:tcPr>
            <w:tcW w:w="2335" w:type="dxa"/>
            <w:vMerge/>
          </w:tcPr>
          <w:p w14:paraId="170B02C0" w14:textId="77777777" w:rsidR="00B151B4" w:rsidRPr="00461F66" w:rsidRDefault="00B151B4" w:rsidP="00CC415C">
            <w:pPr>
              <w:autoSpaceDE w:val="0"/>
              <w:autoSpaceDN w:val="0"/>
              <w:adjustRightInd w:val="0"/>
              <w:jc w:val="both"/>
              <w:rPr>
                <w:sz w:val="22"/>
                <w:szCs w:val="22"/>
                <w:lang w:val="sr-Latn-ME" w:eastAsia="sr-Latn-ME"/>
              </w:rPr>
            </w:pPr>
          </w:p>
        </w:tc>
        <w:tc>
          <w:tcPr>
            <w:tcW w:w="4671" w:type="dxa"/>
          </w:tcPr>
          <w:p w14:paraId="1C7531A8"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Bulozni dermatitis, alopecija,</w:t>
            </w:r>
          </w:p>
          <w:p w14:paraId="56FEAC75"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hirzutizam, osip, hiperhidroza</w:t>
            </w:r>
          </w:p>
        </w:tc>
        <w:tc>
          <w:tcPr>
            <w:tcW w:w="2057" w:type="dxa"/>
          </w:tcPr>
          <w:p w14:paraId="032AE7B7"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Povremeno</w:t>
            </w:r>
          </w:p>
        </w:tc>
      </w:tr>
      <w:tr w:rsidR="00B151B4" w:rsidRPr="00461F66" w14:paraId="20BE1E8F" w14:textId="77777777" w:rsidTr="00A741A3">
        <w:tc>
          <w:tcPr>
            <w:tcW w:w="2335" w:type="dxa"/>
          </w:tcPr>
          <w:p w14:paraId="6CADCC4D" w14:textId="18E2D44C"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 mišićno</w:t>
            </w:r>
            <w:r w:rsidR="009B5B93" w:rsidRPr="00461F66">
              <w:rPr>
                <w:sz w:val="22"/>
                <w:szCs w:val="22"/>
                <w:lang w:val="sr-Latn-ME" w:eastAsia="sr-Latn-ME"/>
              </w:rPr>
              <w:t>-</w:t>
            </w:r>
            <w:r w:rsidRPr="00461F66">
              <w:rPr>
                <w:sz w:val="22"/>
                <w:szCs w:val="22"/>
                <w:lang w:val="sr-Latn-ME" w:eastAsia="sr-Latn-ME"/>
              </w:rPr>
              <w:t>koštanog</w:t>
            </w:r>
          </w:p>
          <w:p w14:paraId="628393AA" w14:textId="416A71E8" w:rsidR="00B151B4" w:rsidRPr="00461F66" w:rsidRDefault="00F0379B" w:rsidP="00CC415C">
            <w:pPr>
              <w:autoSpaceDE w:val="0"/>
              <w:autoSpaceDN w:val="0"/>
              <w:adjustRightInd w:val="0"/>
              <w:jc w:val="both"/>
              <w:rPr>
                <w:sz w:val="22"/>
                <w:szCs w:val="22"/>
                <w:lang w:val="sr-Latn-ME" w:eastAsia="sr-Latn-ME"/>
              </w:rPr>
            </w:pPr>
            <w:r w:rsidRPr="00461F66">
              <w:rPr>
                <w:sz w:val="22"/>
                <w:szCs w:val="22"/>
                <w:lang w:val="sr-Latn-ME" w:eastAsia="sr-Latn-ME"/>
              </w:rPr>
              <w:t>s</w:t>
            </w:r>
            <w:r w:rsidR="00B151B4" w:rsidRPr="00461F66">
              <w:rPr>
                <w:sz w:val="22"/>
                <w:szCs w:val="22"/>
                <w:lang w:val="sr-Latn-ME" w:eastAsia="sr-Latn-ME"/>
              </w:rPr>
              <w:t xml:space="preserve">istema skeletnog i </w:t>
            </w:r>
          </w:p>
          <w:p w14:paraId="6CC4DDF6"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vezivnog tkiva</w:t>
            </w:r>
          </w:p>
        </w:tc>
        <w:tc>
          <w:tcPr>
            <w:tcW w:w="4671" w:type="dxa"/>
          </w:tcPr>
          <w:p w14:paraId="57841436"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Artralgija, ukočenost zglobova, bol u leđima,</w:t>
            </w:r>
          </w:p>
          <w:p w14:paraId="0108408D"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grčenje mišića, mijalgija</w:t>
            </w:r>
          </w:p>
        </w:tc>
        <w:tc>
          <w:tcPr>
            <w:tcW w:w="2057" w:type="dxa"/>
          </w:tcPr>
          <w:p w14:paraId="34A10809"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Povremeno </w:t>
            </w:r>
          </w:p>
        </w:tc>
      </w:tr>
      <w:tr w:rsidR="00B151B4" w:rsidRPr="00461F66" w14:paraId="02A83B54" w14:textId="77777777" w:rsidTr="00A741A3">
        <w:tc>
          <w:tcPr>
            <w:tcW w:w="2335" w:type="dxa"/>
          </w:tcPr>
          <w:p w14:paraId="38A71866"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Poremećaji</w:t>
            </w:r>
          </w:p>
          <w:p w14:paraId="7D5FC4F9"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reproduktivnog</w:t>
            </w:r>
          </w:p>
          <w:p w14:paraId="5E148ABA"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sistema i dojki</w:t>
            </w:r>
          </w:p>
        </w:tc>
        <w:tc>
          <w:tcPr>
            <w:tcW w:w="4671" w:type="dxa"/>
          </w:tcPr>
          <w:p w14:paraId="551AEE97"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Bol u dojkama, erektilna disfunkcija</w:t>
            </w:r>
          </w:p>
        </w:tc>
        <w:tc>
          <w:tcPr>
            <w:tcW w:w="2057" w:type="dxa"/>
          </w:tcPr>
          <w:p w14:paraId="053FFBB6"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Povremeno </w:t>
            </w:r>
          </w:p>
        </w:tc>
      </w:tr>
      <w:tr w:rsidR="00B151B4" w:rsidRPr="00461F66" w14:paraId="1C9125EA" w14:textId="77777777" w:rsidTr="00A741A3">
        <w:tc>
          <w:tcPr>
            <w:tcW w:w="2335" w:type="dxa"/>
          </w:tcPr>
          <w:p w14:paraId="0AF8C090"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Opšti poremećaji i</w:t>
            </w:r>
          </w:p>
          <w:p w14:paraId="04000CE4"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reakcije na mjestu</w:t>
            </w:r>
          </w:p>
          <w:p w14:paraId="10FB3042"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primjene</w:t>
            </w:r>
          </w:p>
        </w:tc>
        <w:tc>
          <w:tcPr>
            <w:tcW w:w="4671" w:type="dxa"/>
          </w:tcPr>
          <w:p w14:paraId="0F77095B" w14:textId="50F72F64"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Poremećaj hoda, periferni edem, bol, bol na mjestu primjene injekcije, povišena temperatura, bol u grudima, pogoršanje zdravstvenog stanja, astenija, slabost, os</w:t>
            </w:r>
            <w:r w:rsidR="009B5B93" w:rsidRPr="00461F66">
              <w:rPr>
                <w:sz w:val="22"/>
                <w:szCs w:val="22"/>
                <w:lang w:val="sr-Latn-ME" w:eastAsia="sr-Latn-ME"/>
              </w:rPr>
              <w:t>j</w:t>
            </w:r>
            <w:r w:rsidRPr="00461F66">
              <w:rPr>
                <w:sz w:val="22"/>
                <w:szCs w:val="22"/>
                <w:lang w:val="sr-Latn-ME" w:eastAsia="sr-Latn-ME"/>
              </w:rPr>
              <w:t>ećaj žeđi</w:t>
            </w:r>
          </w:p>
        </w:tc>
        <w:tc>
          <w:tcPr>
            <w:tcW w:w="2057" w:type="dxa"/>
          </w:tcPr>
          <w:p w14:paraId="64AEAF8A"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Povremeno </w:t>
            </w:r>
          </w:p>
        </w:tc>
      </w:tr>
      <w:tr w:rsidR="00B151B4" w:rsidRPr="00461F66" w14:paraId="3810F1DE" w14:textId="77777777" w:rsidTr="00A741A3">
        <w:tc>
          <w:tcPr>
            <w:tcW w:w="2335" w:type="dxa"/>
          </w:tcPr>
          <w:p w14:paraId="07684140"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Ispitivanja</w:t>
            </w:r>
          </w:p>
        </w:tc>
        <w:tc>
          <w:tcPr>
            <w:tcW w:w="4671" w:type="dxa"/>
          </w:tcPr>
          <w:p w14:paraId="459BF36A" w14:textId="35E1E99E"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Produženo vrijeme krvarenja, povišene vrijednosti aspartat</w:t>
            </w:r>
            <w:r w:rsidR="009B5B93" w:rsidRPr="00461F66">
              <w:rPr>
                <w:sz w:val="22"/>
                <w:szCs w:val="22"/>
                <w:lang w:val="sr-Latn-ME" w:eastAsia="sr-Latn-ME"/>
              </w:rPr>
              <w:t>-</w:t>
            </w:r>
            <w:r w:rsidRPr="00461F66">
              <w:rPr>
                <w:sz w:val="22"/>
                <w:szCs w:val="22"/>
                <w:lang w:val="sr-Latn-ME" w:eastAsia="sr-Latn-ME"/>
              </w:rPr>
              <w:t>aminotransferaze,</w:t>
            </w:r>
          </w:p>
          <w:p w14:paraId="0AD60812"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nalazi laboratorijskih analiza van normalnih granica, smanjena tjelesna masa</w:t>
            </w:r>
          </w:p>
        </w:tc>
        <w:tc>
          <w:tcPr>
            <w:tcW w:w="2057" w:type="dxa"/>
          </w:tcPr>
          <w:p w14:paraId="500056DB"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Povremeno </w:t>
            </w:r>
          </w:p>
        </w:tc>
      </w:tr>
    </w:tbl>
    <w:p w14:paraId="77FB564E" w14:textId="22E21CA4" w:rsidR="00B151B4" w:rsidRPr="00461F66" w:rsidRDefault="00B151B4" w:rsidP="00CC415C">
      <w:pPr>
        <w:tabs>
          <w:tab w:val="left" w:pos="540"/>
          <w:tab w:val="left" w:pos="569"/>
        </w:tabs>
        <w:jc w:val="both"/>
        <w:rPr>
          <w:b/>
          <w:bCs/>
          <w:sz w:val="22"/>
          <w:szCs w:val="22"/>
          <w:lang w:val="sr-Latn-ME"/>
        </w:rPr>
      </w:pPr>
    </w:p>
    <w:p w14:paraId="623DEFFD" w14:textId="77777777" w:rsidR="005A23D2" w:rsidRPr="00461F66" w:rsidRDefault="005A23D2" w:rsidP="00D20112">
      <w:pPr>
        <w:spacing w:line="276" w:lineRule="auto"/>
        <w:jc w:val="both"/>
        <w:rPr>
          <w:rFonts w:eastAsia="Calibri"/>
          <w:sz w:val="22"/>
          <w:szCs w:val="22"/>
          <w:u w:val="single"/>
          <w:lang w:val="sr-Latn-ME"/>
        </w:rPr>
      </w:pPr>
      <w:r w:rsidRPr="00461F66">
        <w:rPr>
          <w:rFonts w:eastAsia="Calibri"/>
          <w:sz w:val="22"/>
          <w:szCs w:val="22"/>
          <w:u w:val="single"/>
          <w:lang w:val="sr-Latn-ME"/>
        </w:rPr>
        <w:t>Prijavljivanje sumnji na neželjena dejstva</w:t>
      </w:r>
    </w:p>
    <w:p w14:paraId="116D3C76" w14:textId="77777777" w:rsidR="00D20112" w:rsidRDefault="00D20112" w:rsidP="00D20112">
      <w:pPr>
        <w:jc w:val="both"/>
        <w:rPr>
          <w:rFonts w:eastAsia="Calibri"/>
          <w:sz w:val="22"/>
          <w:szCs w:val="22"/>
          <w:lang w:val="sr-Latn-ME"/>
        </w:rPr>
      </w:pPr>
    </w:p>
    <w:p w14:paraId="7D2CAE6C" w14:textId="0D33A5D3" w:rsidR="005A23D2" w:rsidRPr="00461F66" w:rsidRDefault="005A23D2" w:rsidP="00D20112">
      <w:pPr>
        <w:jc w:val="both"/>
        <w:rPr>
          <w:rFonts w:eastAsia="Calibri"/>
          <w:sz w:val="22"/>
          <w:szCs w:val="22"/>
          <w:lang w:val="sr-Latn-ME"/>
        </w:rPr>
      </w:pPr>
      <w:r w:rsidRPr="00461F66">
        <w:rPr>
          <w:rFonts w:eastAsia="Calibri"/>
          <w:sz w:val="22"/>
          <w:szCs w:val="22"/>
          <w:lang w:val="sr-Latn-ME"/>
        </w:rPr>
        <w:t>Prijavljivanje neželjenih dejstava nakon dobijanja dozvole</w:t>
      </w:r>
      <w:r w:rsidR="00CC415C" w:rsidRPr="00461F66">
        <w:rPr>
          <w:rFonts w:eastAsia="Calibri"/>
          <w:sz w:val="22"/>
          <w:szCs w:val="22"/>
          <w:lang w:val="sr-Latn-ME"/>
        </w:rPr>
        <w:t xml:space="preserve"> za lijek</w:t>
      </w:r>
      <w:r w:rsidRPr="00461F66">
        <w:rPr>
          <w:rFonts w:eastAsia="Calibri"/>
          <w:sz w:val="22"/>
          <w:szCs w:val="22"/>
          <w:lang w:val="sr-Latn-ME"/>
        </w:rPr>
        <w:t xml:space="preserve"> je od velikog značaja jer obezbjeđuje kont</w:t>
      </w:r>
      <w:r w:rsidR="00EA5765" w:rsidRPr="00461F66">
        <w:rPr>
          <w:rFonts w:eastAsia="Calibri"/>
          <w:sz w:val="22"/>
          <w:szCs w:val="22"/>
          <w:lang w:val="sr-Latn-ME"/>
        </w:rPr>
        <w:t>inuirano praćenje odnosa korist</w:t>
      </w:r>
      <w:r w:rsidRPr="00461F66">
        <w:rPr>
          <w:rFonts w:eastAsia="Calibri"/>
          <w:sz w:val="22"/>
          <w:szCs w:val="22"/>
          <w:lang w:val="sr-Latn-ME"/>
        </w:rPr>
        <w:t>/rizik primjene lijeka. Zdravstveni radnici treba da prijave svaku sumnju na neželjeno</w:t>
      </w:r>
      <w:r w:rsidR="009B062A" w:rsidRPr="00461F66">
        <w:rPr>
          <w:rFonts w:eastAsia="Calibri"/>
          <w:sz w:val="22"/>
          <w:szCs w:val="22"/>
          <w:lang w:val="sr-Latn-ME"/>
        </w:rPr>
        <w:t xml:space="preserve"> </w:t>
      </w:r>
      <w:r w:rsidRPr="00461F66">
        <w:rPr>
          <w:rFonts w:eastAsia="Calibri"/>
          <w:sz w:val="22"/>
          <w:szCs w:val="22"/>
          <w:lang w:val="sr-Latn-ME"/>
        </w:rPr>
        <w:t xml:space="preserve">dejstvo ovog lijeka </w:t>
      </w:r>
      <w:r w:rsidR="004E70AD" w:rsidRPr="00461F66">
        <w:rPr>
          <w:rFonts w:eastAsia="Calibri"/>
          <w:sz w:val="22"/>
          <w:szCs w:val="22"/>
          <w:lang w:val="sr-Latn-ME"/>
        </w:rPr>
        <w:t>Institutu</w:t>
      </w:r>
      <w:r w:rsidRPr="00461F66">
        <w:rPr>
          <w:rFonts w:eastAsia="Calibri"/>
          <w:sz w:val="22"/>
          <w:szCs w:val="22"/>
          <w:lang w:val="sr-Latn-ME"/>
        </w:rPr>
        <w:t xml:space="preserve"> za ljekove i medicinska sredstva</w:t>
      </w:r>
      <w:r w:rsidR="004E70AD" w:rsidRPr="00461F66">
        <w:rPr>
          <w:rFonts w:eastAsia="Calibri"/>
          <w:sz w:val="22"/>
          <w:szCs w:val="22"/>
          <w:lang w:val="sr-Latn-ME"/>
        </w:rPr>
        <w:t xml:space="preserve"> </w:t>
      </w:r>
      <w:r w:rsidRPr="00461F66">
        <w:rPr>
          <w:rFonts w:eastAsia="Calibri"/>
          <w:sz w:val="22"/>
          <w:szCs w:val="22"/>
          <w:lang w:val="sr-Latn-ME"/>
        </w:rPr>
        <w:t>(</w:t>
      </w:r>
      <w:r w:rsidR="004E70AD" w:rsidRPr="00461F66">
        <w:rPr>
          <w:rFonts w:eastAsia="Calibri"/>
          <w:sz w:val="22"/>
          <w:szCs w:val="22"/>
          <w:lang w:val="sr-Latn-ME"/>
        </w:rPr>
        <w:t>CInMED</w:t>
      </w:r>
      <w:r w:rsidRPr="00461F66">
        <w:rPr>
          <w:rFonts w:eastAsia="Calibri"/>
          <w:sz w:val="22"/>
          <w:szCs w:val="22"/>
          <w:lang w:val="sr-Latn-ME"/>
        </w:rPr>
        <w:t>):</w:t>
      </w:r>
    </w:p>
    <w:p w14:paraId="362C6C8E" w14:textId="77777777" w:rsidR="005A23D2" w:rsidRPr="00461F66" w:rsidRDefault="004E70AD" w:rsidP="00CC415C">
      <w:pPr>
        <w:pStyle w:val="NoSpacing"/>
        <w:jc w:val="both"/>
        <w:rPr>
          <w:rFonts w:eastAsia="Calibri"/>
          <w:sz w:val="22"/>
          <w:szCs w:val="22"/>
          <w:lang w:val="sr-Latn-ME"/>
        </w:rPr>
      </w:pPr>
      <w:r w:rsidRPr="00461F66">
        <w:rPr>
          <w:rFonts w:eastAsia="Calibri"/>
          <w:sz w:val="22"/>
          <w:szCs w:val="22"/>
          <w:lang w:val="sr-Latn-ME"/>
        </w:rPr>
        <w:t xml:space="preserve">Institut </w:t>
      </w:r>
      <w:r w:rsidR="005A23D2" w:rsidRPr="00461F66">
        <w:rPr>
          <w:rFonts w:eastAsia="Calibri"/>
          <w:sz w:val="22"/>
          <w:szCs w:val="22"/>
          <w:lang w:val="sr-Latn-ME"/>
        </w:rPr>
        <w:t xml:space="preserve">za ljekove i medicinska sredstva </w:t>
      </w:r>
    </w:p>
    <w:p w14:paraId="614D5F39" w14:textId="77777777" w:rsidR="005A23D2" w:rsidRPr="00461F66" w:rsidRDefault="005A23D2" w:rsidP="00CC415C">
      <w:pPr>
        <w:pStyle w:val="NoSpacing"/>
        <w:jc w:val="both"/>
        <w:rPr>
          <w:rFonts w:eastAsia="Calibri"/>
          <w:sz w:val="22"/>
          <w:szCs w:val="22"/>
          <w:lang w:val="sr-Latn-ME"/>
        </w:rPr>
      </w:pPr>
      <w:r w:rsidRPr="00461F66">
        <w:rPr>
          <w:rFonts w:eastAsia="Calibri"/>
          <w:sz w:val="22"/>
          <w:szCs w:val="22"/>
          <w:lang w:val="sr-Latn-ME"/>
        </w:rPr>
        <w:t>Odjeljenje za farmakovigilancu</w:t>
      </w:r>
    </w:p>
    <w:p w14:paraId="704AED2A" w14:textId="77777777" w:rsidR="00EA5765" w:rsidRPr="00461F66" w:rsidRDefault="005A23D2" w:rsidP="00CC415C">
      <w:pPr>
        <w:pStyle w:val="NoSpacing"/>
        <w:jc w:val="both"/>
        <w:rPr>
          <w:rFonts w:eastAsia="Calibri"/>
          <w:sz w:val="22"/>
          <w:szCs w:val="22"/>
          <w:lang w:val="sr-Latn-ME"/>
        </w:rPr>
      </w:pPr>
      <w:r w:rsidRPr="00461F66">
        <w:rPr>
          <w:rFonts w:eastAsia="Calibri"/>
          <w:sz w:val="22"/>
          <w:szCs w:val="22"/>
          <w:lang w:val="sr-Latn-ME"/>
        </w:rPr>
        <w:t>Bulevar Ivana Crnojevića 64a, 81000 Podgorica</w:t>
      </w:r>
    </w:p>
    <w:p w14:paraId="05794DD6" w14:textId="77777777" w:rsidR="00EA5765" w:rsidRPr="00461F66" w:rsidRDefault="00EA5765" w:rsidP="00CC415C">
      <w:pPr>
        <w:pStyle w:val="NoSpacing"/>
        <w:jc w:val="both"/>
        <w:rPr>
          <w:rFonts w:eastAsia="Calibri"/>
          <w:sz w:val="22"/>
          <w:szCs w:val="22"/>
          <w:lang w:val="sr-Latn-ME"/>
        </w:rPr>
      </w:pPr>
    </w:p>
    <w:p w14:paraId="19ABBBAC" w14:textId="77777777" w:rsidR="005A23D2" w:rsidRPr="00461F66" w:rsidRDefault="005A23D2" w:rsidP="00CC415C">
      <w:pPr>
        <w:pStyle w:val="NoSpacing"/>
        <w:jc w:val="both"/>
        <w:rPr>
          <w:rFonts w:eastAsia="Calibri"/>
          <w:sz w:val="22"/>
          <w:szCs w:val="22"/>
          <w:lang w:val="sr-Latn-ME"/>
        </w:rPr>
      </w:pPr>
      <w:r w:rsidRPr="00461F66">
        <w:rPr>
          <w:rFonts w:eastAsia="Calibri"/>
          <w:sz w:val="22"/>
          <w:szCs w:val="22"/>
          <w:lang w:val="sr-Latn-ME"/>
        </w:rPr>
        <w:t>tel: +382 (0) 20 310 280</w:t>
      </w:r>
    </w:p>
    <w:p w14:paraId="6C4B8069" w14:textId="77777777" w:rsidR="00EA5765" w:rsidRPr="00461F66" w:rsidRDefault="005A23D2" w:rsidP="00CC415C">
      <w:pPr>
        <w:pStyle w:val="NoSpacing"/>
        <w:tabs>
          <w:tab w:val="left" w:pos="6720"/>
        </w:tabs>
        <w:jc w:val="both"/>
        <w:rPr>
          <w:rFonts w:eastAsia="Calibri"/>
          <w:sz w:val="22"/>
          <w:szCs w:val="22"/>
          <w:lang w:val="sr-Latn-ME"/>
        </w:rPr>
      </w:pPr>
      <w:r w:rsidRPr="00461F66">
        <w:rPr>
          <w:rFonts w:eastAsia="Calibri"/>
          <w:sz w:val="22"/>
          <w:szCs w:val="22"/>
          <w:lang w:val="sr-Latn-ME"/>
        </w:rPr>
        <w:t>fax:</w:t>
      </w:r>
      <w:r w:rsidR="00EA5765" w:rsidRPr="00461F66">
        <w:rPr>
          <w:rFonts w:eastAsia="Calibri"/>
          <w:sz w:val="22"/>
          <w:szCs w:val="22"/>
          <w:lang w:val="sr-Latn-ME"/>
        </w:rPr>
        <w:t xml:space="preserve"> </w:t>
      </w:r>
      <w:r w:rsidRPr="00461F66">
        <w:rPr>
          <w:rFonts w:eastAsia="Calibri"/>
          <w:sz w:val="22"/>
          <w:szCs w:val="22"/>
          <w:lang w:val="sr-Latn-ME"/>
        </w:rPr>
        <w:t>+382 (0) 20 310 581</w:t>
      </w:r>
      <w:r w:rsidR="00FF3EDF" w:rsidRPr="00461F66">
        <w:rPr>
          <w:rFonts w:eastAsia="Calibri"/>
          <w:sz w:val="22"/>
          <w:szCs w:val="22"/>
          <w:lang w:val="sr-Latn-ME"/>
        </w:rPr>
        <w:tab/>
      </w:r>
    </w:p>
    <w:p w14:paraId="278A2E90" w14:textId="77777777" w:rsidR="005A23D2" w:rsidRPr="00461F66" w:rsidRDefault="007B50F5" w:rsidP="00CC415C">
      <w:pPr>
        <w:pStyle w:val="NoSpacing"/>
        <w:jc w:val="both"/>
        <w:rPr>
          <w:rFonts w:eastAsia="Calibri"/>
          <w:sz w:val="22"/>
          <w:szCs w:val="22"/>
          <w:lang w:val="sr-Latn-ME"/>
        </w:rPr>
      </w:pPr>
      <w:hyperlink r:id="rId8" w:history="1">
        <w:r w:rsidR="004E70AD" w:rsidRPr="00461F66">
          <w:rPr>
            <w:rStyle w:val="Hyperlink"/>
            <w:rFonts w:eastAsia="Calibri"/>
            <w:sz w:val="22"/>
            <w:szCs w:val="22"/>
            <w:lang w:val="sr-Latn-ME"/>
          </w:rPr>
          <w:t>www.cinmed.me</w:t>
        </w:r>
      </w:hyperlink>
    </w:p>
    <w:p w14:paraId="7B290BDF" w14:textId="77777777" w:rsidR="00EA5765" w:rsidRPr="00461F66" w:rsidRDefault="007B50F5" w:rsidP="00CC415C">
      <w:pPr>
        <w:pStyle w:val="NoSpacing"/>
        <w:jc w:val="both"/>
        <w:rPr>
          <w:rFonts w:eastAsia="Calibri"/>
          <w:color w:val="0000FF"/>
          <w:sz w:val="22"/>
          <w:szCs w:val="22"/>
          <w:u w:val="single"/>
          <w:lang w:val="sr-Latn-ME"/>
        </w:rPr>
      </w:pPr>
      <w:hyperlink r:id="rId9" w:history="1">
        <w:r w:rsidR="004E70AD" w:rsidRPr="00461F66">
          <w:rPr>
            <w:rStyle w:val="Hyperlink"/>
            <w:rFonts w:eastAsia="Calibri"/>
            <w:sz w:val="22"/>
            <w:szCs w:val="22"/>
            <w:lang w:val="sr-Latn-ME"/>
          </w:rPr>
          <w:t>nezeljenadejstva@cinmed.me</w:t>
        </w:r>
      </w:hyperlink>
    </w:p>
    <w:p w14:paraId="70B967BD" w14:textId="77777777" w:rsidR="005A23D2" w:rsidRPr="00461F66" w:rsidRDefault="005A23D2" w:rsidP="00CC415C">
      <w:pPr>
        <w:pStyle w:val="NoSpacing"/>
        <w:jc w:val="both"/>
        <w:rPr>
          <w:rFonts w:eastAsia="Calibri"/>
          <w:sz w:val="22"/>
          <w:szCs w:val="22"/>
          <w:lang w:val="sr-Latn-ME"/>
        </w:rPr>
      </w:pPr>
      <w:r w:rsidRPr="00461F66">
        <w:rPr>
          <w:rFonts w:eastAsia="Calibri"/>
          <w:sz w:val="22"/>
          <w:szCs w:val="22"/>
          <w:lang w:val="sr-Latn-ME"/>
        </w:rPr>
        <w:t>putem IS zdravstvene zaštite</w:t>
      </w:r>
    </w:p>
    <w:p w14:paraId="13CDB613" w14:textId="77777777" w:rsidR="007E31E9" w:rsidRPr="00461F66" w:rsidRDefault="007E31E9" w:rsidP="00CC415C">
      <w:pPr>
        <w:pStyle w:val="NoSpacing"/>
        <w:jc w:val="both"/>
        <w:rPr>
          <w:rFonts w:eastAsia="Calibri"/>
          <w:sz w:val="22"/>
          <w:szCs w:val="22"/>
          <w:lang w:val="sr-Latn-ME"/>
        </w:rPr>
      </w:pPr>
      <w:r w:rsidRPr="00461F66">
        <w:rPr>
          <w:rFonts w:eastAsia="Calibri"/>
          <w:sz w:val="22"/>
          <w:szCs w:val="22"/>
          <w:lang w:val="sr-Latn-ME"/>
        </w:rPr>
        <w:t>QR kod za online prijavu</w:t>
      </w:r>
      <w:r w:rsidR="00D74CD2" w:rsidRPr="00461F66">
        <w:rPr>
          <w:rFonts w:eastAsia="Calibri"/>
          <w:sz w:val="22"/>
          <w:szCs w:val="22"/>
          <w:lang w:val="sr-Latn-ME"/>
        </w:rPr>
        <w:t xml:space="preserve"> sumnje na neželjeno dejstvo lijeka</w:t>
      </w:r>
      <w:r w:rsidRPr="00461F66">
        <w:rPr>
          <w:rFonts w:eastAsia="Calibri"/>
          <w:sz w:val="22"/>
          <w:szCs w:val="22"/>
          <w:lang w:val="sr-Latn-ME"/>
        </w:rPr>
        <w:t>:</w:t>
      </w:r>
    </w:p>
    <w:p w14:paraId="55CEA67B" w14:textId="77777777" w:rsidR="007E31E9" w:rsidRPr="00461F66" w:rsidRDefault="007E31E9" w:rsidP="00CC415C">
      <w:pPr>
        <w:pStyle w:val="NoSpacing"/>
        <w:jc w:val="both"/>
        <w:rPr>
          <w:rFonts w:eastAsia="Calibri"/>
          <w:sz w:val="22"/>
          <w:szCs w:val="22"/>
          <w:lang w:val="sr-Latn-ME"/>
        </w:rPr>
      </w:pPr>
    </w:p>
    <w:p w14:paraId="73D5A3A2" w14:textId="77777777" w:rsidR="004F17E2" w:rsidRPr="00461F66" w:rsidRDefault="007E31E9" w:rsidP="00CC415C">
      <w:pPr>
        <w:pStyle w:val="NoSpacing"/>
        <w:jc w:val="both"/>
        <w:rPr>
          <w:rFonts w:eastAsia="Calibri"/>
          <w:sz w:val="22"/>
          <w:szCs w:val="22"/>
          <w:lang w:val="sr-Latn-ME"/>
        </w:rPr>
      </w:pPr>
      <w:r w:rsidRPr="00461F66">
        <w:rPr>
          <w:noProof/>
        </w:rPr>
        <w:drawing>
          <wp:inline distT="0" distB="0" distL="0" distR="0" wp14:anchorId="2E9D7305" wp14:editId="69524A06">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5F36DB8" w14:textId="77777777" w:rsidR="00836B35" w:rsidRPr="00461F66" w:rsidRDefault="00836B35" w:rsidP="00CC415C">
      <w:pPr>
        <w:tabs>
          <w:tab w:val="left" w:pos="540"/>
          <w:tab w:val="left" w:pos="569"/>
        </w:tabs>
        <w:jc w:val="both"/>
        <w:rPr>
          <w:b/>
          <w:bCs/>
          <w:sz w:val="22"/>
          <w:szCs w:val="22"/>
          <w:lang w:val="sr-Latn-ME"/>
        </w:rPr>
      </w:pPr>
    </w:p>
    <w:p w14:paraId="46C50D07" w14:textId="77777777" w:rsidR="00CD6F02"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4.9. </w:t>
      </w:r>
      <w:r w:rsidR="00480FB1" w:rsidRPr="00461F66">
        <w:rPr>
          <w:b/>
          <w:bCs/>
          <w:sz w:val="22"/>
          <w:szCs w:val="22"/>
          <w:lang w:val="sr-Latn-ME"/>
        </w:rPr>
        <w:tab/>
      </w:r>
      <w:r w:rsidRPr="00461F66">
        <w:rPr>
          <w:b/>
          <w:bCs/>
          <w:sz w:val="22"/>
          <w:szCs w:val="22"/>
          <w:lang w:val="sr-Latn-ME"/>
        </w:rPr>
        <w:t>Predoziranje</w:t>
      </w:r>
      <w:r w:rsidR="002846DB" w:rsidRPr="00461F66">
        <w:rPr>
          <w:b/>
          <w:bCs/>
          <w:sz w:val="22"/>
          <w:szCs w:val="22"/>
          <w:lang w:val="sr-Latn-ME"/>
        </w:rPr>
        <w:t xml:space="preserve"> </w:t>
      </w:r>
    </w:p>
    <w:p w14:paraId="10918F93" w14:textId="77777777" w:rsidR="00CD6F02" w:rsidRPr="00461F66" w:rsidRDefault="00CD6F02" w:rsidP="00CC415C">
      <w:pPr>
        <w:tabs>
          <w:tab w:val="left" w:pos="540"/>
          <w:tab w:val="left" w:pos="569"/>
        </w:tabs>
        <w:jc w:val="both"/>
        <w:rPr>
          <w:b/>
          <w:bCs/>
          <w:sz w:val="22"/>
          <w:szCs w:val="22"/>
          <w:lang w:val="sr-Latn-ME"/>
        </w:rPr>
      </w:pPr>
    </w:p>
    <w:p w14:paraId="684B411C"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Nije prijavljen slučaj predoziranja.</w:t>
      </w:r>
    </w:p>
    <w:p w14:paraId="2A0DBD78" w14:textId="77777777" w:rsidR="00B151B4" w:rsidRPr="00461F66" w:rsidRDefault="00B151B4" w:rsidP="00CC415C">
      <w:pPr>
        <w:autoSpaceDE w:val="0"/>
        <w:autoSpaceDN w:val="0"/>
        <w:adjustRightInd w:val="0"/>
        <w:jc w:val="both"/>
        <w:rPr>
          <w:sz w:val="22"/>
          <w:szCs w:val="22"/>
          <w:lang w:val="sr-Latn-ME" w:eastAsia="sr-Latn-ME"/>
        </w:rPr>
      </w:pPr>
    </w:p>
    <w:p w14:paraId="6C2A6674" w14:textId="36A2383C"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Predoziranje parikalcitolom može dovesti do hiperkalcemije.</w:t>
      </w:r>
    </w:p>
    <w:p w14:paraId="31A96362" w14:textId="77777777" w:rsidR="00B151B4" w:rsidRPr="00461F66" w:rsidRDefault="00B151B4" w:rsidP="00CC415C">
      <w:pPr>
        <w:autoSpaceDE w:val="0"/>
        <w:autoSpaceDN w:val="0"/>
        <w:adjustRightInd w:val="0"/>
        <w:jc w:val="both"/>
        <w:rPr>
          <w:sz w:val="22"/>
          <w:szCs w:val="22"/>
          <w:lang w:val="sr-Latn-ME" w:eastAsia="sr-Latn-ME"/>
        </w:rPr>
      </w:pPr>
    </w:p>
    <w:p w14:paraId="4A56682A"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U slučaju predoziranja treba pratiti i prijaviti ljekaru znake i simptome hiperkalcemije (vrijednosti kalcijuma u serumu). Liječenje treba započeti prema potrebi.</w:t>
      </w:r>
    </w:p>
    <w:p w14:paraId="6FE6EA9F" w14:textId="77777777" w:rsidR="00B151B4" w:rsidRPr="00461F66" w:rsidRDefault="00B151B4" w:rsidP="00CC415C">
      <w:pPr>
        <w:autoSpaceDE w:val="0"/>
        <w:autoSpaceDN w:val="0"/>
        <w:adjustRightInd w:val="0"/>
        <w:jc w:val="both"/>
        <w:rPr>
          <w:sz w:val="22"/>
          <w:szCs w:val="22"/>
          <w:lang w:val="sr-Latn-ME" w:eastAsia="sr-Latn-ME"/>
        </w:rPr>
      </w:pPr>
    </w:p>
    <w:p w14:paraId="3A5F8171" w14:textId="6A259BA5"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lastRenderedPageBreak/>
        <w:t>Parikalcitol se ne može odstraniti dijalizom u velikoj mjeri. Liječenje pacijenata sa klinički značajnom</w:t>
      </w:r>
      <w:r w:rsidR="00B61DE8" w:rsidRPr="00461F66">
        <w:rPr>
          <w:sz w:val="22"/>
          <w:szCs w:val="22"/>
          <w:lang w:val="sr-Latn-ME" w:eastAsia="sr-Latn-ME"/>
        </w:rPr>
        <w:t xml:space="preserve"> </w:t>
      </w:r>
      <w:r w:rsidRPr="00461F66">
        <w:rPr>
          <w:sz w:val="22"/>
          <w:szCs w:val="22"/>
          <w:lang w:val="sr-Latn-ME" w:eastAsia="sr-Latn-ME"/>
        </w:rPr>
        <w:t>hiperkalcemijom se sastoji od trenutnog smanjenja doze ili prekida terapije parikalcitolom, a uključuje i ishranu sa malim sadržajem kalcijuma, prestanak uzimanja suplemenata sa kalcijumom, mobilizaciju</w:t>
      </w:r>
      <w:r w:rsidR="00B61DE8" w:rsidRPr="00461F66">
        <w:rPr>
          <w:sz w:val="22"/>
          <w:szCs w:val="22"/>
          <w:lang w:val="sr-Latn-ME" w:eastAsia="sr-Latn-ME"/>
        </w:rPr>
        <w:t xml:space="preserve"> </w:t>
      </w:r>
      <w:r w:rsidRPr="00461F66">
        <w:rPr>
          <w:sz w:val="22"/>
          <w:szCs w:val="22"/>
          <w:lang w:val="sr-Latn-ME" w:eastAsia="sr-Latn-ME"/>
        </w:rPr>
        <w:t>pacijenta, vođenje računa o ravnoteži tečnosti i elektrolita, procjenu izmjena u elektrokardiogramu (od</w:t>
      </w:r>
      <w:r w:rsidR="00B61DE8" w:rsidRPr="00461F66">
        <w:rPr>
          <w:sz w:val="22"/>
          <w:szCs w:val="22"/>
          <w:lang w:val="sr-Latn-ME" w:eastAsia="sr-Latn-ME"/>
        </w:rPr>
        <w:t xml:space="preserve"> </w:t>
      </w:r>
      <w:r w:rsidRPr="00461F66">
        <w:rPr>
          <w:sz w:val="22"/>
          <w:szCs w:val="22"/>
          <w:lang w:val="sr-Latn-ME" w:eastAsia="sr-Latn-ME"/>
        </w:rPr>
        <w:t>ključnog značaja kod pacijenata koji primaju digitalis) i hemodijalizu ili peritonealnu dijalizu protiv</w:t>
      </w:r>
      <w:r w:rsidR="00D30EF3" w:rsidRPr="00461F66">
        <w:rPr>
          <w:sz w:val="22"/>
          <w:szCs w:val="22"/>
          <w:lang w:val="sr-Latn-ME" w:eastAsia="sr-Latn-ME"/>
        </w:rPr>
        <w:t xml:space="preserve"> </w:t>
      </w:r>
      <w:r w:rsidRPr="00461F66">
        <w:rPr>
          <w:sz w:val="22"/>
          <w:szCs w:val="22"/>
          <w:lang w:val="sr-Latn-ME" w:eastAsia="sr-Latn-ME"/>
        </w:rPr>
        <w:t>dijalizata bez kalcijuma, u skladu sa preporukama.</w:t>
      </w:r>
    </w:p>
    <w:p w14:paraId="7CF591F5" w14:textId="77777777" w:rsidR="00B151B4" w:rsidRPr="00461F66" w:rsidRDefault="00B151B4" w:rsidP="00CC415C">
      <w:pPr>
        <w:autoSpaceDE w:val="0"/>
        <w:autoSpaceDN w:val="0"/>
        <w:adjustRightInd w:val="0"/>
        <w:jc w:val="both"/>
        <w:rPr>
          <w:sz w:val="22"/>
          <w:szCs w:val="22"/>
          <w:lang w:val="sr-Latn-ME" w:eastAsia="sr-Latn-ME"/>
        </w:rPr>
      </w:pPr>
    </w:p>
    <w:p w14:paraId="6719EAA2" w14:textId="16B284DD" w:rsidR="00B151B4" w:rsidRPr="00461F66" w:rsidRDefault="00B151B4" w:rsidP="00CC415C">
      <w:pPr>
        <w:tabs>
          <w:tab w:val="left" w:pos="540"/>
          <w:tab w:val="left" w:pos="569"/>
        </w:tabs>
        <w:jc w:val="both"/>
        <w:rPr>
          <w:b/>
          <w:bCs/>
          <w:sz w:val="22"/>
          <w:szCs w:val="22"/>
          <w:lang w:val="sr-Latn-ME"/>
        </w:rPr>
      </w:pPr>
      <w:r w:rsidRPr="00461F66">
        <w:rPr>
          <w:sz w:val="22"/>
          <w:szCs w:val="22"/>
          <w:lang w:val="sr-Latn-ME" w:eastAsia="sr-Latn-ME"/>
        </w:rPr>
        <w:t>Lijek Rextol rastvor za injekciju sadrži 39% v/v propilen</w:t>
      </w:r>
      <w:r w:rsidR="0062623B">
        <w:rPr>
          <w:sz w:val="22"/>
          <w:szCs w:val="22"/>
          <w:lang w:val="sr-Latn-ME" w:eastAsia="sr-Latn-ME"/>
        </w:rPr>
        <w:t xml:space="preserve"> </w:t>
      </w:r>
      <w:r w:rsidRPr="00461F66">
        <w:rPr>
          <w:sz w:val="22"/>
          <w:szCs w:val="22"/>
          <w:lang w:val="sr-Latn-ME" w:eastAsia="sr-Latn-ME"/>
        </w:rPr>
        <w:t>glikola kao pomoćnu supstancu. Zabilježeni su izolovani slučajevi depresije centralnog nervnog sistema, hemolize i laktatne acidoze kao toksična dejstva povezana sa primjenom propilen</w:t>
      </w:r>
      <w:r w:rsidR="0062623B">
        <w:rPr>
          <w:sz w:val="22"/>
          <w:szCs w:val="22"/>
          <w:lang w:val="sr-Latn-ME" w:eastAsia="sr-Latn-ME"/>
        </w:rPr>
        <w:t xml:space="preserve"> </w:t>
      </w:r>
      <w:r w:rsidRPr="00461F66">
        <w:rPr>
          <w:sz w:val="22"/>
          <w:szCs w:val="22"/>
          <w:lang w:val="sr-Latn-ME" w:eastAsia="sr-Latn-ME"/>
        </w:rPr>
        <w:t>glikola u velikim dozama. Iako se ne očekuju u toku primjene lijeka Rextol jer se propilen</w:t>
      </w:r>
      <w:r w:rsidR="0062623B">
        <w:rPr>
          <w:sz w:val="22"/>
          <w:szCs w:val="22"/>
          <w:lang w:val="sr-Latn-ME" w:eastAsia="sr-Latn-ME"/>
        </w:rPr>
        <w:t xml:space="preserve"> </w:t>
      </w:r>
      <w:r w:rsidRPr="00461F66">
        <w:rPr>
          <w:sz w:val="22"/>
          <w:szCs w:val="22"/>
          <w:lang w:val="sr-Latn-ME" w:eastAsia="sr-Latn-ME"/>
        </w:rPr>
        <w:t>glikol odstranjuje tokom dijalize, rizik od toksičnih dejstava u situacijama predoziranja se mora uzeti u obzir.</w:t>
      </w:r>
    </w:p>
    <w:p w14:paraId="3B3DBF90" w14:textId="5A583573" w:rsidR="00227BDB" w:rsidRDefault="00227BDB" w:rsidP="00CC415C">
      <w:pPr>
        <w:tabs>
          <w:tab w:val="left" w:pos="540"/>
          <w:tab w:val="left" w:pos="569"/>
        </w:tabs>
        <w:jc w:val="both"/>
        <w:rPr>
          <w:b/>
          <w:bCs/>
          <w:sz w:val="22"/>
          <w:szCs w:val="22"/>
          <w:lang w:val="sr-Latn-ME"/>
        </w:rPr>
      </w:pPr>
    </w:p>
    <w:p w14:paraId="050771D2" w14:textId="77777777" w:rsidR="00D20112" w:rsidRPr="00461F66" w:rsidRDefault="00D20112" w:rsidP="00CC415C">
      <w:pPr>
        <w:tabs>
          <w:tab w:val="left" w:pos="540"/>
          <w:tab w:val="left" w:pos="569"/>
        </w:tabs>
        <w:jc w:val="both"/>
        <w:rPr>
          <w:b/>
          <w:bCs/>
          <w:sz w:val="22"/>
          <w:szCs w:val="22"/>
          <w:lang w:val="sr-Latn-ME"/>
        </w:rPr>
      </w:pPr>
    </w:p>
    <w:p w14:paraId="4AEAC3E4"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5. </w:t>
      </w:r>
      <w:r w:rsidR="00480FB1" w:rsidRPr="00461F66">
        <w:rPr>
          <w:b/>
          <w:bCs/>
          <w:sz w:val="22"/>
          <w:szCs w:val="22"/>
          <w:lang w:val="sr-Latn-ME"/>
        </w:rPr>
        <w:tab/>
      </w:r>
      <w:r w:rsidRPr="00461F66">
        <w:rPr>
          <w:b/>
          <w:bCs/>
          <w:sz w:val="22"/>
          <w:szCs w:val="22"/>
          <w:lang w:val="sr-Latn-ME"/>
        </w:rPr>
        <w:t>FARMAKOLOŠK</w:t>
      </w:r>
      <w:r w:rsidR="000D425A" w:rsidRPr="00461F66">
        <w:rPr>
          <w:b/>
          <w:bCs/>
          <w:sz w:val="22"/>
          <w:szCs w:val="22"/>
          <w:lang w:val="sr-Latn-ME"/>
        </w:rPr>
        <w:t>I</w:t>
      </w:r>
      <w:r w:rsidRPr="00461F66">
        <w:rPr>
          <w:b/>
          <w:bCs/>
          <w:sz w:val="22"/>
          <w:szCs w:val="22"/>
          <w:lang w:val="sr-Latn-ME"/>
        </w:rPr>
        <w:t xml:space="preserve"> PODACI</w:t>
      </w:r>
    </w:p>
    <w:p w14:paraId="2B69CDBB" w14:textId="77777777" w:rsidR="0072020E" w:rsidRPr="00461F66" w:rsidRDefault="0072020E" w:rsidP="00CC415C">
      <w:pPr>
        <w:tabs>
          <w:tab w:val="left" w:pos="540"/>
          <w:tab w:val="left" w:pos="569"/>
        </w:tabs>
        <w:jc w:val="both"/>
        <w:rPr>
          <w:b/>
          <w:bCs/>
          <w:sz w:val="22"/>
          <w:szCs w:val="22"/>
          <w:lang w:val="sr-Latn-ME"/>
        </w:rPr>
      </w:pPr>
    </w:p>
    <w:p w14:paraId="150658DA"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5.1. </w:t>
      </w:r>
      <w:r w:rsidR="00480FB1" w:rsidRPr="00461F66">
        <w:rPr>
          <w:b/>
          <w:bCs/>
          <w:sz w:val="22"/>
          <w:szCs w:val="22"/>
          <w:lang w:val="sr-Latn-ME"/>
        </w:rPr>
        <w:tab/>
      </w:r>
      <w:r w:rsidRPr="00461F66">
        <w:rPr>
          <w:b/>
          <w:bCs/>
          <w:sz w:val="22"/>
          <w:szCs w:val="22"/>
          <w:lang w:val="sr-Latn-ME"/>
        </w:rPr>
        <w:t>Farmakodinamski podaci</w:t>
      </w:r>
      <w:r w:rsidR="003A7059" w:rsidRPr="00461F66">
        <w:rPr>
          <w:b/>
          <w:bCs/>
          <w:sz w:val="22"/>
          <w:szCs w:val="22"/>
          <w:lang w:val="sr-Latn-ME"/>
        </w:rPr>
        <w:t xml:space="preserve"> </w:t>
      </w:r>
    </w:p>
    <w:p w14:paraId="2F8B5579" w14:textId="77777777" w:rsidR="00F45F77" w:rsidRPr="00461F66" w:rsidRDefault="00F45F77" w:rsidP="00CC415C">
      <w:pPr>
        <w:tabs>
          <w:tab w:val="left" w:pos="540"/>
          <w:tab w:val="left" w:pos="569"/>
        </w:tabs>
        <w:jc w:val="both"/>
        <w:rPr>
          <w:b/>
          <w:bCs/>
          <w:sz w:val="22"/>
          <w:szCs w:val="22"/>
          <w:lang w:val="sr-Latn-ME"/>
        </w:rPr>
      </w:pPr>
    </w:p>
    <w:p w14:paraId="0F5AD83B" w14:textId="028546F9" w:rsidR="0072020E" w:rsidRPr="00461F66" w:rsidRDefault="0072020E" w:rsidP="00CC415C">
      <w:pPr>
        <w:tabs>
          <w:tab w:val="left" w:pos="540"/>
          <w:tab w:val="left" w:pos="569"/>
        </w:tabs>
        <w:jc w:val="both"/>
        <w:rPr>
          <w:bCs/>
          <w:sz w:val="22"/>
          <w:szCs w:val="22"/>
          <w:lang w:val="sr-Latn-ME"/>
        </w:rPr>
      </w:pPr>
      <w:r w:rsidRPr="00461F66">
        <w:rPr>
          <w:bCs/>
          <w:sz w:val="22"/>
          <w:szCs w:val="22"/>
          <w:lang w:val="sr-Latn-ME"/>
        </w:rPr>
        <w:t>Farmakoterapijska grupa:</w:t>
      </w:r>
      <w:r w:rsidR="00B151B4" w:rsidRPr="00461F66">
        <w:rPr>
          <w:bCs/>
          <w:sz w:val="22"/>
          <w:szCs w:val="22"/>
          <w:lang w:val="sr-Latn-ME"/>
        </w:rPr>
        <w:t xml:space="preserve"> </w:t>
      </w:r>
      <w:r w:rsidR="00B151B4" w:rsidRPr="00461F66">
        <w:rPr>
          <w:sz w:val="22"/>
          <w:szCs w:val="22"/>
          <w:lang w:val="sr-Latn-ME" w:eastAsia="sr-Latn-ME"/>
        </w:rPr>
        <w:t>Homeostaza kalcijuma; Drugi anti-paratireoidni agensi</w:t>
      </w:r>
    </w:p>
    <w:p w14:paraId="6A9B49B7" w14:textId="07C7C8B4" w:rsidR="0072020E" w:rsidRPr="00461F66" w:rsidRDefault="0072020E" w:rsidP="00CC415C">
      <w:pPr>
        <w:tabs>
          <w:tab w:val="left" w:pos="540"/>
          <w:tab w:val="left" w:pos="569"/>
        </w:tabs>
        <w:jc w:val="both"/>
        <w:rPr>
          <w:sz w:val="22"/>
          <w:szCs w:val="22"/>
          <w:lang w:val="sr-Latn-ME" w:eastAsia="sr-Latn-ME"/>
        </w:rPr>
      </w:pPr>
      <w:r w:rsidRPr="00461F66">
        <w:rPr>
          <w:bCs/>
          <w:sz w:val="22"/>
          <w:szCs w:val="22"/>
          <w:lang w:val="sr-Latn-ME"/>
        </w:rPr>
        <w:t>ATC kod:</w:t>
      </w:r>
      <w:r w:rsidR="00B151B4" w:rsidRPr="00461F66">
        <w:rPr>
          <w:bCs/>
          <w:sz w:val="22"/>
          <w:szCs w:val="22"/>
          <w:lang w:val="sr-Latn-ME"/>
        </w:rPr>
        <w:t xml:space="preserve"> </w:t>
      </w:r>
      <w:r w:rsidR="00B151B4" w:rsidRPr="00461F66">
        <w:rPr>
          <w:sz w:val="22"/>
          <w:szCs w:val="22"/>
          <w:lang w:val="sr-Latn-ME" w:eastAsia="sr-Latn-ME"/>
        </w:rPr>
        <w:t>H05BX02</w:t>
      </w:r>
    </w:p>
    <w:p w14:paraId="0F2578B2" w14:textId="77777777" w:rsidR="00B151B4" w:rsidRPr="00461F66" w:rsidRDefault="00B151B4" w:rsidP="00CC415C">
      <w:pPr>
        <w:tabs>
          <w:tab w:val="left" w:pos="540"/>
          <w:tab w:val="left" w:pos="569"/>
        </w:tabs>
        <w:jc w:val="both"/>
        <w:rPr>
          <w:sz w:val="22"/>
          <w:szCs w:val="22"/>
          <w:lang w:val="sr-Latn-ME" w:eastAsia="sr-Latn-ME"/>
        </w:rPr>
      </w:pPr>
    </w:p>
    <w:p w14:paraId="2F42147B" w14:textId="77777777" w:rsidR="00B151B4" w:rsidRPr="00461F66" w:rsidRDefault="00B151B4" w:rsidP="00CC415C">
      <w:pPr>
        <w:autoSpaceDE w:val="0"/>
        <w:autoSpaceDN w:val="0"/>
        <w:adjustRightInd w:val="0"/>
        <w:jc w:val="both"/>
        <w:rPr>
          <w:sz w:val="22"/>
          <w:szCs w:val="22"/>
          <w:u w:val="single"/>
          <w:lang w:val="sr-Latn-ME" w:eastAsia="sr-Latn-ME"/>
        </w:rPr>
      </w:pPr>
      <w:r w:rsidRPr="00461F66">
        <w:rPr>
          <w:sz w:val="22"/>
          <w:szCs w:val="22"/>
          <w:u w:val="single"/>
          <w:lang w:val="sr-Latn-ME" w:eastAsia="sr-Latn-ME"/>
        </w:rPr>
        <w:t>Mehanizam dejstva</w:t>
      </w:r>
    </w:p>
    <w:p w14:paraId="15188495"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Parikalcitol je sintetski, biološki aktivan vitamin D analog kalcitriola, koji sadrži modifikacije u bočnom lancu (D</w:t>
      </w:r>
      <w:r w:rsidRPr="00461F66">
        <w:rPr>
          <w:sz w:val="22"/>
          <w:szCs w:val="22"/>
          <w:vertAlign w:val="subscript"/>
          <w:lang w:val="sr-Latn-ME" w:eastAsia="sr-Latn-ME"/>
        </w:rPr>
        <w:t>2</w:t>
      </w:r>
      <w:r w:rsidRPr="00461F66">
        <w:rPr>
          <w:sz w:val="22"/>
          <w:szCs w:val="22"/>
          <w:lang w:val="sr-Latn-ME" w:eastAsia="sr-Latn-ME"/>
        </w:rPr>
        <w:t>) i u prstenu A (19-nor). Za razliku od kalcitriola, parikalcitol omogućava selektivnu aktivaciju vitamin D receptora (VDR). Parikalcitol selektivno pojačava ekspresiju VDR u paratireoidnoj žlijezdi, pri čemu ne povećava VDR u crijevima i slabije djeluje na resorpciju kosti. Parikalcitol pojačava i ekspresiju receptora osjetljivih na kalcijum (CaSR) u paratireoidnoj žlijezdi. Na taj način parikalcitol, inhibicijom proliferacije u paratireoidnoj žlijezdi i smanjenjem sinteze i lučenja paratireoidnog hormona (PTH), smanjuje vrijednost PTH, uz minimalan uticaj na vrijednost kalcijuma i fosfora i može djelovati i direktno na koštane ćelije i održavati volumen kosti i poboljšavati mineralizaciju njene površine. Korekcijom poremećenog nivoa PTH, uz normalizaciju homeostaze kalcijuma i fosfora, može se spriječiti ili liječiti metabolička bolest kostiju povezana sa hroničnim oboljenjem bubrega.</w:t>
      </w:r>
    </w:p>
    <w:p w14:paraId="68A3100F" w14:textId="77777777" w:rsidR="00B151B4" w:rsidRPr="00461F66" w:rsidRDefault="00B151B4" w:rsidP="00CC415C">
      <w:pPr>
        <w:tabs>
          <w:tab w:val="left" w:pos="540"/>
          <w:tab w:val="left" w:pos="569"/>
        </w:tabs>
        <w:jc w:val="both"/>
        <w:rPr>
          <w:b/>
          <w:bCs/>
          <w:sz w:val="22"/>
          <w:szCs w:val="22"/>
          <w:lang w:val="sr-Latn-ME"/>
        </w:rPr>
      </w:pPr>
    </w:p>
    <w:p w14:paraId="52ABF7AC" w14:textId="77777777" w:rsidR="00B151B4" w:rsidRPr="00461F66" w:rsidRDefault="00B151B4" w:rsidP="00CC415C">
      <w:pPr>
        <w:autoSpaceDE w:val="0"/>
        <w:autoSpaceDN w:val="0"/>
        <w:adjustRightInd w:val="0"/>
        <w:jc w:val="both"/>
        <w:rPr>
          <w:sz w:val="22"/>
          <w:szCs w:val="22"/>
          <w:u w:val="single"/>
          <w:lang w:val="sr-Latn-ME" w:eastAsia="sr-Latn-ME"/>
        </w:rPr>
      </w:pPr>
      <w:r w:rsidRPr="00461F66">
        <w:rPr>
          <w:sz w:val="22"/>
          <w:szCs w:val="22"/>
          <w:u w:val="single"/>
          <w:lang w:val="sr-Latn-ME" w:eastAsia="sr-Latn-ME"/>
        </w:rPr>
        <w:t>Pedijatrijska populacija</w:t>
      </w:r>
    </w:p>
    <w:p w14:paraId="6A3285C0" w14:textId="67C2E32A" w:rsidR="00B151B4" w:rsidRPr="00461F66" w:rsidRDefault="00B151B4" w:rsidP="00CC415C">
      <w:pPr>
        <w:tabs>
          <w:tab w:val="left" w:pos="540"/>
          <w:tab w:val="left" w:pos="569"/>
        </w:tabs>
        <w:jc w:val="both"/>
        <w:rPr>
          <w:bCs/>
          <w:sz w:val="22"/>
          <w:szCs w:val="22"/>
          <w:lang w:val="sr-Latn-ME"/>
        </w:rPr>
      </w:pPr>
      <w:r w:rsidRPr="00461F66">
        <w:rPr>
          <w:sz w:val="22"/>
          <w:szCs w:val="22"/>
          <w:lang w:val="sr-Latn-ME" w:eastAsia="sr-Latn-ME"/>
        </w:rPr>
        <w:t>Bezbjednost i efikasnost parikalcitola ispitivana je u 12-ned</w:t>
      </w:r>
      <w:r w:rsidR="00CC415C" w:rsidRPr="00461F66">
        <w:rPr>
          <w:sz w:val="22"/>
          <w:szCs w:val="22"/>
          <w:lang w:val="sr-Latn-ME" w:eastAsia="sr-Latn-ME"/>
        </w:rPr>
        <w:t>j</w:t>
      </w:r>
      <w:r w:rsidRPr="00461F66">
        <w:rPr>
          <w:sz w:val="22"/>
          <w:szCs w:val="22"/>
          <w:lang w:val="sr-Latn-ME" w:eastAsia="sr-Latn-ME"/>
        </w:rPr>
        <w:t>eljnom randomizovanom, dvostruko slijepom, placebo kontrolisanom ispitivanju 29 pedijatrijskih pacijenata na hemodijalizi, uzrasta 5–19 godina, sa terminalni stadijum</w:t>
      </w:r>
      <w:r w:rsidR="00D30EF3" w:rsidRPr="00461F66">
        <w:rPr>
          <w:sz w:val="22"/>
          <w:szCs w:val="22"/>
          <w:lang w:val="sr-Latn-ME" w:eastAsia="sr-Latn-ME"/>
        </w:rPr>
        <w:t>om</w:t>
      </w:r>
      <w:r w:rsidRPr="00461F66">
        <w:rPr>
          <w:sz w:val="22"/>
          <w:szCs w:val="22"/>
          <w:lang w:val="sr-Latn-ME" w:eastAsia="sr-Latn-ME"/>
        </w:rPr>
        <w:t xml:space="preserve"> oboljenja bubrega. Šestoro najmlađih pacijenata liječenih parikalcitolom bili su uzrasta između 5 i 12 godina. Početna doza parikalcitola bila je 0,04 mikrograma/kg 3 puta ned</w:t>
      </w:r>
      <w:r w:rsidR="00CC415C" w:rsidRPr="00461F66">
        <w:rPr>
          <w:sz w:val="22"/>
          <w:szCs w:val="22"/>
          <w:lang w:val="sr-Latn-ME" w:eastAsia="sr-Latn-ME"/>
        </w:rPr>
        <w:t>j</w:t>
      </w:r>
      <w:r w:rsidRPr="00461F66">
        <w:rPr>
          <w:sz w:val="22"/>
          <w:szCs w:val="22"/>
          <w:lang w:val="sr-Latn-ME" w:eastAsia="sr-Latn-ME"/>
        </w:rPr>
        <w:t>eljno, bazirano na početnoj vrijednosti iPTH manjoj od 500 pikograma/m</w:t>
      </w:r>
      <w:r w:rsidR="00ED7299" w:rsidRPr="00461F66">
        <w:rPr>
          <w:sz w:val="22"/>
          <w:szCs w:val="22"/>
          <w:lang w:val="sr-Latn-ME" w:eastAsia="sr-Latn-ME"/>
        </w:rPr>
        <w:t>l</w:t>
      </w:r>
      <w:r w:rsidRPr="00461F66">
        <w:rPr>
          <w:sz w:val="22"/>
          <w:szCs w:val="22"/>
          <w:lang w:val="sr-Latn-ME" w:eastAsia="sr-Latn-ME"/>
        </w:rPr>
        <w:t xml:space="preserve"> ili 0,08 mikrograma/kg 3 puta ned</w:t>
      </w:r>
      <w:r w:rsidR="00CC415C" w:rsidRPr="00461F66">
        <w:rPr>
          <w:sz w:val="22"/>
          <w:szCs w:val="22"/>
          <w:lang w:val="sr-Latn-ME" w:eastAsia="sr-Latn-ME"/>
        </w:rPr>
        <w:t>j</w:t>
      </w:r>
      <w:r w:rsidRPr="00461F66">
        <w:rPr>
          <w:sz w:val="22"/>
          <w:szCs w:val="22"/>
          <w:lang w:val="sr-Latn-ME" w:eastAsia="sr-Latn-ME"/>
        </w:rPr>
        <w:t>eljno, bazirano na početnoj vrijednosti iPTH ≥500 pikograma/m</w:t>
      </w:r>
      <w:r w:rsidR="00ED7299" w:rsidRPr="00461F66">
        <w:rPr>
          <w:sz w:val="22"/>
          <w:szCs w:val="22"/>
          <w:lang w:val="sr-Latn-ME" w:eastAsia="sr-Latn-ME"/>
        </w:rPr>
        <w:t>l</w:t>
      </w:r>
      <w:r w:rsidRPr="00461F66">
        <w:rPr>
          <w:sz w:val="22"/>
          <w:szCs w:val="22"/>
          <w:lang w:val="sr-Latn-ME" w:eastAsia="sr-Latn-ME"/>
        </w:rPr>
        <w:t>. Doza parikalcitola je prilagođavana povećanjima od po 0,04 mikrograma/kg zavisno od vrijednosti iPTH, kalcijuma i proizvoda kalcijuma i fosfora u serumu. 67% pacijenata koji su primali parikalcitol i 14% koji su primali placebo su završili ispitivanje. 60% pacijenata u parikalcitol grupi je imalo smanjenje početne vrijednosti iPTH za 30% u 2 uzastopna mjerenja u poređenju sa 21% pacijenata iz placebo grupe. 71% pacijenata iz placebo grupe je isključeno zbog pretjeranog porasta vrijednosti iPTH. Nijedan pacijent u parikalcitol ili placebo grupi nije razvio hiperkalcemiju. Nema podataka za pacijente uzrasta ispod 5 godina.</w:t>
      </w:r>
    </w:p>
    <w:p w14:paraId="6267CF37" w14:textId="77777777" w:rsidR="002E37A5" w:rsidRPr="00461F66" w:rsidRDefault="002E37A5" w:rsidP="00CC415C">
      <w:pPr>
        <w:tabs>
          <w:tab w:val="left" w:pos="540"/>
          <w:tab w:val="left" w:pos="569"/>
        </w:tabs>
        <w:jc w:val="both"/>
        <w:rPr>
          <w:b/>
          <w:bCs/>
          <w:sz w:val="22"/>
          <w:szCs w:val="22"/>
          <w:lang w:val="sr-Latn-ME"/>
        </w:rPr>
      </w:pPr>
    </w:p>
    <w:p w14:paraId="438553BC"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5.2. </w:t>
      </w:r>
      <w:r w:rsidR="00480FB1" w:rsidRPr="00461F66">
        <w:rPr>
          <w:b/>
          <w:bCs/>
          <w:sz w:val="22"/>
          <w:szCs w:val="22"/>
          <w:lang w:val="sr-Latn-ME"/>
        </w:rPr>
        <w:tab/>
      </w:r>
      <w:r w:rsidRPr="00461F66">
        <w:rPr>
          <w:b/>
          <w:bCs/>
          <w:sz w:val="22"/>
          <w:szCs w:val="22"/>
          <w:lang w:val="sr-Latn-ME"/>
        </w:rPr>
        <w:t>Farmakokinetički podaci</w:t>
      </w:r>
      <w:r w:rsidR="003A7059" w:rsidRPr="00461F66">
        <w:rPr>
          <w:b/>
          <w:bCs/>
          <w:sz w:val="22"/>
          <w:szCs w:val="22"/>
          <w:lang w:val="sr-Latn-ME"/>
        </w:rPr>
        <w:t xml:space="preserve"> </w:t>
      </w:r>
    </w:p>
    <w:p w14:paraId="6CEA3C92" w14:textId="77777777" w:rsidR="0072020E" w:rsidRPr="00461F66" w:rsidRDefault="0072020E" w:rsidP="00CC415C">
      <w:pPr>
        <w:tabs>
          <w:tab w:val="left" w:pos="540"/>
          <w:tab w:val="left" w:pos="569"/>
        </w:tabs>
        <w:jc w:val="both"/>
        <w:rPr>
          <w:bCs/>
          <w:sz w:val="22"/>
          <w:szCs w:val="22"/>
          <w:lang w:val="sr-Latn-ME"/>
        </w:rPr>
      </w:pPr>
    </w:p>
    <w:p w14:paraId="49700661" w14:textId="77777777" w:rsidR="00B151B4" w:rsidRPr="00461F66" w:rsidRDefault="00B151B4" w:rsidP="00CC415C">
      <w:pPr>
        <w:autoSpaceDE w:val="0"/>
        <w:autoSpaceDN w:val="0"/>
        <w:adjustRightInd w:val="0"/>
        <w:jc w:val="both"/>
        <w:rPr>
          <w:i/>
          <w:iCs/>
          <w:sz w:val="22"/>
          <w:szCs w:val="22"/>
          <w:lang w:val="sr-Latn-ME" w:eastAsia="sr-Latn-ME"/>
        </w:rPr>
      </w:pPr>
      <w:r w:rsidRPr="00461F66">
        <w:rPr>
          <w:i/>
          <w:iCs/>
          <w:sz w:val="22"/>
          <w:szCs w:val="22"/>
          <w:lang w:val="sr-Latn-ME" w:eastAsia="sr-Latn-ME"/>
        </w:rPr>
        <w:t>Distribucija</w:t>
      </w:r>
    </w:p>
    <w:p w14:paraId="69B1944C" w14:textId="36F180EC"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Farmakokinetika parikalcitola ispitivana je kod pacijenata s</w:t>
      </w:r>
      <w:r w:rsidR="00CC415C" w:rsidRPr="00461F66">
        <w:rPr>
          <w:sz w:val="22"/>
          <w:szCs w:val="22"/>
          <w:lang w:val="sr-Latn-ME" w:eastAsia="sr-Latn-ME"/>
        </w:rPr>
        <w:t>a</w:t>
      </w:r>
      <w:r w:rsidRPr="00461F66">
        <w:rPr>
          <w:sz w:val="22"/>
          <w:szCs w:val="22"/>
          <w:lang w:val="sr-Latn-ME" w:eastAsia="sr-Latn-ME"/>
        </w:rPr>
        <w:t xml:space="preserve"> hroničnom bubrežnom insuficijencijom koji zaht</w:t>
      </w:r>
      <w:r w:rsidR="00066EFF" w:rsidRPr="00461F66">
        <w:rPr>
          <w:sz w:val="22"/>
          <w:szCs w:val="22"/>
          <w:lang w:val="sr-Latn-ME" w:eastAsia="sr-Latn-ME"/>
        </w:rPr>
        <w:t>i</w:t>
      </w:r>
      <w:r w:rsidRPr="00461F66">
        <w:rPr>
          <w:sz w:val="22"/>
          <w:szCs w:val="22"/>
          <w:lang w:val="sr-Latn-ME" w:eastAsia="sr-Latn-ME"/>
        </w:rPr>
        <w:t>jevaju hemodijalizu. Parikalcitol se primjenjuje u obliku intravenske bolus injekcije. Dva sata nakon primjene</w:t>
      </w:r>
      <w:r w:rsidR="00066EFF" w:rsidRPr="00461F66">
        <w:rPr>
          <w:sz w:val="22"/>
          <w:szCs w:val="22"/>
          <w:lang w:val="sr-Latn-ME" w:eastAsia="sr-Latn-ME"/>
        </w:rPr>
        <w:t>,</w:t>
      </w:r>
      <w:r w:rsidRPr="00461F66">
        <w:rPr>
          <w:sz w:val="22"/>
          <w:szCs w:val="22"/>
          <w:lang w:val="sr-Latn-ME" w:eastAsia="sr-Latn-ME"/>
        </w:rPr>
        <w:t xml:space="preserve"> doza od 0,04 do 0,24 mikrograma/kg koncentracije parikalcitola brzo opadaju, a zatim se dalje smanjuju logaritamski linearno uz prosječno poluvr</w:t>
      </w:r>
      <w:r w:rsidR="00066EFF" w:rsidRPr="00461F66">
        <w:rPr>
          <w:sz w:val="22"/>
          <w:szCs w:val="22"/>
          <w:lang w:val="sr-Latn-ME" w:eastAsia="sr-Latn-ME"/>
        </w:rPr>
        <w:t>ij</w:t>
      </w:r>
      <w:r w:rsidRPr="00461F66">
        <w:rPr>
          <w:sz w:val="22"/>
          <w:szCs w:val="22"/>
          <w:lang w:val="sr-Latn-ME" w:eastAsia="sr-Latn-ME"/>
        </w:rPr>
        <w:t xml:space="preserve">eme eliminacije od približno 15 sati. Nije zapažena akumulacija parikalcitola nakon višekratne primjene. </w:t>
      </w:r>
    </w:p>
    <w:p w14:paraId="5C931860" w14:textId="77777777" w:rsidR="00B151B4" w:rsidRPr="00461F66" w:rsidRDefault="00B151B4" w:rsidP="00CC415C">
      <w:pPr>
        <w:autoSpaceDE w:val="0"/>
        <w:autoSpaceDN w:val="0"/>
        <w:adjustRightInd w:val="0"/>
        <w:jc w:val="both"/>
        <w:rPr>
          <w:sz w:val="22"/>
          <w:szCs w:val="22"/>
          <w:lang w:val="sr-Latn-ME" w:eastAsia="sr-Latn-ME"/>
        </w:rPr>
      </w:pPr>
    </w:p>
    <w:p w14:paraId="121B02E1" w14:textId="77777777" w:rsidR="00B151B4" w:rsidRPr="00461F66" w:rsidRDefault="00B151B4" w:rsidP="00CC415C">
      <w:pPr>
        <w:autoSpaceDE w:val="0"/>
        <w:autoSpaceDN w:val="0"/>
        <w:adjustRightInd w:val="0"/>
        <w:jc w:val="both"/>
        <w:rPr>
          <w:i/>
          <w:iCs/>
          <w:sz w:val="22"/>
          <w:szCs w:val="22"/>
          <w:lang w:val="sr-Latn-ME" w:eastAsia="sr-Latn-ME"/>
        </w:rPr>
      </w:pPr>
      <w:r w:rsidRPr="00461F66">
        <w:rPr>
          <w:i/>
          <w:iCs/>
          <w:sz w:val="22"/>
          <w:szCs w:val="22"/>
          <w:lang w:val="sr-Latn-ME" w:eastAsia="sr-Latn-ME"/>
        </w:rPr>
        <w:lastRenderedPageBreak/>
        <w:t>Biotransformacija</w:t>
      </w:r>
    </w:p>
    <w:p w14:paraId="314A29B6" w14:textId="42AFF14D"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Nekoliko nepoznatih metabolita otkriveno je u urinu i fecesu, pri čemu u urinu nije bilo tragova parikalcitola. Ti metaboliti </w:t>
      </w:r>
      <w:r w:rsidR="00062C93" w:rsidRPr="00461F66">
        <w:rPr>
          <w:sz w:val="22"/>
          <w:szCs w:val="22"/>
          <w:lang w:val="sr-Latn-ME" w:eastAsia="sr-Latn-ME"/>
        </w:rPr>
        <w:t>nisu</w:t>
      </w:r>
      <w:r w:rsidRPr="00461F66">
        <w:rPr>
          <w:sz w:val="22"/>
          <w:szCs w:val="22"/>
          <w:lang w:val="sr-Latn-ME" w:eastAsia="sr-Latn-ME"/>
        </w:rPr>
        <w:t xml:space="preserve"> bili analizirani niti identifikovani. Sveukupno na neidentifikovane metabolite otpada 51% radioaktivnosti pronađene u urinu i 59% radiokativnosti pronađene u fecesu.</w:t>
      </w:r>
      <w:r w:rsidR="00DD12EE" w:rsidRPr="00461F66">
        <w:rPr>
          <w:sz w:val="22"/>
          <w:szCs w:val="22"/>
          <w:lang w:val="sr-Latn-ME" w:eastAsia="sr-Latn-ME"/>
        </w:rPr>
        <w:t xml:space="preserve"> U </w:t>
      </w:r>
      <w:r w:rsidR="00DD12EE" w:rsidRPr="00461F66">
        <w:rPr>
          <w:i/>
          <w:iCs/>
          <w:sz w:val="22"/>
          <w:szCs w:val="22"/>
          <w:lang w:val="sr-Latn-ME" w:eastAsia="sr-Latn-ME"/>
        </w:rPr>
        <w:t>in vitro</w:t>
      </w:r>
      <w:r w:rsidR="00DD12EE" w:rsidRPr="00461F66">
        <w:rPr>
          <w:sz w:val="22"/>
          <w:szCs w:val="22"/>
          <w:lang w:val="sr-Latn-ME" w:eastAsia="sr-Latn-ME"/>
        </w:rPr>
        <w:t xml:space="preserve"> uslovima parikalcitol se snažno vezuje za protein plazme (&gt;99,9%), ali ih ne zasićuje u rasponu doza od 1 do 100 nanograma/ml.</w:t>
      </w:r>
    </w:p>
    <w:p w14:paraId="052EF8E6" w14:textId="77777777" w:rsidR="00B151B4" w:rsidRPr="00461F66" w:rsidRDefault="00B151B4" w:rsidP="00CC415C">
      <w:pPr>
        <w:tabs>
          <w:tab w:val="left" w:pos="540"/>
          <w:tab w:val="left" w:pos="569"/>
        </w:tabs>
        <w:jc w:val="both"/>
        <w:rPr>
          <w:b/>
          <w:bCs/>
          <w:sz w:val="22"/>
          <w:szCs w:val="22"/>
          <w:lang w:val="sr-Latn-ME"/>
        </w:rPr>
      </w:pPr>
    </w:p>
    <w:tbl>
      <w:tblPr>
        <w:tblStyle w:val="TableGrid"/>
        <w:tblW w:w="0" w:type="auto"/>
        <w:tblInd w:w="250" w:type="dxa"/>
        <w:tblLook w:val="04A0" w:firstRow="1" w:lastRow="0" w:firstColumn="1" w:lastColumn="0" w:noHBand="0" w:noVBand="1"/>
      </w:tblPr>
      <w:tblGrid>
        <w:gridCol w:w="3544"/>
        <w:gridCol w:w="850"/>
        <w:gridCol w:w="4253"/>
      </w:tblGrid>
      <w:tr w:rsidR="00B151B4" w:rsidRPr="00461F66" w14:paraId="3FEAB9D7" w14:textId="77777777" w:rsidTr="008F12CF">
        <w:tc>
          <w:tcPr>
            <w:tcW w:w="8647" w:type="dxa"/>
            <w:gridSpan w:val="3"/>
          </w:tcPr>
          <w:p w14:paraId="760F317F" w14:textId="77777777" w:rsidR="00B151B4" w:rsidRPr="00461F66" w:rsidRDefault="00B151B4" w:rsidP="00CC415C">
            <w:pPr>
              <w:autoSpaceDE w:val="0"/>
              <w:autoSpaceDN w:val="0"/>
              <w:adjustRightInd w:val="0"/>
              <w:jc w:val="both"/>
              <w:rPr>
                <w:b/>
                <w:bCs/>
                <w:sz w:val="22"/>
                <w:szCs w:val="22"/>
                <w:lang w:val="sr-Latn-ME" w:eastAsia="sr-Latn-ME"/>
              </w:rPr>
            </w:pPr>
            <w:r w:rsidRPr="00461F66">
              <w:rPr>
                <w:b/>
                <w:bCs/>
                <w:sz w:val="22"/>
                <w:szCs w:val="22"/>
                <w:lang w:val="sr-Latn-ME" w:eastAsia="sr-Latn-ME"/>
              </w:rPr>
              <w:t>Farmakokinetika parikalcitola kod pacijenata sa hroničnom bubrežnom insuficijencijom (pri dozi od 0,24 mikrograma/kg)</w:t>
            </w:r>
          </w:p>
        </w:tc>
      </w:tr>
      <w:tr w:rsidR="00B151B4" w:rsidRPr="00461F66" w14:paraId="48ADBB4E" w14:textId="77777777" w:rsidTr="008F12CF">
        <w:tc>
          <w:tcPr>
            <w:tcW w:w="3544" w:type="dxa"/>
          </w:tcPr>
          <w:p w14:paraId="2AE84BBE" w14:textId="77777777" w:rsidR="00B151B4" w:rsidRPr="00461F66" w:rsidRDefault="00B151B4" w:rsidP="00CC415C">
            <w:pPr>
              <w:tabs>
                <w:tab w:val="left" w:pos="540"/>
                <w:tab w:val="left" w:pos="569"/>
              </w:tabs>
              <w:jc w:val="both"/>
              <w:rPr>
                <w:b/>
                <w:sz w:val="22"/>
                <w:szCs w:val="22"/>
                <w:lang w:val="sr-Latn-ME"/>
              </w:rPr>
            </w:pPr>
            <w:r w:rsidRPr="00461F66">
              <w:rPr>
                <w:b/>
                <w:sz w:val="22"/>
                <w:szCs w:val="22"/>
                <w:lang w:val="sr-Latn-ME"/>
              </w:rPr>
              <w:t>Parametar</w:t>
            </w:r>
          </w:p>
        </w:tc>
        <w:tc>
          <w:tcPr>
            <w:tcW w:w="850" w:type="dxa"/>
          </w:tcPr>
          <w:p w14:paraId="2CAE7B50" w14:textId="77777777" w:rsidR="00B151B4" w:rsidRPr="00461F66" w:rsidRDefault="00B151B4" w:rsidP="00CC415C">
            <w:pPr>
              <w:tabs>
                <w:tab w:val="left" w:pos="540"/>
                <w:tab w:val="left" w:pos="569"/>
              </w:tabs>
              <w:jc w:val="both"/>
              <w:rPr>
                <w:b/>
                <w:sz w:val="22"/>
                <w:szCs w:val="22"/>
                <w:lang w:val="sr-Latn-ME"/>
              </w:rPr>
            </w:pPr>
            <w:r w:rsidRPr="00461F66">
              <w:rPr>
                <w:b/>
                <w:sz w:val="22"/>
                <w:szCs w:val="22"/>
                <w:lang w:val="sr-Latn-ME"/>
              </w:rPr>
              <w:t>N</w:t>
            </w:r>
          </w:p>
        </w:tc>
        <w:tc>
          <w:tcPr>
            <w:tcW w:w="4253" w:type="dxa"/>
          </w:tcPr>
          <w:p w14:paraId="3CBD63E2" w14:textId="77777777" w:rsidR="00B151B4" w:rsidRPr="00461F66" w:rsidRDefault="00B151B4" w:rsidP="00CC415C">
            <w:pPr>
              <w:tabs>
                <w:tab w:val="left" w:pos="540"/>
                <w:tab w:val="left" w:pos="569"/>
              </w:tabs>
              <w:jc w:val="both"/>
              <w:rPr>
                <w:b/>
                <w:sz w:val="22"/>
                <w:szCs w:val="22"/>
                <w:lang w:val="sr-Latn-ME"/>
              </w:rPr>
            </w:pPr>
            <w:r w:rsidRPr="00461F66">
              <w:rPr>
                <w:b/>
                <w:sz w:val="22"/>
                <w:szCs w:val="22"/>
                <w:lang w:val="sr-Latn-ME"/>
              </w:rPr>
              <w:t>Vrijednosti (srednje ± SD)</w:t>
            </w:r>
          </w:p>
        </w:tc>
      </w:tr>
      <w:tr w:rsidR="00B151B4" w:rsidRPr="00461F66" w14:paraId="0BCDE86A" w14:textId="77777777" w:rsidTr="008F12CF">
        <w:tc>
          <w:tcPr>
            <w:tcW w:w="3544" w:type="dxa"/>
          </w:tcPr>
          <w:p w14:paraId="4BF76FE2" w14:textId="77777777" w:rsidR="00B151B4" w:rsidRPr="00461F66" w:rsidRDefault="00B151B4" w:rsidP="00CC415C">
            <w:pPr>
              <w:tabs>
                <w:tab w:val="left" w:pos="540"/>
                <w:tab w:val="left" w:pos="569"/>
              </w:tabs>
              <w:jc w:val="both"/>
              <w:rPr>
                <w:bCs/>
                <w:sz w:val="22"/>
                <w:szCs w:val="22"/>
                <w:lang w:val="sr-Latn-ME"/>
              </w:rPr>
            </w:pPr>
            <w:r w:rsidRPr="00461F66">
              <w:rPr>
                <w:sz w:val="22"/>
                <w:szCs w:val="22"/>
                <w:lang w:val="sr-Latn-ME" w:eastAsia="sr-Latn-ME"/>
              </w:rPr>
              <w:t>C</w:t>
            </w:r>
            <w:r w:rsidRPr="00461F66">
              <w:rPr>
                <w:sz w:val="14"/>
                <w:szCs w:val="14"/>
                <w:lang w:val="sr-Latn-ME" w:eastAsia="sr-Latn-ME"/>
              </w:rPr>
              <w:t xml:space="preserve">max </w:t>
            </w:r>
            <w:r w:rsidRPr="00461F66">
              <w:rPr>
                <w:sz w:val="22"/>
                <w:szCs w:val="22"/>
                <w:lang w:val="sr-Latn-ME" w:eastAsia="sr-Latn-ME"/>
              </w:rPr>
              <w:t>(5 minuta nakon bolus injekcije)</w:t>
            </w:r>
          </w:p>
        </w:tc>
        <w:tc>
          <w:tcPr>
            <w:tcW w:w="850" w:type="dxa"/>
          </w:tcPr>
          <w:p w14:paraId="6E8C150E" w14:textId="77777777" w:rsidR="00B151B4" w:rsidRPr="00461F66" w:rsidRDefault="00B151B4" w:rsidP="00CC415C">
            <w:pPr>
              <w:tabs>
                <w:tab w:val="left" w:pos="540"/>
                <w:tab w:val="left" w:pos="569"/>
              </w:tabs>
              <w:jc w:val="both"/>
              <w:rPr>
                <w:bCs/>
                <w:sz w:val="22"/>
                <w:szCs w:val="22"/>
                <w:lang w:val="sr-Latn-ME"/>
              </w:rPr>
            </w:pPr>
            <w:r w:rsidRPr="00461F66">
              <w:rPr>
                <w:bCs/>
                <w:sz w:val="22"/>
                <w:szCs w:val="22"/>
                <w:lang w:val="sr-Latn-ME"/>
              </w:rPr>
              <w:t>6</w:t>
            </w:r>
          </w:p>
        </w:tc>
        <w:tc>
          <w:tcPr>
            <w:tcW w:w="4253" w:type="dxa"/>
          </w:tcPr>
          <w:p w14:paraId="0F109FC4" w14:textId="15C884D3" w:rsidR="00B151B4" w:rsidRPr="00461F66" w:rsidRDefault="00B151B4" w:rsidP="00CC415C">
            <w:pPr>
              <w:tabs>
                <w:tab w:val="left" w:pos="540"/>
                <w:tab w:val="left" w:pos="569"/>
              </w:tabs>
              <w:jc w:val="both"/>
              <w:rPr>
                <w:bCs/>
                <w:sz w:val="22"/>
                <w:szCs w:val="22"/>
                <w:lang w:val="sr-Latn-ME"/>
              </w:rPr>
            </w:pPr>
            <w:r w:rsidRPr="00461F66">
              <w:rPr>
                <w:sz w:val="22"/>
                <w:szCs w:val="22"/>
                <w:lang w:val="sr-Latn-ME" w:eastAsia="sr-Latn-ME"/>
              </w:rPr>
              <w:t>1850 ± 664 (pikograma/m</w:t>
            </w:r>
            <w:r w:rsidR="00DD12EE" w:rsidRPr="00461F66">
              <w:rPr>
                <w:sz w:val="22"/>
                <w:szCs w:val="22"/>
                <w:lang w:val="sr-Latn-ME" w:eastAsia="sr-Latn-ME"/>
              </w:rPr>
              <w:t>l</w:t>
            </w:r>
            <w:r w:rsidRPr="00461F66">
              <w:rPr>
                <w:sz w:val="22"/>
                <w:szCs w:val="22"/>
                <w:lang w:val="sr-Latn-ME" w:eastAsia="sr-Latn-ME"/>
              </w:rPr>
              <w:t>)</w:t>
            </w:r>
          </w:p>
        </w:tc>
      </w:tr>
      <w:tr w:rsidR="00B151B4" w:rsidRPr="00461F66" w14:paraId="6A2DF5DF" w14:textId="77777777" w:rsidTr="008F12CF">
        <w:tc>
          <w:tcPr>
            <w:tcW w:w="3544" w:type="dxa"/>
          </w:tcPr>
          <w:p w14:paraId="7559E58C" w14:textId="77777777" w:rsidR="00B151B4" w:rsidRPr="00461F66" w:rsidRDefault="00B151B4" w:rsidP="00CC415C">
            <w:pPr>
              <w:tabs>
                <w:tab w:val="left" w:pos="540"/>
                <w:tab w:val="left" w:pos="569"/>
              </w:tabs>
              <w:jc w:val="both"/>
              <w:rPr>
                <w:bCs/>
                <w:sz w:val="22"/>
                <w:szCs w:val="22"/>
                <w:lang w:val="sr-Latn-ME"/>
              </w:rPr>
            </w:pPr>
            <w:r w:rsidRPr="00461F66">
              <w:rPr>
                <w:sz w:val="22"/>
                <w:szCs w:val="22"/>
                <w:lang w:val="sr-Latn-ME" w:eastAsia="sr-Latn-ME"/>
              </w:rPr>
              <w:t>PIK</w:t>
            </w:r>
            <w:r w:rsidRPr="00461F66">
              <w:rPr>
                <w:sz w:val="14"/>
                <w:szCs w:val="14"/>
                <w:lang w:val="sr-Latn-ME" w:eastAsia="sr-Latn-ME"/>
              </w:rPr>
              <w:t>0-∞</w:t>
            </w:r>
          </w:p>
        </w:tc>
        <w:tc>
          <w:tcPr>
            <w:tcW w:w="850" w:type="dxa"/>
          </w:tcPr>
          <w:p w14:paraId="14C83129" w14:textId="77777777" w:rsidR="00B151B4" w:rsidRPr="00461F66" w:rsidRDefault="00B151B4" w:rsidP="00CC415C">
            <w:pPr>
              <w:tabs>
                <w:tab w:val="left" w:pos="540"/>
                <w:tab w:val="left" w:pos="569"/>
              </w:tabs>
              <w:jc w:val="both"/>
              <w:rPr>
                <w:bCs/>
                <w:sz w:val="22"/>
                <w:szCs w:val="22"/>
                <w:lang w:val="sr-Latn-ME"/>
              </w:rPr>
            </w:pPr>
            <w:r w:rsidRPr="00461F66">
              <w:rPr>
                <w:bCs/>
                <w:sz w:val="22"/>
                <w:szCs w:val="22"/>
                <w:lang w:val="sr-Latn-ME"/>
              </w:rPr>
              <w:t>5</w:t>
            </w:r>
          </w:p>
        </w:tc>
        <w:tc>
          <w:tcPr>
            <w:tcW w:w="4253" w:type="dxa"/>
          </w:tcPr>
          <w:p w14:paraId="5F12AAC3" w14:textId="324BC2D8" w:rsidR="00B151B4" w:rsidRPr="00461F66" w:rsidRDefault="00B151B4" w:rsidP="00CC415C">
            <w:pPr>
              <w:tabs>
                <w:tab w:val="left" w:pos="540"/>
                <w:tab w:val="left" w:pos="569"/>
              </w:tabs>
              <w:jc w:val="both"/>
              <w:rPr>
                <w:bCs/>
                <w:sz w:val="22"/>
                <w:szCs w:val="22"/>
                <w:lang w:val="sr-Latn-ME"/>
              </w:rPr>
            </w:pPr>
            <w:r w:rsidRPr="00461F66">
              <w:rPr>
                <w:sz w:val="22"/>
                <w:szCs w:val="22"/>
                <w:lang w:val="sr-Latn-ME" w:eastAsia="sr-Latn-ME"/>
              </w:rPr>
              <w:t>27382 ± 8230 (pikograma x h/m</w:t>
            </w:r>
            <w:r w:rsidR="00DD12EE" w:rsidRPr="00461F66">
              <w:rPr>
                <w:sz w:val="22"/>
                <w:szCs w:val="22"/>
                <w:lang w:val="sr-Latn-ME" w:eastAsia="sr-Latn-ME"/>
              </w:rPr>
              <w:t>l</w:t>
            </w:r>
            <w:r w:rsidRPr="00461F66">
              <w:rPr>
                <w:sz w:val="22"/>
                <w:szCs w:val="22"/>
                <w:lang w:val="sr-Latn-ME" w:eastAsia="sr-Latn-ME"/>
              </w:rPr>
              <w:t>)</w:t>
            </w:r>
          </w:p>
        </w:tc>
      </w:tr>
      <w:tr w:rsidR="00B151B4" w:rsidRPr="00461F66" w14:paraId="7565B1AD" w14:textId="77777777" w:rsidTr="008F12CF">
        <w:tc>
          <w:tcPr>
            <w:tcW w:w="3544" w:type="dxa"/>
          </w:tcPr>
          <w:p w14:paraId="003E4F98" w14:textId="77777777" w:rsidR="00B151B4" w:rsidRPr="00461F66" w:rsidRDefault="00B151B4" w:rsidP="00CC415C">
            <w:pPr>
              <w:tabs>
                <w:tab w:val="left" w:pos="540"/>
                <w:tab w:val="left" w:pos="569"/>
              </w:tabs>
              <w:jc w:val="both"/>
              <w:rPr>
                <w:sz w:val="22"/>
                <w:szCs w:val="22"/>
                <w:lang w:val="sr-Latn-ME" w:eastAsia="sr-Latn-ME"/>
              </w:rPr>
            </w:pPr>
            <w:r w:rsidRPr="00461F66">
              <w:rPr>
                <w:sz w:val="22"/>
                <w:szCs w:val="22"/>
                <w:lang w:val="sr-Latn-ME" w:eastAsia="sr-Latn-ME"/>
              </w:rPr>
              <w:t>CL</w:t>
            </w:r>
          </w:p>
        </w:tc>
        <w:tc>
          <w:tcPr>
            <w:tcW w:w="850" w:type="dxa"/>
          </w:tcPr>
          <w:p w14:paraId="71803D0D" w14:textId="77777777" w:rsidR="00B151B4" w:rsidRPr="00461F66" w:rsidRDefault="00B151B4" w:rsidP="00CC415C">
            <w:pPr>
              <w:tabs>
                <w:tab w:val="left" w:pos="540"/>
                <w:tab w:val="left" w:pos="569"/>
              </w:tabs>
              <w:jc w:val="both"/>
              <w:rPr>
                <w:bCs/>
                <w:sz w:val="22"/>
                <w:szCs w:val="22"/>
                <w:lang w:val="sr-Latn-ME"/>
              </w:rPr>
            </w:pPr>
            <w:r w:rsidRPr="00461F66">
              <w:rPr>
                <w:bCs/>
                <w:sz w:val="22"/>
                <w:szCs w:val="22"/>
                <w:lang w:val="sr-Latn-ME"/>
              </w:rPr>
              <w:t>5</w:t>
            </w:r>
          </w:p>
        </w:tc>
        <w:tc>
          <w:tcPr>
            <w:tcW w:w="4253" w:type="dxa"/>
          </w:tcPr>
          <w:p w14:paraId="5FB31CD3" w14:textId="5B20CBA5" w:rsidR="00B151B4" w:rsidRPr="00461F66" w:rsidRDefault="00B151B4" w:rsidP="00CC415C">
            <w:pPr>
              <w:tabs>
                <w:tab w:val="left" w:pos="540"/>
                <w:tab w:val="left" w:pos="569"/>
              </w:tabs>
              <w:jc w:val="both"/>
              <w:rPr>
                <w:sz w:val="22"/>
                <w:szCs w:val="22"/>
                <w:lang w:val="sr-Latn-ME" w:eastAsia="sr-Latn-ME"/>
              </w:rPr>
            </w:pPr>
            <w:r w:rsidRPr="00461F66">
              <w:rPr>
                <w:sz w:val="22"/>
                <w:szCs w:val="22"/>
                <w:lang w:val="sr-Latn-ME" w:eastAsia="sr-Latn-ME"/>
              </w:rPr>
              <w:t>0,72 ± 0,24 (</w:t>
            </w:r>
            <w:r w:rsidR="00DD12EE" w:rsidRPr="00461F66">
              <w:rPr>
                <w:sz w:val="22"/>
                <w:szCs w:val="22"/>
                <w:lang w:val="sr-Latn-ME" w:eastAsia="sr-Latn-ME"/>
              </w:rPr>
              <w:t>l</w:t>
            </w:r>
            <w:r w:rsidRPr="00461F66">
              <w:rPr>
                <w:sz w:val="22"/>
                <w:szCs w:val="22"/>
                <w:lang w:val="sr-Latn-ME" w:eastAsia="sr-Latn-ME"/>
              </w:rPr>
              <w:t>/h)</w:t>
            </w:r>
          </w:p>
        </w:tc>
      </w:tr>
      <w:tr w:rsidR="00B151B4" w:rsidRPr="00461F66" w14:paraId="675F304A" w14:textId="77777777" w:rsidTr="008F12CF">
        <w:tc>
          <w:tcPr>
            <w:tcW w:w="3544" w:type="dxa"/>
          </w:tcPr>
          <w:p w14:paraId="595E30AF" w14:textId="4EC23BFB" w:rsidR="00B151B4" w:rsidRPr="00461F66" w:rsidRDefault="00B151B4" w:rsidP="00CC415C">
            <w:pPr>
              <w:tabs>
                <w:tab w:val="left" w:pos="540"/>
                <w:tab w:val="left" w:pos="569"/>
              </w:tabs>
              <w:jc w:val="both"/>
              <w:rPr>
                <w:sz w:val="22"/>
                <w:szCs w:val="22"/>
                <w:lang w:val="sr-Latn-ME" w:eastAsia="sr-Latn-ME"/>
              </w:rPr>
            </w:pPr>
            <w:r w:rsidRPr="00461F66">
              <w:rPr>
                <w:sz w:val="22"/>
                <w:szCs w:val="22"/>
                <w:lang w:val="sr-Latn-ME" w:eastAsia="sr-Latn-ME"/>
              </w:rPr>
              <w:t>V</w:t>
            </w:r>
            <w:r w:rsidR="00ED7299" w:rsidRPr="00461F66">
              <w:rPr>
                <w:sz w:val="22"/>
                <w:szCs w:val="22"/>
                <w:vertAlign w:val="subscript"/>
                <w:lang w:val="sr-Latn-ME" w:eastAsia="sr-Latn-ME"/>
              </w:rPr>
              <w:t>SS</w:t>
            </w:r>
          </w:p>
        </w:tc>
        <w:tc>
          <w:tcPr>
            <w:tcW w:w="850" w:type="dxa"/>
          </w:tcPr>
          <w:p w14:paraId="0D7E86B7" w14:textId="77777777" w:rsidR="00B151B4" w:rsidRPr="00461F66" w:rsidRDefault="00B151B4" w:rsidP="00CC415C">
            <w:pPr>
              <w:tabs>
                <w:tab w:val="left" w:pos="540"/>
                <w:tab w:val="left" w:pos="569"/>
              </w:tabs>
              <w:jc w:val="both"/>
              <w:rPr>
                <w:bCs/>
                <w:sz w:val="22"/>
                <w:szCs w:val="22"/>
                <w:lang w:val="sr-Latn-ME"/>
              </w:rPr>
            </w:pPr>
            <w:r w:rsidRPr="00461F66">
              <w:rPr>
                <w:bCs/>
                <w:sz w:val="22"/>
                <w:szCs w:val="22"/>
                <w:lang w:val="sr-Latn-ME"/>
              </w:rPr>
              <w:t>5</w:t>
            </w:r>
          </w:p>
        </w:tc>
        <w:tc>
          <w:tcPr>
            <w:tcW w:w="4253" w:type="dxa"/>
          </w:tcPr>
          <w:p w14:paraId="4A02C57D" w14:textId="4591B9B0" w:rsidR="00B151B4" w:rsidRPr="00461F66" w:rsidRDefault="00B151B4" w:rsidP="00CC415C">
            <w:pPr>
              <w:tabs>
                <w:tab w:val="left" w:pos="540"/>
                <w:tab w:val="left" w:pos="569"/>
              </w:tabs>
              <w:jc w:val="both"/>
              <w:rPr>
                <w:sz w:val="22"/>
                <w:szCs w:val="22"/>
                <w:lang w:val="sr-Latn-ME" w:eastAsia="sr-Latn-ME"/>
              </w:rPr>
            </w:pPr>
            <w:r w:rsidRPr="00461F66">
              <w:rPr>
                <w:sz w:val="22"/>
                <w:szCs w:val="22"/>
                <w:lang w:val="sr-Latn-ME" w:eastAsia="sr-Latn-ME"/>
              </w:rPr>
              <w:t>6 ± 2 (</w:t>
            </w:r>
            <w:r w:rsidR="00DD12EE" w:rsidRPr="00461F66">
              <w:rPr>
                <w:sz w:val="22"/>
                <w:szCs w:val="22"/>
                <w:lang w:val="sr-Latn-ME" w:eastAsia="sr-Latn-ME"/>
              </w:rPr>
              <w:t>l</w:t>
            </w:r>
            <w:r w:rsidRPr="00461F66">
              <w:rPr>
                <w:sz w:val="22"/>
                <w:szCs w:val="22"/>
                <w:lang w:val="sr-Latn-ME" w:eastAsia="sr-Latn-ME"/>
              </w:rPr>
              <w:t>)</w:t>
            </w:r>
          </w:p>
        </w:tc>
      </w:tr>
    </w:tbl>
    <w:p w14:paraId="49CC6598" w14:textId="77777777" w:rsidR="00B151B4" w:rsidRPr="00461F66" w:rsidRDefault="00B151B4" w:rsidP="00CC415C">
      <w:pPr>
        <w:tabs>
          <w:tab w:val="left" w:pos="540"/>
          <w:tab w:val="left" w:pos="569"/>
        </w:tabs>
        <w:jc w:val="both"/>
        <w:rPr>
          <w:bCs/>
          <w:sz w:val="22"/>
          <w:szCs w:val="22"/>
          <w:lang w:val="sr-Latn-ME"/>
        </w:rPr>
      </w:pPr>
    </w:p>
    <w:p w14:paraId="41624279" w14:textId="77777777" w:rsidR="00B151B4" w:rsidRPr="00461F66" w:rsidRDefault="00B151B4" w:rsidP="00CC415C">
      <w:pPr>
        <w:autoSpaceDE w:val="0"/>
        <w:autoSpaceDN w:val="0"/>
        <w:adjustRightInd w:val="0"/>
        <w:jc w:val="both"/>
        <w:rPr>
          <w:i/>
          <w:iCs/>
          <w:sz w:val="22"/>
          <w:szCs w:val="22"/>
          <w:lang w:val="sr-Latn-ME" w:eastAsia="sr-Latn-ME"/>
        </w:rPr>
      </w:pPr>
      <w:r w:rsidRPr="00461F66">
        <w:rPr>
          <w:i/>
          <w:iCs/>
          <w:sz w:val="22"/>
          <w:szCs w:val="22"/>
          <w:lang w:val="sr-Latn-ME" w:eastAsia="sr-Latn-ME"/>
        </w:rPr>
        <w:t>Eliminacija</w:t>
      </w:r>
    </w:p>
    <w:p w14:paraId="719CF605"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Zdravim dobrovoljcima ubrizgana je jednokratna intravenska bolus injekcija radioaktivno obilježenog</w:t>
      </w:r>
    </w:p>
    <w:p w14:paraId="2D970465"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parikalcitola </w:t>
      </w:r>
      <w:r w:rsidRPr="00461F66">
        <w:rPr>
          <w:sz w:val="22"/>
          <w:szCs w:val="22"/>
          <w:vertAlign w:val="superscript"/>
          <w:lang w:val="sr-Latn-ME" w:eastAsia="sr-Latn-ME"/>
        </w:rPr>
        <w:t>3</w:t>
      </w:r>
      <w:r w:rsidRPr="00461F66">
        <w:rPr>
          <w:sz w:val="22"/>
          <w:szCs w:val="22"/>
          <w:lang w:val="sr-Latn-ME" w:eastAsia="sr-Latn-ME"/>
        </w:rPr>
        <w:t>H-parikalcitol (n=4) u dozi od 0,16 mikrograma/kg. Radioaktivnost u plazmi pripisuje se</w:t>
      </w:r>
    </w:p>
    <w:p w14:paraId="159063CC" w14:textId="1A3EEA96"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neprom</w:t>
      </w:r>
      <w:r w:rsidR="00ED7299" w:rsidRPr="00461F66">
        <w:rPr>
          <w:sz w:val="22"/>
          <w:szCs w:val="22"/>
          <w:lang w:val="sr-Latn-ME" w:eastAsia="sr-Latn-ME"/>
        </w:rPr>
        <w:t>ij</w:t>
      </w:r>
      <w:r w:rsidRPr="00461F66">
        <w:rPr>
          <w:sz w:val="22"/>
          <w:szCs w:val="22"/>
          <w:lang w:val="sr-Latn-ME" w:eastAsia="sr-Latn-ME"/>
        </w:rPr>
        <w:t>enjenoj supstanci. Parikalcitol se izlučuje pretežno hepatobilijarnim putem, jer se u fecesu otkriva 74% radioaktivno obilježene doze, a u urinu samo 16%.</w:t>
      </w:r>
    </w:p>
    <w:p w14:paraId="5F513910" w14:textId="77777777" w:rsidR="00B151B4" w:rsidRPr="00461F66" w:rsidRDefault="00B151B4" w:rsidP="00CC415C">
      <w:pPr>
        <w:autoSpaceDE w:val="0"/>
        <w:autoSpaceDN w:val="0"/>
        <w:adjustRightInd w:val="0"/>
        <w:jc w:val="both"/>
        <w:rPr>
          <w:sz w:val="22"/>
          <w:szCs w:val="22"/>
          <w:lang w:val="sr-Latn-ME" w:eastAsia="sr-Latn-ME"/>
        </w:rPr>
      </w:pPr>
    </w:p>
    <w:p w14:paraId="4A06FE3E" w14:textId="77777777" w:rsidR="00B151B4" w:rsidRPr="00461F66" w:rsidRDefault="00B151B4" w:rsidP="00CC415C">
      <w:pPr>
        <w:autoSpaceDE w:val="0"/>
        <w:autoSpaceDN w:val="0"/>
        <w:adjustRightInd w:val="0"/>
        <w:jc w:val="both"/>
        <w:rPr>
          <w:sz w:val="22"/>
          <w:szCs w:val="22"/>
          <w:u w:val="single"/>
          <w:lang w:val="sr-Latn-ME" w:eastAsia="sr-Latn-ME"/>
        </w:rPr>
      </w:pPr>
      <w:r w:rsidRPr="00461F66">
        <w:rPr>
          <w:sz w:val="22"/>
          <w:szCs w:val="22"/>
          <w:u w:val="single"/>
          <w:lang w:val="sr-Latn-ME" w:eastAsia="sr-Latn-ME"/>
        </w:rPr>
        <w:t>Posebne grupe pacijenata</w:t>
      </w:r>
    </w:p>
    <w:p w14:paraId="09546BCA" w14:textId="619A3D41" w:rsidR="00B151B4" w:rsidRPr="00461F66" w:rsidRDefault="00B151B4" w:rsidP="00CC415C">
      <w:pPr>
        <w:autoSpaceDE w:val="0"/>
        <w:autoSpaceDN w:val="0"/>
        <w:adjustRightInd w:val="0"/>
        <w:jc w:val="both"/>
        <w:rPr>
          <w:sz w:val="22"/>
          <w:szCs w:val="22"/>
          <w:lang w:val="sr-Latn-ME" w:eastAsia="sr-Latn-ME"/>
        </w:rPr>
      </w:pPr>
      <w:r w:rsidRPr="00461F66">
        <w:rPr>
          <w:i/>
          <w:iCs/>
          <w:sz w:val="22"/>
          <w:szCs w:val="22"/>
          <w:lang w:val="sr-Latn-ME" w:eastAsia="sr-Latn-ME"/>
        </w:rPr>
        <w:t>Pol, rasna pripadnost i životna dob</w:t>
      </w:r>
      <w:r w:rsidRPr="00461F66">
        <w:rPr>
          <w:sz w:val="22"/>
          <w:szCs w:val="22"/>
          <w:lang w:val="sr-Latn-ME" w:eastAsia="sr-Latn-ME"/>
        </w:rPr>
        <w:t xml:space="preserve">: Kod ispitivanih odraslih pacijenata </w:t>
      </w:r>
      <w:r w:rsidR="00062C93" w:rsidRPr="00461F66">
        <w:rPr>
          <w:sz w:val="22"/>
          <w:szCs w:val="22"/>
          <w:lang w:val="sr-Latn-ME" w:eastAsia="sr-Latn-ME"/>
        </w:rPr>
        <w:t>nisu</w:t>
      </w:r>
      <w:r w:rsidRPr="00461F66">
        <w:rPr>
          <w:sz w:val="22"/>
          <w:szCs w:val="22"/>
          <w:lang w:val="sr-Latn-ME" w:eastAsia="sr-Latn-ME"/>
        </w:rPr>
        <w:t xml:space="preserve"> zabilježene</w:t>
      </w:r>
      <w:r w:rsidR="009A719C" w:rsidRPr="00461F66">
        <w:rPr>
          <w:sz w:val="22"/>
          <w:szCs w:val="22"/>
          <w:lang w:val="sr-Latn-ME" w:eastAsia="sr-Latn-ME"/>
        </w:rPr>
        <w:t xml:space="preserve"> </w:t>
      </w:r>
      <w:r w:rsidRPr="00461F66">
        <w:rPr>
          <w:sz w:val="22"/>
          <w:szCs w:val="22"/>
          <w:lang w:val="sr-Latn-ME" w:eastAsia="sr-Latn-ME"/>
        </w:rPr>
        <w:t>farmakokinetičke razlike vezane za pol i životnu dob. Takođe, nisu zapažene farmakokinetske razlike kao posljedica različite rasne pripadnosti.</w:t>
      </w:r>
    </w:p>
    <w:p w14:paraId="06B7E101" w14:textId="77777777" w:rsidR="00B151B4" w:rsidRPr="00461F66" w:rsidRDefault="00B151B4" w:rsidP="00CC415C">
      <w:pPr>
        <w:autoSpaceDE w:val="0"/>
        <w:autoSpaceDN w:val="0"/>
        <w:adjustRightInd w:val="0"/>
        <w:jc w:val="both"/>
        <w:rPr>
          <w:sz w:val="22"/>
          <w:szCs w:val="22"/>
          <w:lang w:val="sr-Latn-ME" w:eastAsia="sr-Latn-ME"/>
        </w:rPr>
      </w:pPr>
    </w:p>
    <w:p w14:paraId="573F94D1" w14:textId="77777777" w:rsidR="00B151B4" w:rsidRPr="00461F66" w:rsidRDefault="00B151B4" w:rsidP="00CC415C">
      <w:pPr>
        <w:autoSpaceDE w:val="0"/>
        <w:autoSpaceDN w:val="0"/>
        <w:adjustRightInd w:val="0"/>
        <w:jc w:val="both"/>
        <w:rPr>
          <w:sz w:val="22"/>
          <w:szCs w:val="22"/>
          <w:lang w:val="sr-Latn-ME" w:eastAsia="sr-Latn-ME"/>
        </w:rPr>
      </w:pPr>
      <w:r w:rsidRPr="00461F66">
        <w:rPr>
          <w:i/>
          <w:iCs/>
          <w:sz w:val="22"/>
          <w:szCs w:val="22"/>
          <w:lang w:val="sr-Latn-ME" w:eastAsia="sr-Latn-ME"/>
        </w:rPr>
        <w:t>Oštećenje funkcije jetre</w:t>
      </w:r>
      <w:r w:rsidRPr="00461F66">
        <w:rPr>
          <w:sz w:val="22"/>
          <w:szCs w:val="22"/>
          <w:lang w:val="sr-Latn-ME" w:eastAsia="sr-Latn-ME"/>
        </w:rPr>
        <w:t>: Koncentracija nevezanog parikalcitola kod pacijenata s blagim do umjerenim oštećenjem funkcije jetre slična je onoj kod zdravih ispitanika, pa kod takvih pacijenata ne treba prilagođavati dozu. Međutim nema kliničkih iskustava kod pacijenata sa teškim oštećenje funkcije jetre.</w:t>
      </w:r>
    </w:p>
    <w:p w14:paraId="3D3CEB45" w14:textId="77777777" w:rsidR="00B151B4" w:rsidRPr="00461F66" w:rsidRDefault="00B151B4" w:rsidP="00CC415C">
      <w:pPr>
        <w:tabs>
          <w:tab w:val="left" w:pos="540"/>
          <w:tab w:val="left" w:pos="569"/>
        </w:tabs>
        <w:jc w:val="both"/>
        <w:rPr>
          <w:bCs/>
          <w:sz w:val="22"/>
          <w:szCs w:val="22"/>
          <w:lang w:val="sr-Latn-ME"/>
        </w:rPr>
      </w:pPr>
    </w:p>
    <w:p w14:paraId="71228EBE"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5.3. </w:t>
      </w:r>
      <w:r w:rsidR="00480FB1" w:rsidRPr="00461F66">
        <w:rPr>
          <w:b/>
          <w:bCs/>
          <w:sz w:val="22"/>
          <w:szCs w:val="22"/>
          <w:lang w:val="sr-Latn-ME"/>
        </w:rPr>
        <w:tab/>
      </w:r>
      <w:r w:rsidRPr="00461F66">
        <w:rPr>
          <w:b/>
          <w:bCs/>
          <w:sz w:val="22"/>
          <w:szCs w:val="22"/>
          <w:lang w:val="sr-Latn-ME"/>
        </w:rPr>
        <w:t xml:space="preserve">Pretklinički podaci o bezbjednosti </w:t>
      </w:r>
    </w:p>
    <w:p w14:paraId="55CB09D4" w14:textId="77777777" w:rsidR="00836B35" w:rsidRPr="00461F66" w:rsidRDefault="00836B35" w:rsidP="00CC415C">
      <w:pPr>
        <w:tabs>
          <w:tab w:val="left" w:pos="540"/>
          <w:tab w:val="left" w:pos="569"/>
        </w:tabs>
        <w:jc w:val="both"/>
        <w:rPr>
          <w:bCs/>
          <w:sz w:val="22"/>
          <w:szCs w:val="22"/>
          <w:lang w:val="sr-Latn-ME"/>
        </w:rPr>
      </w:pPr>
    </w:p>
    <w:p w14:paraId="5FE76DF4" w14:textId="3B3809B5"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Jasni nalazi dobijeni toksikološkim ispitivanjima višekratnih doza kod glodara i pasa generalno su pripisani djelovanju parikalcitola na kalcemiju. Efekti koji </w:t>
      </w:r>
      <w:r w:rsidR="00062C93" w:rsidRPr="00461F66">
        <w:rPr>
          <w:sz w:val="22"/>
          <w:szCs w:val="22"/>
          <w:lang w:val="sr-Latn-ME" w:eastAsia="sr-Latn-ME"/>
        </w:rPr>
        <w:t>nisu</w:t>
      </w:r>
      <w:r w:rsidRPr="00461F66">
        <w:rPr>
          <w:sz w:val="22"/>
          <w:szCs w:val="22"/>
          <w:lang w:val="sr-Latn-ME" w:eastAsia="sr-Latn-ME"/>
        </w:rPr>
        <w:t xml:space="preserve"> vidljivo povezani sa hiperkalcemijom uključuju smanjenje broja leukocita i atrofiju timusa kod pasa, te promijenjene vrijednosti APTT (povećane kod pasa, a smanjene kod pacova). Promjene broja leukocita </w:t>
      </w:r>
      <w:r w:rsidR="00062C93" w:rsidRPr="00461F66">
        <w:rPr>
          <w:sz w:val="22"/>
          <w:szCs w:val="22"/>
          <w:lang w:val="sr-Latn-ME" w:eastAsia="sr-Latn-ME"/>
        </w:rPr>
        <w:t>nisu</w:t>
      </w:r>
      <w:r w:rsidRPr="00461F66">
        <w:rPr>
          <w:sz w:val="22"/>
          <w:szCs w:val="22"/>
          <w:lang w:val="sr-Latn-ME" w:eastAsia="sr-Latn-ME"/>
        </w:rPr>
        <w:t xml:space="preserve"> zabilježene u kliničkim ispitivanjima parikalcitola.</w:t>
      </w:r>
    </w:p>
    <w:p w14:paraId="4C7212B1" w14:textId="77777777" w:rsidR="00B151B4" w:rsidRPr="00461F66" w:rsidRDefault="00B151B4" w:rsidP="00CC415C">
      <w:pPr>
        <w:autoSpaceDE w:val="0"/>
        <w:autoSpaceDN w:val="0"/>
        <w:adjustRightInd w:val="0"/>
        <w:jc w:val="both"/>
        <w:rPr>
          <w:sz w:val="22"/>
          <w:szCs w:val="22"/>
          <w:lang w:val="sr-Latn-ME" w:eastAsia="sr-Latn-ME"/>
        </w:rPr>
      </w:pPr>
    </w:p>
    <w:p w14:paraId="4F43DD1A" w14:textId="31EC6451"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Parikalcitol nije uticao na plodnost kod mužjaka i ženki pacova, a teratogeni efekti nisu zab</w:t>
      </w:r>
      <w:r w:rsidR="00062C93" w:rsidRPr="00461F66">
        <w:rPr>
          <w:sz w:val="22"/>
          <w:szCs w:val="22"/>
          <w:lang w:val="sr-Latn-ME" w:eastAsia="sr-Latn-ME"/>
        </w:rPr>
        <w:t>ilj</w:t>
      </w:r>
      <w:r w:rsidRPr="00461F66">
        <w:rPr>
          <w:sz w:val="22"/>
          <w:szCs w:val="22"/>
          <w:lang w:val="sr-Latn-ME" w:eastAsia="sr-Latn-ME"/>
        </w:rPr>
        <w:t>eženi kod pacova ni kod kunića. V</w:t>
      </w:r>
      <w:r w:rsidR="00DD12EE" w:rsidRPr="00461F66">
        <w:rPr>
          <w:sz w:val="22"/>
          <w:szCs w:val="22"/>
          <w:lang w:val="sr-Latn-ME" w:eastAsia="sr-Latn-ME"/>
        </w:rPr>
        <w:t>isoke</w:t>
      </w:r>
      <w:r w:rsidRPr="00461F66">
        <w:rPr>
          <w:sz w:val="22"/>
          <w:szCs w:val="22"/>
          <w:lang w:val="sr-Latn-ME" w:eastAsia="sr-Latn-ME"/>
        </w:rPr>
        <w:t xml:space="preserve"> doze drugih preparata vitamina D davane za vrijeme trudnoće kod životinja dovodile su do teratogeneze. Prim</w:t>
      </w:r>
      <w:r w:rsidR="00DD12EE" w:rsidRPr="00461F66">
        <w:rPr>
          <w:sz w:val="22"/>
          <w:szCs w:val="22"/>
          <w:lang w:val="sr-Latn-ME" w:eastAsia="sr-Latn-ME"/>
        </w:rPr>
        <w:t>i</w:t>
      </w:r>
      <w:r w:rsidRPr="00461F66">
        <w:rPr>
          <w:sz w:val="22"/>
          <w:szCs w:val="22"/>
          <w:lang w:val="sr-Latn-ME" w:eastAsia="sr-Latn-ME"/>
        </w:rPr>
        <w:t>jećeno je da parikalcitol primijenjen u dozama toksičnim za ženku pacova utiče na sposobnost preživljavanja fetusa i značajno povećava perinatalnu i postnatalnu smrtnost mladunčadi.</w:t>
      </w:r>
    </w:p>
    <w:p w14:paraId="79860F40" w14:textId="77777777" w:rsidR="00B151B4" w:rsidRPr="00461F66" w:rsidRDefault="00B151B4" w:rsidP="00CC415C">
      <w:pPr>
        <w:autoSpaceDE w:val="0"/>
        <w:autoSpaceDN w:val="0"/>
        <w:adjustRightInd w:val="0"/>
        <w:jc w:val="both"/>
        <w:rPr>
          <w:sz w:val="22"/>
          <w:szCs w:val="22"/>
          <w:lang w:val="sr-Latn-ME" w:eastAsia="sr-Latn-ME"/>
        </w:rPr>
      </w:pPr>
    </w:p>
    <w:p w14:paraId="2703FE2A" w14:textId="77777777"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U nizu ispitivanja genotoksičnosti </w:t>
      </w:r>
      <w:r w:rsidRPr="00461F66">
        <w:rPr>
          <w:i/>
          <w:iCs/>
          <w:sz w:val="22"/>
          <w:szCs w:val="22"/>
          <w:lang w:val="sr-Latn-ME" w:eastAsia="sr-Latn-ME"/>
        </w:rPr>
        <w:t xml:space="preserve">in-vitro </w:t>
      </w:r>
      <w:r w:rsidRPr="00461F66">
        <w:rPr>
          <w:sz w:val="22"/>
          <w:szCs w:val="22"/>
          <w:lang w:val="sr-Latn-ME" w:eastAsia="sr-Latn-ME"/>
        </w:rPr>
        <w:t xml:space="preserve">i </w:t>
      </w:r>
      <w:r w:rsidRPr="00461F66">
        <w:rPr>
          <w:i/>
          <w:iCs/>
          <w:sz w:val="22"/>
          <w:szCs w:val="22"/>
          <w:lang w:val="sr-Latn-ME" w:eastAsia="sr-Latn-ME"/>
        </w:rPr>
        <w:t xml:space="preserve">in-vivo </w:t>
      </w:r>
      <w:r w:rsidRPr="00461F66">
        <w:rPr>
          <w:sz w:val="22"/>
          <w:szCs w:val="22"/>
          <w:lang w:val="sr-Latn-ME" w:eastAsia="sr-Latn-ME"/>
        </w:rPr>
        <w:t>parikalcitol nije pokazao genotoksični potencijal.</w:t>
      </w:r>
    </w:p>
    <w:p w14:paraId="5F2B6FC1" w14:textId="7BFE21FE" w:rsidR="00B151B4" w:rsidRPr="00461F66" w:rsidRDefault="00B151B4"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Studije karcinogenosti kod glodara </w:t>
      </w:r>
      <w:r w:rsidR="00062C93" w:rsidRPr="00461F66">
        <w:rPr>
          <w:sz w:val="22"/>
          <w:szCs w:val="22"/>
          <w:lang w:val="sr-Latn-ME" w:eastAsia="sr-Latn-ME"/>
        </w:rPr>
        <w:t>nisu</w:t>
      </w:r>
      <w:r w:rsidRPr="00461F66">
        <w:rPr>
          <w:sz w:val="22"/>
          <w:szCs w:val="22"/>
          <w:lang w:val="sr-Latn-ME" w:eastAsia="sr-Latn-ME"/>
        </w:rPr>
        <w:t xml:space="preserve"> pokazale nikakav specijalni rizik za upotrebu kod ljudi.</w:t>
      </w:r>
    </w:p>
    <w:p w14:paraId="06A76C03" w14:textId="27E91AE5" w:rsidR="00B151B4" w:rsidRPr="00461F66" w:rsidRDefault="00B151B4" w:rsidP="00CC415C">
      <w:pPr>
        <w:autoSpaceDE w:val="0"/>
        <w:autoSpaceDN w:val="0"/>
        <w:adjustRightInd w:val="0"/>
        <w:jc w:val="both"/>
        <w:rPr>
          <w:bCs/>
          <w:sz w:val="22"/>
          <w:szCs w:val="22"/>
          <w:lang w:val="sr-Latn-ME"/>
        </w:rPr>
      </w:pPr>
      <w:r w:rsidRPr="00461F66">
        <w:rPr>
          <w:sz w:val="22"/>
          <w:szCs w:val="22"/>
          <w:lang w:val="sr-Latn-ME" w:eastAsia="sr-Latn-ME"/>
        </w:rPr>
        <w:t>Prim</w:t>
      </w:r>
      <w:r w:rsidR="00062C93" w:rsidRPr="00461F66">
        <w:rPr>
          <w:sz w:val="22"/>
          <w:szCs w:val="22"/>
          <w:lang w:val="sr-Latn-ME" w:eastAsia="sr-Latn-ME"/>
        </w:rPr>
        <w:t>i</w:t>
      </w:r>
      <w:r w:rsidRPr="00461F66">
        <w:rPr>
          <w:sz w:val="22"/>
          <w:szCs w:val="22"/>
          <w:lang w:val="sr-Latn-ME" w:eastAsia="sr-Latn-ME"/>
        </w:rPr>
        <w:t>jenjene doze i/ili sistemsko izlaganje parikalcitolu u tim ispitivanjima bili su tek neznatno veći od</w:t>
      </w:r>
      <w:r w:rsidR="00062C93" w:rsidRPr="00461F66">
        <w:rPr>
          <w:sz w:val="22"/>
          <w:szCs w:val="22"/>
          <w:lang w:val="sr-Latn-ME" w:eastAsia="sr-Latn-ME"/>
        </w:rPr>
        <w:t xml:space="preserve"> </w:t>
      </w:r>
      <w:r w:rsidRPr="00461F66">
        <w:rPr>
          <w:sz w:val="22"/>
          <w:szCs w:val="22"/>
          <w:lang w:val="sr-Latn-ME" w:eastAsia="sr-Latn-ME"/>
        </w:rPr>
        <w:t>terapijskih doza/ sistemskog izlaganja.</w:t>
      </w:r>
    </w:p>
    <w:p w14:paraId="6944FF20" w14:textId="3E10E914" w:rsidR="00396DFD" w:rsidRDefault="00396DFD" w:rsidP="00CC415C">
      <w:pPr>
        <w:tabs>
          <w:tab w:val="left" w:pos="540"/>
          <w:tab w:val="left" w:pos="569"/>
        </w:tabs>
        <w:jc w:val="both"/>
        <w:rPr>
          <w:b/>
          <w:bCs/>
          <w:sz w:val="22"/>
          <w:szCs w:val="22"/>
          <w:lang w:val="sr-Latn-ME"/>
        </w:rPr>
      </w:pPr>
    </w:p>
    <w:p w14:paraId="29CA745E" w14:textId="77777777" w:rsidR="00D20112" w:rsidRPr="00461F66" w:rsidRDefault="00D20112" w:rsidP="00CC415C">
      <w:pPr>
        <w:tabs>
          <w:tab w:val="left" w:pos="540"/>
          <w:tab w:val="left" w:pos="569"/>
        </w:tabs>
        <w:jc w:val="both"/>
        <w:rPr>
          <w:b/>
          <w:bCs/>
          <w:sz w:val="22"/>
          <w:szCs w:val="22"/>
          <w:lang w:val="sr-Latn-ME"/>
        </w:rPr>
      </w:pPr>
    </w:p>
    <w:p w14:paraId="16FC6B29"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6. </w:t>
      </w:r>
      <w:r w:rsidR="00480FB1" w:rsidRPr="00461F66">
        <w:rPr>
          <w:b/>
          <w:bCs/>
          <w:sz w:val="22"/>
          <w:szCs w:val="22"/>
          <w:lang w:val="sr-Latn-ME"/>
        </w:rPr>
        <w:tab/>
      </w:r>
      <w:r w:rsidRPr="00461F66">
        <w:rPr>
          <w:b/>
          <w:bCs/>
          <w:sz w:val="22"/>
          <w:szCs w:val="22"/>
          <w:lang w:val="sr-Latn-ME"/>
        </w:rPr>
        <w:t>FARMACEUTSKI PODACI</w:t>
      </w:r>
    </w:p>
    <w:p w14:paraId="6CA7B306" w14:textId="77777777" w:rsidR="00836B35" w:rsidRPr="00461F66" w:rsidRDefault="00836B35" w:rsidP="00CC415C">
      <w:pPr>
        <w:tabs>
          <w:tab w:val="left" w:pos="540"/>
          <w:tab w:val="left" w:pos="569"/>
        </w:tabs>
        <w:jc w:val="both"/>
        <w:rPr>
          <w:bCs/>
          <w:sz w:val="22"/>
          <w:szCs w:val="22"/>
          <w:lang w:val="sr-Latn-ME"/>
        </w:rPr>
      </w:pPr>
    </w:p>
    <w:p w14:paraId="788BD0AE"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6.1. </w:t>
      </w:r>
      <w:r w:rsidR="00480FB1" w:rsidRPr="00461F66">
        <w:rPr>
          <w:b/>
          <w:bCs/>
          <w:sz w:val="22"/>
          <w:szCs w:val="22"/>
          <w:lang w:val="sr-Latn-ME"/>
        </w:rPr>
        <w:tab/>
      </w:r>
      <w:r w:rsidRPr="00461F66">
        <w:rPr>
          <w:b/>
          <w:bCs/>
          <w:sz w:val="22"/>
          <w:szCs w:val="22"/>
          <w:lang w:val="sr-Latn-ME"/>
        </w:rPr>
        <w:t>Lista pomoćnih supstanci</w:t>
      </w:r>
      <w:r w:rsidR="002E0135" w:rsidRPr="00461F66">
        <w:rPr>
          <w:b/>
          <w:bCs/>
          <w:sz w:val="22"/>
          <w:szCs w:val="22"/>
          <w:lang w:val="sr-Latn-ME"/>
        </w:rPr>
        <w:t xml:space="preserve"> (ekscipijenasa)</w:t>
      </w:r>
    </w:p>
    <w:p w14:paraId="27C29C29" w14:textId="77777777" w:rsidR="006A05A9" w:rsidRDefault="006A05A9" w:rsidP="00D20112">
      <w:pPr>
        <w:autoSpaceDE w:val="0"/>
        <w:autoSpaceDN w:val="0"/>
        <w:adjustRightInd w:val="0"/>
        <w:ind w:left="90" w:hanging="90"/>
        <w:jc w:val="both"/>
        <w:rPr>
          <w:sz w:val="22"/>
          <w:szCs w:val="22"/>
          <w:lang w:val="sr-Latn-ME" w:eastAsia="sr-Latn-ME"/>
        </w:rPr>
      </w:pPr>
    </w:p>
    <w:p w14:paraId="00BCE19B" w14:textId="5EF9947E" w:rsidR="008A459B" w:rsidRPr="00461F66" w:rsidRDefault="008A459B" w:rsidP="00D20112">
      <w:pPr>
        <w:autoSpaceDE w:val="0"/>
        <w:autoSpaceDN w:val="0"/>
        <w:adjustRightInd w:val="0"/>
        <w:ind w:left="90" w:hanging="90"/>
        <w:jc w:val="both"/>
        <w:rPr>
          <w:sz w:val="22"/>
          <w:szCs w:val="22"/>
          <w:lang w:val="sr-Latn-ME" w:eastAsia="sr-Latn-ME"/>
        </w:rPr>
      </w:pPr>
      <w:r w:rsidRPr="00461F66">
        <w:rPr>
          <w:sz w:val="22"/>
          <w:szCs w:val="22"/>
          <w:lang w:val="sr-Latn-ME" w:eastAsia="sr-Latn-ME"/>
        </w:rPr>
        <w:t>Etanol, bezvodni (11% v/v);</w:t>
      </w:r>
    </w:p>
    <w:p w14:paraId="6927AEFA" w14:textId="201DDAE5" w:rsidR="008A459B" w:rsidRPr="00461F66" w:rsidRDefault="008A459B" w:rsidP="00D20112">
      <w:pPr>
        <w:autoSpaceDE w:val="0"/>
        <w:autoSpaceDN w:val="0"/>
        <w:adjustRightInd w:val="0"/>
        <w:ind w:left="90" w:hanging="90"/>
        <w:jc w:val="both"/>
        <w:rPr>
          <w:sz w:val="22"/>
          <w:szCs w:val="22"/>
          <w:lang w:val="sr-Latn-ME" w:eastAsia="sr-Latn-ME"/>
        </w:rPr>
      </w:pPr>
      <w:r w:rsidRPr="00461F66">
        <w:rPr>
          <w:sz w:val="22"/>
          <w:szCs w:val="22"/>
          <w:lang w:val="sr-Latn-ME" w:eastAsia="sr-Latn-ME"/>
        </w:rPr>
        <w:t>Propilen</w:t>
      </w:r>
      <w:r w:rsidR="00461F66">
        <w:rPr>
          <w:sz w:val="22"/>
          <w:szCs w:val="22"/>
          <w:lang w:val="sr-Latn-ME" w:eastAsia="sr-Latn-ME"/>
        </w:rPr>
        <w:t xml:space="preserve"> </w:t>
      </w:r>
      <w:r w:rsidRPr="00461F66">
        <w:rPr>
          <w:sz w:val="22"/>
          <w:szCs w:val="22"/>
          <w:lang w:val="sr-Latn-ME" w:eastAsia="sr-Latn-ME"/>
        </w:rPr>
        <w:t>glikol;</w:t>
      </w:r>
    </w:p>
    <w:p w14:paraId="7D960EA6" w14:textId="2FE15C43" w:rsidR="008A459B" w:rsidRPr="00461F66" w:rsidRDefault="008A459B" w:rsidP="00D20112">
      <w:pPr>
        <w:jc w:val="both"/>
        <w:rPr>
          <w:bCs/>
          <w:sz w:val="22"/>
          <w:szCs w:val="22"/>
          <w:lang w:val="sr-Latn-ME"/>
        </w:rPr>
      </w:pPr>
      <w:r w:rsidRPr="00461F66">
        <w:rPr>
          <w:sz w:val="22"/>
          <w:szCs w:val="22"/>
          <w:lang w:val="sr-Latn-ME" w:eastAsia="sr-Latn-ME"/>
        </w:rPr>
        <w:t>Voda za injekcije.</w:t>
      </w:r>
    </w:p>
    <w:p w14:paraId="54B8DCC5"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lastRenderedPageBreak/>
        <w:t xml:space="preserve">6.2. </w:t>
      </w:r>
      <w:r w:rsidR="00480FB1" w:rsidRPr="00461F66">
        <w:rPr>
          <w:b/>
          <w:bCs/>
          <w:sz w:val="22"/>
          <w:szCs w:val="22"/>
          <w:lang w:val="sr-Latn-ME"/>
        </w:rPr>
        <w:tab/>
      </w:r>
      <w:r w:rsidRPr="00461F66">
        <w:rPr>
          <w:b/>
          <w:bCs/>
          <w:sz w:val="22"/>
          <w:szCs w:val="22"/>
          <w:lang w:val="sr-Latn-ME"/>
        </w:rPr>
        <w:t>Inkompatibilnost</w:t>
      </w:r>
      <w:r w:rsidR="002846DB" w:rsidRPr="00461F66">
        <w:rPr>
          <w:b/>
          <w:bCs/>
          <w:sz w:val="22"/>
          <w:szCs w:val="22"/>
          <w:lang w:val="sr-Latn-ME"/>
        </w:rPr>
        <w:t>i</w:t>
      </w:r>
    </w:p>
    <w:p w14:paraId="52FA50B9" w14:textId="77777777" w:rsidR="0072020E" w:rsidRPr="00461F66" w:rsidRDefault="0072020E" w:rsidP="00CC415C">
      <w:pPr>
        <w:tabs>
          <w:tab w:val="left" w:pos="540"/>
          <w:tab w:val="left" w:pos="569"/>
        </w:tabs>
        <w:jc w:val="both"/>
        <w:rPr>
          <w:bCs/>
          <w:sz w:val="22"/>
          <w:szCs w:val="22"/>
          <w:lang w:val="sr-Latn-ME"/>
        </w:rPr>
      </w:pPr>
    </w:p>
    <w:p w14:paraId="519E833B" w14:textId="7228A843" w:rsidR="008A459B" w:rsidRPr="00461F66" w:rsidRDefault="008A459B" w:rsidP="00CC415C">
      <w:pPr>
        <w:autoSpaceDE w:val="0"/>
        <w:autoSpaceDN w:val="0"/>
        <w:adjustRightInd w:val="0"/>
        <w:jc w:val="both"/>
        <w:rPr>
          <w:sz w:val="22"/>
          <w:szCs w:val="22"/>
          <w:lang w:val="sr-Latn-ME" w:eastAsia="sr-Latn-ME"/>
        </w:rPr>
      </w:pPr>
      <w:r w:rsidRPr="00461F66">
        <w:rPr>
          <w:sz w:val="22"/>
          <w:szCs w:val="22"/>
          <w:lang w:val="sr-Latn-ME" w:eastAsia="sr-Latn-ME"/>
        </w:rPr>
        <w:t>Budući da ispitivanja kompatibilnosti nisu rađena, ovaj lijek se ne smije miješati sa drugim ljekovima.</w:t>
      </w:r>
    </w:p>
    <w:p w14:paraId="02180C20" w14:textId="77777777" w:rsidR="006A05A9" w:rsidRDefault="006A05A9" w:rsidP="00CC415C">
      <w:pPr>
        <w:autoSpaceDE w:val="0"/>
        <w:autoSpaceDN w:val="0"/>
        <w:adjustRightInd w:val="0"/>
        <w:jc w:val="both"/>
        <w:rPr>
          <w:sz w:val="22"/>
          <w:szCs w:val="22"/>
          <w:lang w:val="sr-Latn-ME" w:eastAsia="sr-Latn-ME"/>
        </w:rPr>
      </w:pPr>
    </w:p>
    <w:p w14:paraId="0CD7E5FB" w14:textId="22C1DBC0" w:rsidR="008A459B" w:rsidRPr="00461F66" w:rsidRDefault="008A459B" w:rsidP="00CC415C">
      <w:pPr>
        <w:autoSpaceDE w:val="0"/>
        <w:autoSpaceDN w:val="0"/>
        <w:adjustRightInd w:val="0"/>
        <w:jc w:val="both"/>
        <w:rPr>
          <w:sz w:val="22"/>
          <w:szCs w:val="22"/>
          <w:lang w:val="sr-Latn-ME" w:eastAsia="sr-Latn-ME"/>
        </w:rPr>
      </w:pPr>
      <w:r w:rsidRPr="00461F66">
        <w:rPr>
          <w:sz w:val="22"/>
          <w:szCs w:val="22"/>
          <w:lang w:val="sr-Latn-ME" w:eastAsia="sr-Latn-ME"/>
        </w:rPr>
        <w:t>Propilen</w:t>
      </w:r>
      <w:r w:rsidR="00D20112">
        <w:rPr>
          <w:sz w:val="22"/>
          <w:szCs w:val="22"/>
          <w:lang w:val="sr-Latn-ME" w:eastAsia="sr-Latn-ME"/>
        </w:rPr>
        <w:t xml:space="preserve"> </w:t>
      </w:r>
      <w:r w:rsidRPr="00461F66">
        <w:rPr>
          <w:sz w:val="22"/>
          <w:szCs w:val="22"/>
          <w:lang w:val="sr-Latn-ME" w:eastAsia="sr-Latn-ME"/>
        </w:rPr>
        <w:t>glikol stupa u interakciju s heparinom i neutrališe njegovo djelovanje. Rastvor lijeka Rextol sadrži propilen</w:t>
      </w:r>
      <w:r w:rsidR="00461F66">
        <w:rPr>
          <w:sz w:val="22"/>
          <w:szCs w:val="22"/>
          <w:lang w:val="sr-Latn-ME" w:eastAsia="sr-Latn-ME"/>
        </w:rPr>
        <w:t xml:space="preserve"> </w:t>
      </w:r>
      <w:r w:rsidRPr="00461F66">
        <w:rPr>
          <w:sz w:val="22"/>
          <w:szCs w:val="22"/>
          <w:lang w:val="sr-Latn-ME" w:eastAsia="sr-Latn-ME"/>
        </w:rPr>
        <w:t>glikol kao pomoćnu supstancu i injekcija se mora dati na različito mjesto od mjesta davanja heparina.</w:t>
      </w:r>
    </w:p>
    <w:p w14:paraId="133E4E98" w14:textId="77777777" w:rsidR="008A459B" w:rsidRPr="00461F66" w:rsidRDefault="008A459B" w:rsidP="00CC415C">
      <w:pPr>
        <w:tabs>
          <w:tab w:val="left" w:pos="540"/>
          <w:tab w:val="left" w:pos="569"/>
        </w:tabs>
        <w:jc w:val="both"/>
        <w:rPr>
          <w:bCs/>
          <w:sz w:val="22"/>
          <w:szCs w:val="22"/>
          <w:lang w:val="sr-Latn-ME"/>
        </w:rPr>
      </w:pPr>
    </w:p>
    <w:p w14:paraId="67F7BD45"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6.3.</w:t>
      </w:r>
      <w:r w:rsidR="00C05DF8" w:rsidRPr="00461F66">
        <w:rPr>
          <w:b/>
          <w:bCs/>
          <w:sz w:val="22"/>
          <w:szCs w:val="22"/>
          <w:lang w:val="sr-Latn-ME"/>
        </w:rPr>
        <w:t xml:space="preserve"> </w:t>
      </w:r>
      <w:r w:rsidR="00480FB1" w:rsidRPr="00461F66">
        <w:rPr>
          <w:b/>
          <w:bCs/>
          <w:sz w:val="22"/>
          <w:szCs w:val="22"/>
          <w:lang w:val="sr-Latn-ME"/>
        </w:rPr>
        <w:tab/>
      </w:r>
      <w:r w:rsidRPr="00461F66">
        <w:rPr>
          <w:b/>
          <w:bCs/>
          <w:sz w:val="22"/>
          <w:szCs w:val="22"/>
          <w:lang w:val="sr-Latn-ME"/>
        </w:rPr>
        <w:t>Rok upotrebe</w:t>
      </w:r>
    </w:p>
    <w:p w14:paraId="2624E7C5" w14:textId="77777777" w:rsidR="0072020E" w:rsidRPr="00461F66" w:rsidRDefault="0072020E" w:rsidP="00CC415C">
      <w:pPr>
        <w:tabs>
          <w:tab w:val="left" w:pos="540"/>
          <w:tab w:val="left" w:pos="569"/>
        </w:tabs>
        <w:jc w:val="both"/>
        <w:rPr>
          <w:bCs/>
          <w:sz w:val="22"/>
          <w:szCs w:val="22"/>
          <w:lang w:val="sr-Latn-ME"/>
        </w:rPr>
      </w:pPr>
    </w:p>
    <w:p w14:paraId="385D64C2" w14:textId="77777777" w:rsidR="008A459B" w:rsidRPr="00461F66" w:rsidRDefault="008A459B" w:rsidP="00CC415C">
      <w:pPr>
        <w:autoSpaceDE w:val="0"/>
        <w:autoSpaceDN w:val="0"/>
        <w:adjustRightInd w:val="0"/>
        <w:jc w:val="both"/>
        <w:rPr>
          <w:sz w:val="22"/>
          <w:szCs w:val="22"/>
          <w:lang w:val="sr-Latn-ME" w:eastAsia="sr-Latn-ME"/>
        </w:rPr>
      </w:pPr>
      <w:r w:rsidRPr="00461F66">
        <w:rPr>
          <w:sz w:val="22"/>
          <w:szCs w:val="22"/>
          <w:lang w:val="sr-Latn-ME" w:eastAsia="sr-Latn-ME"/>
        </w:rPr>
        <w:t>2 godine.</w:t>
      </w:r>
    </w:p>
    <w:p w14:paraId="71EF4675" w14:textId="4679A066" w:rsidR="008A459B" w:rsidRPr="00461F66" w:rsidRDefault="008A459B" w:rsidP="00CC415C">
      <w:pPr>
        <w:autoSpaceDE w:val="0"/>
        <w:autoSpaceDN w:val="0"/>
        <w:adjustRightInd w:val="0"/>
        <w:jc w:val="both"/>
        <w:rPr>
          <w:sz w:val="22"/>
          <w:szCs w:val="22"/>
          <w:lang w:val="sr-Latn-ME" w:eastAsia="sr-Latn-ME"/>
        </w:rPr>
      </w:pPr>
      <w:r w:rsidRPr="00461F66">
        <w:rPr>
          <w:sz w:val="22"/>
          <w:szCs w:val="22"/>
          <w:lang w:val="sr-Latn-ME" w:eastAsia="sr-Latn-ME"/>
        </w:rPr>
        <w:t>Nakon prvog otvaranja</w:t>
      </w:r>
      <w:r w:rsidR="00062C93" w:rsidRPr="00461F66">
        <w:rPr>
          <w:sz w:val="22"/>
          <w:szCs w:val="22"/>
          <w:lang w:val="sr-Latn-ME" w:eastAsia="sr-Latn-ME"/>
        </w:rPr>
        <w:t>,</w:t>
      </w:r>
      <w:r w:rsidRPr="00461F66">
        <w:rPr>
          <w:sz w:val="22"/>
          <w:szCs w:val="22"/>
          <w:lang w:val="sr-Latn-ME" w:eastAsia="sr-Latn-ME"/>
        </w:rPr>
        <w:t xml:space="preserve"> odmah upotrijebiti.</w:t>
      </w:r>
    </w:p>
    <w:p w14:paraId="78ADA344" w14:textId="77777777" w:rsidR="008A459B" w:rsidRPr="00461F66" w:rsidRDefault="008A459B" w:rsidP="00CC415C">
      <w:pPr>
        <w:tabs>
          <w:tab w:val="left" w:pos="540"/>
          <w:tab w:val="left" w:pos="569"/>
        </w:tabs>
        <w:jc w:val="both"/>
        <w:rPr>
          <w:bCs/>
          <w:sz w:val="22"/>
          <w:szCs w:val="22"/>
          <w:lang w:val="sr-Latn-ME"/>
        </w:rPr>
      </w:pPr>
    </w:p>
    <w:p w14:paraId="70DC3306"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6.4. </w:t>
      </w:r>
      <w:r w:rsidR="00480FB1" w:rsidRPr="00461F66">
        <w:rPr>
          <w:b/>
          <w:bCs/>
          <w:sz w:val="22"/>
          <w:szCs w:val="22"/>
          <w:lang w:val="sr-Latn-ME"/>
        </w:rPr>
        <w:tab/>
      </w:r>
      <w:r w:rsidRPr="00461F66">
        <w:rPr>
          <w:b/>
          <w:bCs/>
          <w:sz w:val="22"/>
          <w:szCs w:val="22"/>
          <w:lang w:val="sr-Latn-ME"/>
        </w:rPr>
        <w:t>Posebne mjere upozorenja pri čuvanju</w:t>
      </w:r>
      <w:r w:rsidR="00F8570A" w:rsidRPr="00461F66">
        <w:rPr>
          <w:b/>
          <w:bCs/>
          <w:sz w:val="22"/>
          <w:szCs w:val="22"/>
          <w:lang w:val="sr-Latn-ME"/>
        </w:rPr>
        <w:t xml:space="preserve"> lijeka</w:t>
      </w:r>
    </w:p>
    <w:p w14:paraId="4A9E71CD" w14:textId="77777777" w:rsidR="00EC2532" w:rsidRPr="00461F66" w:rsidRDefault="00EC2532" w:rsidP="00CC415C">
      <w:pPr>
        <w:tabs>
          <w:tab w:val="left" w:pos="540"/>
          <w:tab w:val="left" w:pos="569"/>
        </w:tabs>
        <w:jc w:val="both"/>
        <w:rPr>
          <w:bCs/>
          <w:sz w:val="22"/>
          <w:szCs w:val="22"/>
          <w:lang w:val="sr-Latn-ME"/>
        </w:rPr>
      </w:pPr>
    </w:p>
    <w:p w14:paraId="32558BE3" w14:textId="1ADC127A" w:rsidR="008A459B" w:rsidRPr="00461F66" w:rsidRDefault="008A459B" w:rsidP="00CC415C">
      <w:pPr>
        <w:tabs>
          <w:tab w:val="left" w:pos="540"/>
          <w:tab w:val="left" w:pos="569"/>
        </w:tabs>
        <w:jc w:val="both"/>
        <w:rPr>
          <w:sz w:val="22"/>
          <w:szCs w:val="22"/>
          <w:lang w:val="sr-Latn-ME" w:eastAsia="sr-Latn-ME"/>
        </w:rPr>
      </w:pPr>
      <w:r w:rsidRPr="00461F66">
        <w:rPr>
          <w:sz w:val="22"/>
          <w:szCs w:val="22"/>
          <w:lang w:val="sr-Latn-ME" w:eastAsia="sr-Latn-ME"/>
        </w:rPr>
        <w:t xml:space="preserve">Ovaj lijek ne zahtijeva posebne uslove čuvanja. Za uslove čuvanja nakon prvog otvaranja lijeka, vidjeti </w:t>
      </w:r>
      <w:r w:rsidR="00F31740" w:rsidRPr="00461F66">
        <w:rPr>
          <w:sz w:val="22"/>
          <w:szCs w:val="22"/>
          <w:lang w:val="sr-Latn-ME" w:eastAsia="sr-Latn-ME"/>
        </w:rPr>
        <w:t>dio</w:t>
      </w:r>
      <w:r w:rsidRPr="00461F66">
        <w:rPr>
          <w:sz w:val="22"/>
          <w:szCs w:val="22"/>
          <w:lang w:val="sr-Latn-ME" w:eastAsia="sr-Latn-ME"/>
        </w:rPr>
        <w:t xml:space="preserve"> 6.3.</w:t>
      </w:r>
    </w:p>
    <w:p w14:paraId="1528D385" w14:textId="77777777" w:rsidR="008A459B" w:rsidRPr="00461F66" w:rsidRDefault="008A459B" w:rsidP="00CC415C">
      <w:pPr>
        <w:tabs>
          <w:tab w:val="left" w:pos="540"/>
          <w:tab w:val="left" w:pos="569"/>
        </w:tabs>
        <w:jc w:val="both"/>
        <w:rPr>
          <w:bCs/>
          <w:sz w:val="22"/>
          <w:szCs w:val="22"/>
          <w:lang w:val="sr-Latn-ME"/>
        </w:rPr>
      </w:pPr>
    </w:p>
    <w:p w14:paraId="3B80B2CB"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6.5. </w:t>
      </w:r>
      <w:r w:rsidR="00480FB1" w:rsidRPr="00461F66">
        <w:rPr>
          <w:b/>
          <w:bCs/>
          <w:sz w:val="22"/>
          <w:szCs w:val="22"/>
          <w:lang w:val="sr-Latn-ME"/>
        </w:rPr>
        <w:tab/>
      </w:r>
      <w:r w:rsidR="002846DB" w:rsidRPr="00461F66">
        <w:rPr>
          <w:b/>
          <w:bCs/>
          <w:sz w:val="22"/>
          <w:szCs w:val="22"/>
          <w:lang w:val="sr-Latn-ME"/>
        </w:rPr>
        <w:t xml:space="preserve">Vrsta i sadržaj </w:t>
      </w:r>
      <w:r w:rsidR="00F8570A" w:rsidRPr="00461F66">
        <w:rPr>
          <w:b/>
          <w:bCs/>
          <w:sz w:val="22"/>
          <w:szCs w:val="22"/>
          <w:lang w:val="sr-Latn-ME"/>
        </w:rPr>
        <w:t>pakovanja</w:t>
      </w:r>
      <w:r w:rsidR="00C06864" w:rsidRPr="00461F66">
        <w:rPr>
          <w:b/>
          <w:bCs/>
          <w:sz w:val="22"/>
          <w:szCs w:val="22"/>
          <w:lang w:val="sr-Latn-ME"/>
        </w:rPr>
        <w:t xml:space="preserve"> </w:t>
      </w:r>
    </w:p>
    <w:p w14:paraId="5357F01C" w14:textId="77777777" w:rsidR="0072020E" w:rsidRPr="00461F66" w:rsidRDefault="0072020E" w:rsidP="00CC415C">
      <w:pPr>
        <w:tabs>
          <w:tab w:val="left" w:pos="540"/>
          <w:tab w:val="left" w:pos="569"/>
        </w:tabs>
        <w:jc w:val="both"/>
        <w:rPr>
          <w:bCs/>
          <w:sz w:val="22"/>
          <w:szCs w:val="22"/>
          <w:lang w:val="sr-Latn-ME"/>
        </w:rPr>
      </w:pPr>
    </w:p>
    <w:p w14:paraId="296E6FF3" w14:textId="121DCA4A" w:rsidR="008A459B" w:rsidRPr="00461F66" w:rsidRDefault="008A459B"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Unutrašnje pakovanje lijeka je bezbojna, staklena (tip I) bočica sa čepom od brombutil gume i aluminijumskom kapicom sa </w:t>
      </w:r>
      <w:r w:rsidRPr="00461F66">
        <w:rPr>
          <w:i/>
          <w:iCs/>
          <w:sz w:val="22"/>
          <w:szCs w:val="22"/>
          <w:lang w:val="sr-Latn-ME" w:eastAsia="sr-Latn-ME"/>
        </w:rPr>
        <w:t>flip-off poklopcem</w:t>
      </w:r>
      <w:r w:rsidRPr="00461F66">
        <w:rPr>
          <w:sz w:val="22"/>
          <w:szCs w:val="22"/>
          <w:lang w:val="sr-Latn-ME" w:eastAsia="sr-Latn-ME"/>
        </w:rPr>
        <w:t>.</w:t>
      </w:r>
    </w:p>
    <w:p w14:paraId="0CC9886F" w14:textId="77777777" w:rsidR="008A459B" w:rsidRPr="00461F66" w:rsidRDefault="008A459B" w:rsidP="00CC415C">
      <w:pPr>
        <w:autoSpaceDE w:val="0"/>
        <w:autoSpaceDN w:val="0"/>
        <w:adjustRightInd w:val="0"/>
        <w:jc w:val="both"/>
        <w:rPr>
          <w:sz w:val="22"/>
          <w:szCs w:val="22"/>
          <w:lang w:val="sr-Latn-ME" w:eastAsia="sr-Latn-ME"/>
        </w:rPr>
      </w:pPr>
    </w:p>
    <w:p w14:paraId="6E2C02A5" w14:textId="2A83C4EB" w:rsidR="008A459B" w:rsidRPr="00461F66" w:rsidRDefault="008A459B" w:rsidP="00CC415C">
      <w:pPr>
        <w:tabs>
          <w:tab w:val="left" w:pos="540"/>
          <w:tab w:val="left" w:pos="569"/>
        </w:tabs>
        <w:jc w:val="both"/>
        <w:rPr>
          <w:sz w:val="22"/>
          <w:szCs w:val="22"/>
          <w:lang w:val="sr-Latn-ME" w:eastAsia="sr-Latn-ME"/>
        </w:rPr>
      </w:pPr>
      <w:r w:rsidRPr="00461F66">
        <w:rPr>
          <w:sz w:val="22"/>
          <w:szCs w:val="22"/>
          <w:lang w:val="sr-Latn-ME" w:eastAsia="sr-Latn-ME"/>
        </w:rPr>
        <w:t>Spoljašnje pakovanje lijeka je složiva kartonska kutija u kojoj se nalazi 5 bočica sa 1 ml rastvora za injekciju i Uputstvo za lijek.</w:t>
      </w:r>
    </w:p>
    <w:p w14:paraId="1FA45431" w14:textId="77777777" w:rsidR="008A459B" w:rsidRPr="00461F66" w:rsidRDefault="008A459B" w:rsidP="00CC415C">
      <w:pPr>
        <w:tabs>
          <w:tab w:val="left" w:pos="540"/>
          <w:tab w:val="left" w:pos="569"/>
        </w:tabs>
        <w:jc w:val="both"/>
        <w:rPr>
          <w:bCs/>
          <w:sz w:val="22"/>
          <w:szCs w:val="22"/>
          <w:lang w:val="sr-Latn-ME"/>
        </w:rPr>
      </w:pPr>
    </w:p>
    <w:p w14:paraId="6FA33E42" w14:textId="77777777" w:rsidR="002846DB"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6.6. </w:t>
      </w:r>
      <w:r w:rsidR="00480FB1" w:rsidRPr="00461F66">
        <w:rPr>
          <w:b/>
          <w:bCs/>
          <w:sz w:val="22"/>
          <w:szCs w:val="22"/>
          <w:lang w:val="sr-Latn-ME"/>
        </w:rPr>
        <w:tab/>
      </w:r>
      <w:r w:rsidRPr="00461F66">
        <w:rPr>
          <w:b/>
          <w:bCs/>
          <w:color w:val="000000"/>
          <w:sz w:val="22"/>
          <w:szCs w:val="22"/>
          <w:lang w:val="sr-Latn-ME"/>
        </w:rPr>
        <w:t>Posebne mjere opreza pri odlaganju materijala koji treba odbaciti nakon primjene lijeka</w:t>
      </w:r>
      <w:r w:rsidRPr="00461F66">
        <w:rPr>
          <w:b/>
          <w:bCs/>
          <w:sz w:val="22"/>
          <w:szCs w:val="22"/>
          <w:lang w:val="sr-Latn-ME"/>
        </w:rPr>
        <w:t xml:space="preserve"> </w:t>
      </w:r>
      <w:r w:rsidR="00310F03" w:rsidRPr="00461F66">
        <w:rPr>
          <w:b/>
          <w:bCs/>
          <w:sz w:val="22"/>
          <w:szCs w:val="22"/>
          <w:lang w:val="sr-Latn-ME"/>
        </w:rPr>
        <w:t>(i druga uputs</w:t>
      </w:r>
      <w:r w:rsidR="004109FA" w:rsidRPr="00461F66">
        <w:rPr>
          <w:b/>
          <w:bCs/>
          <w:sz w:val="22"/>
          <w:szCs w:val="22"/>
          <w:lang w:val="sr-Latn-ME"/>
        </w:rPr>
        <w:t>t</w:t>
      </w:r>
      <w:r w:rsidR="00310F03" w:rsidRPr="00461F66">
        <w:rPr>
          <w:b/>
          <w:bCs/>
          <w:sz w:val="22"/>
          <w:szCs w:val="22"/>
          <w:lang w:val="sr-Latn-ME"/>
        </w:rPr>
        <w:t xml:space="preserve">va za rukovanje lijekom) </w:t>
      </w:r>
    </w:p>
    <w:p w14:paraId="64984CE1" w14:textId="77777777" w:rsidR="00B66A70" w:rsidRPr="00461F66" w:rsidRDefault="00B66A70" w:rsidP="00CC415C">
      <w:pPr>
        <w:tabs>
          <w:tab w:val="left" w:pos="540"/>
          <w:tab w:val="left" w:pos="569"/>
        </w:tabs>
        <w:jc w:val="both"/>
        <w:rPr>
          <w:b/>
          <w:bCs/>
          <w:sz w:val="22"/>
          <w:szCs w:val="22"/>
          <w:lang w:val="sr-Latn-ME"/>
        </w:rPr>
      </w:pPr>
    </w:p>
    <w:p w14:paraId="0B08A593" w14:textId="47966F12" w:rsidR="008A459B" w:rsidRPr="00461F66" w:rsidRDefault="008A459B" w:rsidP="00CC415C">
      <w:pPr>
        <w:autoSpaceDE w:val="0"/>
        <w:autoSpaceDN w:val="0"/>
        <w:adjustRightInd w:val="0"/>
        <w:jc w:val="both"/>
        <w:rPr>
          <w:sz w:val="22"/>
          <w:szCs w:val="22"/>
          <w:lang w:val="sr-Latn-ME" w:eastAsia="sr-Latn-ME"/>
        </w:rPr>
      </w:pPr>
      <w:r w:rsidRPr="00461F66">
        <w:rPr>
          <w:sz w:val="22"/>
          <w:szCs w:val="22"/>
          <w:lang w:val="sr-Latn-ME" w:eastAsia="sr-Latn-ME"/>
        </w:rPr>
        <w:t xml:space="preserve">Ljekove za parenteralnu primjenu treba prije upotrebe vizuelno pregledati, kako bi se provjerilo da ne sadrže čestice i da </w:t>
      </w:r>
      <w:r w:rsidR="00062C93" w:rsidRPr="00461F66">
        <w:rPr>
          <w:sz w:val="22"/>
          <w:szCs w:val="22"/>
          <w:lang w:val="sr-Latn-ME" w:eastAsia="sr-Latn-ME"/>
        </w:rPr>
        <w:t>nisu</w:t>
      </w:r>
      <w:r w:rsidRPr="00461F66">
        <w:rPr>
          <w:sz w:val="22"/>
          <w:szCs w:val="22"/>
          <w:lang w:val="sr-Latn-ME" w:eastAsia="sr-Latn-ME"/>
        </w:rPr>
        <w:t xml:space="preserve"> prom</w:t>
      </w:r>
      <w:r w:rsidR="003C3A8F" w:rsidRPr="00461F66">
        <w:rPr>
          <w:sz w:val="22"/>
          <w:szCs w:val="22"/>
          <w:lang w:val="sr-Latn-ME" w:eastAsia="sr-Latn-ME"/>
        </w:rPr>
        <w:t>i</w:t>
      </w:r>
      <w:r w:rsidRPr="00461F66">
        <w:rPr>
          <w:sz w:val="22"/>
          <w:szCs w:val="22"/>
          <w:lang w:val="sr-Latn-ME" w:eastAsia="sr-Latn-ME"/>
        </w:rPr>
        <w:t>jenili boju. Rastvor je bistar i bezbojan.</w:t>
      </w:r>
    </w:p>
    <w:p w14:paraId="65C4A4D5" w14:textId="77777777" w:rsidR="008A459B" w:rsidRPr="00461F66" w:rsidRDefault="008A459B" w:rsidP="00CC415C">
      <w:pPr>
        <w:autoSpaceDE w:val="0"/>
        <w:autoSpaceDN w:val="0"/>
        <w:adjustRightInd w:val="0"/>
        <w:jc w:val="both"/>
        <w:rPr>
          <w:sz w:val="22"/>
          <w:szCs w:val="22"/>
          <w:lang w:val="sr-Latn-ME" w:eastAsia="sr-Latn-ME"/>
        </w:rPr>
      </w:pPr>
    </w:p>
    <w:p w14:paraId="43F47491" w14:textId="77777777" w:rsidR="008A459B" w:rsidRPr="00461F66" w:rsidRDefault="008A459B" w:rsidP="00CC415C">
      <w:pPr>
        <w:autoSpaceDE w:val="0"/>
        <w:autoSpaceDN w:val="0"/>
        <w:adjustRightInd w:val="0"/>
        <w:jc w:val="both"/>
        <w:rPr>
          <w:sz w:val="22"/>
          <w:szCs w:val="22"/>
          <w:lang w:val="sr-Latn-ME" w:eastAsia="sr-Latn-ME"/>
        </w:rPr>
      </w:pPr>
      <w:r w:rsidRPr="00461F66">
        <w:rPr>
          <w:sz w:val="22"/>
          <w:szCs w:val="22"/>
          <w:lang w:val="sr-Latn-ME" w:eastAsia="sr-Latn-ME"/>
        </w:rPr>
        <w:t>Samo za jednokratnu upotrebu. Neupotrijebljeni rastvor treba odbaciti.</w:t>
      </w:r>
    </w:p>
    <w:p w14:paraId="1428BBD1" w14:textId="77777777" w:rsidR="008A459B" w:rsidRPr="00461F66" w:rsidRDefault="008A459B" w:rsidP="00CC415C">
      <w:pPr>
        <w:autoSpaceDE w:val="0"/>
        <w:autoSpaceDN w:val="0"/>
        <w:adjustRightInd w:val="0"/>
        <w:jc w:val="both"/>
        <w:rPr>
          <w:sz w:val="22"/>
          <w:szCs w:val="22"/>
          <w:lang w:val="sr-Latn-ME" w:eastAsia="sr-Latn-ME"/>
        </w:rPr>
      </w:pPr>
    </w:p>
    <w:p w14:paraId="4AAA86F8" w14:textId="125723F9" w:rsidR="008A459B" w:rsidRPr="00461F66" w:rsidRDefault="008A459B" w:rsidP="00CC415C">
      <w:pPr>
        <w:tabs>
          <w:tab w:val="left" w:pos="540"/>
          <w:tab w:val="left" w:pos="569"/>
        </w:tabs>
        <w:jc w:val="both"/>
        <w:rPr>
          <w:b/>
          <w:bCs/>
          <w:sz w:val="22"/>
          <w:szCs w:val="22"/>
          <w:lang w:val="sr-Latn-ME"/>
        </w:rPr>
      </w:pPr>
      <w:r w:rsidRPr="00461F66">
        <w:rPr>
          <w:sz w:val="22"/>
          <w:szCs w:val="22"/>
          <w:lang w:val="sr-Latn-ME" w:eastAsia="sr-Latn-ME"/>
        </w:rPr>
        <w:t>Svu neiskorišćenu količinu l</w:t>
      </w:r>
      <w:r w:rsidR="00062C93" w:rsidRPr="00461F66">
        <w:rPr>
          <w:sz w:val="22"/>
          <w:szCs w:val="22"/>
          <w:lang w:val="sr-Latn-ME" w:eastAsia="sr-Latn-ME"/>
        </w:rPr>
        <w:t>ij</w:t>
      </w:r>
      <w:r w:rsidRPr="00461F66">
        <w:rPr>
          <w:sz w:val="22"/>
          <w:szCs w:val="22"/>
          <w:lang w:val="sr-Latn-ME" w:eastAsia="sr-Latn-ME"/>
        </w:rPr>
        <w:t>eka ili otpadnog materijala nakon njegove upotrebe treba ukloniti, u skladu sa važećim propisima.</w:t>
      </w:r>
    </w:p>
    <w:p w14:paraId="41CA4AF3" w14:textId="77777777" w:rsidR="0072020E" w:rsidRPr="00461F66" w:rsidRDefault="0072020E" w:rsidP="00CC415C">
      <w:pPr>
        <w:tabs>
          <w:tab w:val="left" w:pos="540"/>
          <w:tab w:val="left" w:pos="569"/>
        </w:tabs>
        <w:jc w:val="both"/>
        <w:rPr>
          <w:bCs/>
          <w:sz w:val="22"/>
          <w:szCs w:val="22"/>
          <w:lang w:val="sr-Latn-ME"/>
        </w:rPr>
      </w:pPr>
    </w:p>
    <w:p w14:paraId="08AA25BF" w14:textId="77777777" w:rsidR="00F8570A"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7. </w:t>
      </w:r>
      <w:r w:rsidR="00480FB1" w:rsidRPr="00461F66">
        <w:rPr>
          <w:b/>
          <w:bCs/>
          <w:sz w:val="22"/>
          <w:szCs w:val="22"/>
          <w:lang w:val="sr-Latn-ME"/>
        </w:rPr>
        <w:tab/>
      </w:r>
      <w:r w:rsidRPr="00461F66">
        <w:rPr>
          <w:b/>
          <w:bCs/>
          <w:sz w:val="22"/>
          <w:szCs w:val="22"/>
          <w:lang w:val="sr-Latn-ME"/>
        </w:rPr>
        <w:t>NOSILAC DOZVOLE</w:t>
      </w:r>
      <w:r w:rsidR="00483928" w:rsidRPr="00461F66">
        <w:rPr>
          <w:b/>
          <w:bCs/>
          <w:sz w:val="22"/>
          <w:szCs w:val="22"/>
          <w:lang w:val="sr-Latn-ME"/>
        </w:rPr>
        <w:t xml:space="preserve"> </w:t>
      </w:r>
    </w:p>
    <w:p w14:paraId="0276BF39" w14:textId="77777777" w:rsidR="00C61BE0" w:rsidRPr="00461F66" w:rsidRDefault="00C61BE0" w:rsidP="00CC415C">
      <w:pPr>
        <w:tabs>
          <w:tab w:val="left" w:pos="540"/>
          <w:tab w:val="left" w:pos="569"/>
        </w:tabs>
        <w:jc w:val="both"/>
        <w:rPr>
          <w:bCs/>
          <w:sz w:val="22"/>
          <w:szCs w:val="22"/>
          <w:lang w:val="sr-Latn-ME"/>
        </w:rPr>
      </w:pPr>
    </w:p>
    <w:p w14:paraId="75D3AAAE" w14:textId="77777777" w:rsidR="00A87BCC" w:rsidRDefault="008A459B" w:rsidP="00CC415C">
      <w:pPr>
        <w:tabs>
          <w:tab w:val="left" w:pos="540"/>
          <w:tab w:val="left" w:pos="569"/>
        </w:tabs>
        <w:jc w:val="both"/>
        <w:rPr>
          <w:bCs/>
          <w:sz w:val="22"/>
          <w:szCs w:val="22"/>
          <w:lang w:val="sr-Latn-ME"/>
        </w:rPr>
      </w:pPr>
      <w:r w:rsidRPr="00461F66">
        <w:rPr>
          <w:bCs/>
          <w:sz w:val="22"/>
          <w:szCs w:val="22"/>
          <w:lang w:val="sr-Latn-ME"/>
        </w:rPr>
        <w:t xml:space="preserve">Farmont M.P. </w:t>
      </w:r>
    </w:p>
    <w:p w14:paraId="20928EFA" w14:textId="5B15CD92" w:rsidR="00C37FD7" w:rsidRPr="00461F66" w:rsidRDefault="008A459B" w:rsidP="00CC415C">
      <w:pPr>
        <w:tabs>
          <w:tab w:val="left" w:pos="540"/>
          <w:tab w:val="left" w:pos="569"/>
        </w:tabs>
        <w:jc w:val="both"/>
        <w:rPr>
          <w:bCs/>
          <w:sz w:val="22"/>
          <w:szCs w:val="22"/>
          <w:lang w:val="sr-Latn-ME"/>
        </w:rPr>
      </w:pPr>
      <w:r w:rsidRPr="00461F66">
        <w:rPr>
          <w:bCs/>
          <w:sz w:val="22"/>
          <w:szCs w:val="22"/>
          <w:lang w:val="sr-Latn-ME"/>
        </w:rPr>
        <w:t>Kosić</w:t>
      </w:r>
      <w:r w:rsidR="00A87BCC">
        <w:rPr>
          <w:bCs/>
          <w:sz w:val="22"/>
          <w:szCs w:val="22"/>
          <w:lang w:val="sr-Latn-ME"/>
        </w:rPr>
        <w:t xml:space="preserve"> -</w:t>
      </w:r>
      <w:r w:rsidRPr="00461F66">
        <w:rPr>
          <w:bCs/>
          <w:sz w:val="22"/>
          <w:szCs w:val="22"/>
          <w:lang w:val="sr-Latn-ME"/>
        </w:rPr>
        <w:t xml:space="preserve"> Stari put bb, Danilovgrad</w:t>
      </w:r>
    </w:p>
    <w:p w14:paraId="180E6304" w14:textId="6309E486" w:rsidR="008A459B" w:rsidRDefault="008A459B" w:rsidP="00CC415C">
      <w:pPr>
        <w:tabs>
          <w:tab w:val="left" w:pos="540"/>
          <w:tab w:val="left" w:pos="569"/>
        </w:tabs>
        <w:jc w:val="both"/>
        <w:rPr>
          <w:bCs/>
          <w:sz w:val="22"/>
          <w:szCs w:val="22"/>
          <w:lang w:val="sr-Latn-ME"/>
        </w:rPr>
      </w:pPr>
    </w:p>
    <w:p w14:paraId="0D90D4A8" w14:textId="77777777" w:rsidR="00412EB4" w:rsidRPr="00461F66" w:rsidRDefault="00412EB4" w:rsidP="00CC415C">
      <w:pPr>
        <w:tabs>
          <w:tab w:val="left" w:pos="540"/>
          <w:tab w:val="left" w:pos="569"/>
        </w:tabs>
        <w:jc w:val="both"/>
        <w:rPr>
          <w:bCs/>
          <w:sz w:val="22"/>
          <w:szCs w:val="22"/>
          <w:lang w:val="sr-Latn-ME"/>
        </w:rPr>
      </w:pPr>
    </w:p>
    <w:p w14:paraId="3183D92D"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8. </w:t>
      </w:r>
      <w:r w:rsidR="00480FB1" w:rsidRPr="00461F66">
        <w:rPr>
          <w:b/>
          <w:bCs/>
          <w:sz w:val="22"/>
          <w:szCs w:val="22"/>
          <w:lang w:val="sr-Latn-ME"/>
        </w:rPr>
        <w:tab/>
      </w:r>
      <w:r w:rsidRPr="00461F66">
        <w:rPr>
          <w:b/>
          <w:bCs/>
          <w:sz w:val="22"/>
          <w:szCs w:val="22"/>
          <w:lang w:val="sr-Latn-ME"/>
        </w:rPr>
        <w:t>BROJ DOZVOLE</w:t>
      </w:r>
      <w:r w:rsidR="008A6D43" w:rsidRPr="00461F66">
        <w:rPr>
          <w:b/>
          <w:bCs/>
          <w:sz w:val="22"/>
          <w:szCs w:val="22"/>
          <w:lang w:val="sr-Latn-ME"/>
        </w:rPr>
        <w:t xml:space="preserve"> ZA STAVLJANJE LIJEKA U PROMET</w:t>
      </w:r>
    </w:p>
    <w:p w14:paraId="0576A77C" w14:textId="77777777" w:rsidR="006A656F" w:rsidRDefault="006A656F" w:rsidP="00CC415C">
      <w:pPr>
        <w:tabs>
          <w:tab w:val="left" w:pos="540"/>
          <w:tab w:val="left" w:pos="569"/>
        </w:tabs>
        <w:jc w:val="both"/>
        <w:rPr>
          <w:bCs/>
          <w:sz w:val="22"/>
          <w:szCs w:val="22"/>
          <w:lang w:val="sr-Latn-ME"/>
        </w:rPr>
      </w:pPr>
      <w:bookmarkStart w:id="0" w:name="_GoBack"/>
      <w:bookmarkEnd w:id="0"/>
    </w:p>
    <w:p w14:paraId="2A2F615A" w14:textId="7D56C954" w:rsidR="0072020E" w:rsidRPr="00461F66" w:rsidRDefault="00771589" w:rsidP="00CC415C">
      <w:pPr>
        <w:tabs>
          <w:tab w:val="left" w:pos="540"/>
          <w:tab w:val="left" w:pos="569"/>
        </w:tabs>
        <w:jc w:val="both"/>
        <w:rPr>
          <w:bCs/>
          <w:sz w:val="22"/>
          <w:szCs w:val="22"/>
          <w:lang w:val="sr-Latn-ME"/>
        </w:rPr>
      </w:pPr>
      <w:r w:rsidRPr="00771589">
        <w:rPr>
          <w:bCs/>
          <w:sz w:val="22"/>
          <w:szCs w:val="22"/>
          <w:lang w:val="sr-Latn-ME"/>
        </w:rPr>
        <w:t>2030/23/4405 - 5505</w:t>
      </w:r>
    </w:p>
    <w:p w14:paraId="76B6708A" w14:textId="204D9D69" w:rsidR="00F45F77" w:rsidRDefault="00F45F77" w:rsidP="00CC415C">
      <w:pPr>
        <w:tabs>
          <w:tab w:val="left" w:pos="540"/>
          <w:tab w:val="left" w:pos="569"/>
        </w:tabs>
        <w:jc w:val="both"/>
        <w:rPr>
          <w:bCs/>
          <w:sz w:val="22"/>
          <w:szCs w:val="22"/>
          <w:lang w:val="sr-Latn-ME"/>
        </w:rPr>
      </w:pPr>
    </w:p>
    <w:p w14:paraId="5C9C9158" w14:textId="77777777" w:rsidR="00412EB4" w:rsidRPr="00461F66" w:rsidRDefault="00412EB4" w:rsidP="00CC415C">
      <w:pPr>
        <w:tabs>
          <w:tab w:val="left" w:pos="540"/>
          <w:tab w:val="left" w:pos="569"/>
        </w:tabs>
        <w:jc w:val="both"/>
        <w:rPr>
          <w:bCs/>
          <w:sz w:val="22"/>
          <w:szCs w:val="22"/>
          <w:lang w:val="sr-Latn-ME"/>
        </w:rPr>
      </w:pPr>
    </w:p>
    <w:p w14:paraId="50085CD6" w14:textId="77777777" w:rsidR="0072020E" w:rsidRPr="00461F66" w:rsidRDefault="0072020E" w:rsidP="00CC415C">
      <w:pPr>
        <w:tabs>
          <w:tab w:val="left" w:pos="540"/>
          <w:tab w:val="left" w:pos="569"/>
        </w:tabs>
        <w:jc w:val="both"/>
        <w:rPr>
          <w:b/>
          <w:bCs/>
          <w:sz w:val="22"/>
          <w:szCs w:val="22"/>
          <w:lang w:val="sr-Latn-ME"/>
        </w:rPr>
      </w:pPr>
      <w:r w:rsidRPr="00461F66">
        <w:rPr>
          <w:b/>
          <w:bCs/>
          <w:sz w:val="22"/>
          <w:szCs w:val="22"/>
          <w:lang w:val="sr-Latn-ME"/>
        </w:rPr>
        <w:t xml:space="preserve">9. </w:t>
      </w:r>
      <w:r w:rsidR="00480FB1" w:rsidRPr="00461F66">
        <w:rPr>
          <w:b/>
          <w:bCs/>
          <w:sz w:val="22"/>
          <w:szCs w:val="22"/>
          <w:lang w:val="sr-Latn-ME"/>
        </w:rPr>
        <w:tab/>
      </w:r>
      <w:r w:rsidRPr="00461F66">
        <w:rPr>
          <w:b/>
          <w:bCs/>
          <w:sz w:val="22"/>
          <w:szCs w:val="22"/>
          <w:lang w:val="sr-Latn-ME"/>
        </w:rPr>
        <w:t xml:space="preserve">DATUM </w:t>
      </w:r>
      <w:r w:rsidR="00C05DF8" w:rsidRPr="00461F66">
        <w:rPr>
          <w:b/>
          <w:bCs/>
          <w:sz w:val="22"/>
          <w:szCs w:val="22"/>
          <w:lang w:val="sr-Latn-ME"/>
        </w:rPr>
        <w:t xml:space="preserve">PRVE </w:t>
      </w:r>
      <w:r w:rsidR="008A6D43" w:rsidRPr="00461F66">
        <w:rPr>
          <w:b/>
          <w:bCs/>
          <w:sz w:val="22"/>
          <w:szCs w:val="22"/>
          <w:lang w:val="sr-Latn-ME"/>
        </w:rPr>
        <w:t>DOZVOLE</w:t>
      </w:r>
      <w:r w:rsidR="00C05DF8" w:rsidRPr="00461F66">
        <w:rPr>
          <w:b/>
          <w:bCs/>
          <w:sz w:val="22"/>
          <w:szCs w:val="22"/>
          <w:lang w:val="sr-Latn-ME"/>
        </w:rPr>
        <w:t>/OBNOVE DOZVOLE</w:t>
      </w:r>
      <w:r w:rsidR="008A6D43" w:rsidRPr="00461F66">
        <w:rPr>
          <w:b/>
          <w:bCs/>
          <w:sz w:val="22"/>
          <w:szCs w:val="22"/>
          <w:lang w:val="sr-Latn-ME"/>
        </w:rPr>
        <w:t xml:space="preserve"> ZA STAVLJANJE LIJEKA U PROMET</w:t>
      </w:r>
    </w:p>
    <w:p w14:paraId="507C7A32" w14:textId="77777777" w:rsidR="006A656F" w:rsidRDefault="006A656F" w:rsidP="00CC415C">
      <w:pPr>
        <w:tabs>
          <w:tab w:val="left" w:pos="540"/>
          <w:tab w:val="left" w:pos="569"/>
        </w:tabs>
        <w:jc w:val="both"/>
        <w:rPr>
          <w:rFonts w:ascii="TimesNewRoman" w:hAnsi="TimesNewRoman" w:cs="TimesNewRoman"/>
          <w:sz w:val="22"/>
          <w:szCs w:val="22"/>
          <w:lang w:eastAsia="sr-Latn-ME"/>
        </w:rPr>
      </w:pPr>
    </w:p>
    <w:p w14:paraId="6BDE5D93" w14:textId="5E5A7D0E" w:rsidR="0072020E" w:rsidRPr="00412EB4" w:rsidRDefault="00771589" w:rsidP="00CC415C">
      <w:pPr>
        <w:tabs>
          <w:tab w:val="left" w:pos="540"/>
          <w:tab w:val="left" w:pos="569"/>
        </w:tabs>
        <w:jc w:val="both"/>
        <w:rPr>
          <w:bCs/>
          <w:sz w:val="22"/>
          <w:szCs w:val="22"/>
          <w:lang w:val="sr-Latn-ME"/>
        </w:rPr>
      </w:pPr>
      <w:r w:rsidRPr="00412EB4">
        <w:rPr>
          <w:rFonts w:ascii="TimesNewRoman" w:hAnsi="TimesNewRoman" w:cs="TimesNewRoman"/>
          <w:sz w:val="22"/>
          <w:szCs w:val="22"/>
          <w:lang w:val="sr-Latn-ME" w:eastAsia="sr-Latn-ME"/>
        </w:rPr>
        <w:t>30.11.2023. godine</w:t>
      </w:r>
    </w:p>
    <w:p w14:paraId="4CB8B674" w14:textId="28D47493" w:rsidR="00836B35" w:rsidRPr="00412EB4" w:rsidRDefault="00836B35" w:rsidP="00CC415C">
      <w:pPr>
        <w:tabs>
          <w:tab w:val="left" w:pos="540"/>
          <w:tab w:val="left" w:pos="569"/>
        </w:tabs>
        <w:jc w:val="both"/>
        <w:rPr>
          <w:bCs/>
          <w:sz w:val="22"/>
          <w:szCs w:val="22"/>
          <w:lang w:val="sr-Latn-ME"/>
        </w:rPr>
      </w:pPr>
    </w:p>
    <w:p w14:paraId="7988F667" w14:textId="77777777" w:rsidR="00412EB4" w:rsidRPr="00412EB4" w:rsidRDefault="00412EB4" w:rsidP="00CC415C">
      <w:pPr>
        <w:tabs>
          <w:tab w:val="left" w:pos="540"/>
          <w:tab w:val="left" w:pos="569"/>
        </w:tabs>
        <w:jc w:val="both"/>
        <w:rPr>
          <w:bCs/>
          <w:sz w:val="22"/>
          <w:szCs w:val="22"/>
          <w:lang w:val="sr-Latn-ME"/>
        </w:rPr>
      </w:pPr>
    </w:p>
    <w:p w14:paraId="599F2979" w14:textId="34D77FBA" w:rsidR="003F6A59" w:rsidRPr="00412EB4" w:rsidRDefault="0072020E" w:rsidP="00CC415C">
      <w:pPr>
        <w:tabs>
          <w:tab w:val="left" w:pos="540"/>
          <w:tab w:val="left" w:pos="569"/>
        </w:tabs>
        <w:ind w:left="540" w:hanging="540"/>
        <w:jc w:val="both"/>
        <w:rPr>
          <w:bCs/>
          <w:sz w:val="22"/>
          <w:szCs w:val="22"/>
          <w:lang w:val="sr-Latn-ME"/>
        </w:rPr>
      </w:pPr>
      <w:r w:rsidRPr="00412EB4">
        <w:rPr>
          <w:b/>
          <w:bCs/>
          <w:sz w:val="22"/>
          <w:szCs w:val="22"/>
          <w:lang w:val="sr-Latn-ME"/>
        </w:rPr>
        <w:t xml:space="preserve">10. </w:t>
      </w:r>
      <w:r w:rsidR="00480FB1" w:rsidRPr="00412EB4">
        <w:rPr>
          <w:b/>
          <w:bCs/>
          <w:sz w:val="22"/>
          <w:szCs w:val="22"/>
          <w:lang w:val="sr-Latn-ME"/>
        </w:rPr>
        <w:tab/>
      </w:r>
      <w:r w:rsidR="002846DB" w:rsidRPr="00412EB4">
        <w:rPr>
          <w:b/>
          <w:bCs/>
          <w:sz w:val="22"/>
          <w:szCs w:val="22"/>
          <w:lang w:val="sr-Latn-ME"/>
        </w:rPr>
        <w:t>D</w:t>
      </w:r>
      <w:r w:rsidR="00EC2532" w:rsidRPr="00412EB4">
        <w:rPr>
          <w:b/>
          <w:bCs/>
          <w:sz w:val="22"/>
          <w:szCs w:val="22"/>
          <w:lang w:val="sr-Latn-ME"/>
        </w:rPr>
        <w:t xml:space="preserve">ATUM REVIZIJE TEKSTA </w:t>
      </w:r>
    </w:p>
    <w:p w14:paraId="0F1FFBDD" w14:textId="77777777" w:rsidR="006A656F" w:rsidRPr="00412EB4" w:rsidRDefault="006A656F" w:rsidP="00CC415C">
      <w:pPr>
        <w:tabs>
          <w:tab w:val="left" w:pos="540"/>
          <w:tab w:val="left" w:pos="569"/>
        </w:tabs>
        <w:jc w:val="both"/>
        <w:rPr>
          <w:rFonts w:ascii="TimesNewRoman" w:hAnsi="TimesNewRoman" w:cs="TimesNewRoman"/>
          <w:sz w:val="22"/>
          <w:szCs w:val="22"/>
          <w:lang w:val="sr-Latn-ME" w:eastAsia="sr-Latn-ME"/>
        </w:rPr>
      </w:pPr>
    </w:p>
    <w:p w14:paraId="4A06E3A5" w14:textId="677BB01B" w:rsidR="008A6D43" w:rsidRPr="00412EB4" w:rsidRDefault="00771589" w:rsidP="00CC415C">
      <w:pPr>
        <w:tabs>
          <w:tab w:val="left" w:pos="540"/>
          <w:tab w:val="left" w:pos="569"/>
        </w:tabs>
        <w:jc w:val="both"/>
        <w:rPr>
          <w:bCs/>
          <w:sz w:val="22"/>
          <w:szCs w:val="22"/>
          <w:lang w:val="sr-Latn-ME"/>
        </w:rPr>
      </w:pPr>
      <w:r w:rsidRPr="00412EB4">
        <w:rPr>
          <w:rFonts w:ascii="TimesNewRoman" w:hAnsi="TimesNewRoman" w:cs="TimesNewRoman"/>
          <w:sz w:val="22"/>
          <w:szCs w:val="22"/>
          <w:lang w:val="sr-Latn-ME" w:eastAsia="sr-Latn-ME"/>
        </w:rPr>
        <w:t xml:space="preserve">Novembar, </w:t>
      </w:r>
      <w:r w:rsidRPr="00412EB4">
        <w:rPr>
          <w:rFonts w:ascii="TimesNewRoman" w:hAnsi="TimesNewRoman" w:cs="TimesNewRoman"/>
          <w:sz w:val="22"/>
          <w:szCs w:val="22"/>
          <w:lang w:val="sr-Latn-ME" w:eastAsia="sr-Latn-ME"/>
        </w:rPr>
        <w:t>2023. godine</w:t>
      </w:r>
    </w:p>
    <w:sectPr w:rsidR="008A6D43" w:rsidRPr="00412EB4" w:rsidSect="00DC0AEE">
      <w:footerReference w:type="default" r:id="rId12"/>
      <w:pgSz w:w="11909" w:h="16834" w:code="9"/>
      <w:pgMar w:top="1138" w:right="1411" w:bottom="1138" w:left="1411"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E809A" w14:textId="77777777" w:rsidR="007B50F5" w:rsidRDefault="007B50F5">
      <w:r>
        <w:separator/>
      </w:r>
    </w:p>
  </w:endnote>
  <w:endnote w:type="continuationSeparator" w:id="0">
    <w:p w14:paraId="77C2D459" w14:textId="77777777" w:rsidR="007B50F5" w:rsidRDefault="007B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0F22" w14:textId="18A328F8"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12EB4">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12EB4">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3E8B6" w14:textId="77777777" w:rsidR="007B50F5" w:rsidRDefault="007B50F5">
      <w:r>
        <w:separator/>
      </w:r>
    </w:p>
  </w:footnote>
  <w:footnote w:type="continuationSeparator" w:id="0">
    <w:p w14:paraId="0D087EB6" w14:textId="77777777" w:rsidR="007B50F5" w:rsidRDefault="007B5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776033"/>
    <w:multiLevelType w:val="hybridMultilevel"/>
    <w:tmpl w:val="9A789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s-ES" w:vendorID="64" w:dllVersion="6" w:nlCheck="1" w:checkStyle="0"/>
  <w:activeWritingStyle w:appName="MSWord" w:lang="en-US" w:vendorID="64" w:dllVersion="6"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3B3"/>
    <w:rsid w:val="000176CA"/>
    <w:rsid w:val="00033469"/>
    <w:rsid w:val="00036FA0"/>
    <w:rsid w:val="0003793F"/>
    <w:rsid w:val="00045130"/>
    <w:rsid w:val="000462A0"/>
    <w:rsid w:val="00057E35"/>
    <w:rsid w:val="00062C93"/>
    <w:rsid w:val="00066EFF"/>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D458D"/>
    <w:rsid w:val="001E390B"/>
    <w:rsid w:val="001F42FB"/>
    <w:rsid w:val="001F719A"/>
    <w:rsid w:val="002031B3"/>
    <w:rsid w:val="00215931"/>
    <w:rsid w:val="00222E9B"/>
    <w:rsid w:val="00224C91"/>
    <w:rsid w:val="00227BDB"/>
    <w:rsid w:val="00234CB1"/>
    <w:rsid w:val="002352F8"/>
    <w:rsid w:val="002510A5"/>
    <w:rsid w:val="00254A0A"/>
    <w:rsid w:val="00266046"/>
    <w:rsid w:val="002846DB"/>
    <w:rsid w:val="00284CCD"/>
    <w:rsid w:val="002C6637"/>
    <w:rsid w:val="002E0135"/>
    <w:rsid w:val="002E37A5"/>
    <w:rsid w:val="00310F03"/>
    <w:rsid w:val="003247D2"/>
    <w:rsid w:val="003445C1"/>
    <w:rsid w:val="00355B61"/>
    <w:rsid w:val="00362686"/>
    <w:rsid w:val="003701A3"/>
    <w:rsid w:val="00371510"/>
    <w:rsid w:val="0039071D"/>
    <w:rsid w:val="00394CC0"/>
    <w:rsid w:val="00396DFD"/>
    <w:rsid w:val="003A7059"/>
    <w:rsid w:val="003B7A36"/>
    <w:rsid w:val="003C17AB"/>
    <w:rsid w:val="003C3A8F"/>
    <w:rsid w:val="003C7823"/>
    <w:rsid w:val="003E1DCC"/>
    <w:rsid w:val="003F11A1"/>
    <w:rsid w:val="003F6A59"/>
    <w:rsid w:val="004065C8"/>
    <w:rsid w:val="004109FA"/>
    <w:rsid w:val="00411B4B"/>
    <w:rsid w:val="00412EB4"/>
    <w:rsid w:val="00415BEE"/>
    <w:rsid w:val="004254E9"/>
    <w:rsid w:val="00427F85"/>
    <w:rsid w:val="00436F42"/>
    <w:rsid w:val="004378B4"/>
    <w:rsid w:val="00451314"/>
    <w:rsid w:val="00452E9D"/>
    <w:rsid w:val="004534C7"/>
    <w:rsid w:val="00461F66"/>
    <w:rsid w:val="004671AA"/>
    <w:rsid w:val="00471DF8"/>
    <w:rsid w:val="00480FB1"/>
    <w:rsid w:val="00483928"/>
    <w:rsid w:val="004C331F"/>
    <w:rsid w:val="004D6103"/>
    <w:rsid w:val="004E3BCE"/>
    <w:rsid w:val="004E70AD"/>
    <w:rsid w:val="004F0E97"/>
    <w:rsid w:val="004F17E2"/>
    <w:rsid w:val="00501DD1"/>
    <w:rsid w:val="005063CF"/>
    <w:rsid w:val="00515C21"/>
    <w:rsid w:val="00530BD7"/>
    <w:rsid w:val="0054123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1339D"/>
    <w:rsid w:val="0062623B"/>
    <w:rsid w:val="00644FC3"/>
    <w:rsid w:val="00646BD1"/>
    <w:rsid w:val="006561C2"/>
    <w:rsid w:val="00671CB3"/>
    <w:rsid w:val="00674BAF"/>
    <w:rsid w:val="00682200"/>
    <w:rsid w:val="00692BF6"/>
    <w:rsid w:val="006A05A9"/>
    <w:rsid w:val="006A1351"/>
    <w:rsid w:val="006A1497"/>
    <w:rsid w:val="006A656F"/>
    <w:rsid w:val="006B0BD1"/>
    <w:rsid w:val="006B5404"/>
    <w:rsid w:val="006C4417"/>
    <w:rsid w:val="006D20A5"/>
    <w:rsid w:val="006D37BF"/>
    <w:rsid w:val="006F4E43"/>
    <w:rsid w:val="00702E22"/>
    <w:rsid w:val="0072020E"/>
    <w:rsid w:val="00754902"/>
    <w:rsid w:val="00771589"/>
    <w:rsid w:val="00786071"/>
    <w:rsid w:val="007A3ECB"/>
    <w:rsid w:val="007B50F5"/>
    <w:rsid w:val="007D7BB3"/>
    <w:rsid w:val="007E31E9"/>
    <w:rsid w:val="007F05E3"/>
    <w:rsid w:val="00824AB9"/>
    <w:rsid w:val="00836B35"/>
    <w:rsid w:val="00843BDE"/>
    <w:rsid w:val="00864552"/>
    <w:rsid w:val="0087588C"/>
    <w:rsid w:val="0089705C"/>
    <w:rsid w:val="008A459B"/>
    <w:rsid w:val="008A5F6D"/>
    <w:rsid w:val="008A6D43"/>
    <w:rsid w:val="008B491E"/>
    <w:rsid w:val="008C1A28"/>
    <w:rsid w:val="008C2E98"/>
    <w:rsid w:val="008E49BD"/>
    <w:rsid w:val="008E53E9"/>
    <w:rsid w:val="008E5771"/>
    <w:rsid w:val="008F4ACF"/>
    <w:rsid w:val="00914265"/>
    <w:rsid w:val="00924166"/>
    <w:rsid w:val="00940B9B"/>
    <w:rsid w:val="00953573"/>
    <w:rsid w:val="0095676E"/>
    <w:rsid w:val="00956983"/>
    <w:rsid w:val="00963CF0"/>
    <w:rsid w:val="00964BB1"/>
    <w:rsid w:val="009775D9"/>
    <w:rsid w:val="00982F6E"/>
    <w:rsid w:val="009920DC"/>
    <w:rsid w:val="00997175"/>
    <w:rsid w:val="009A1847"/>
    <w:rsid w:val="009A719C"/>
    <w:rsid w:val="009B062A"/>
    <w:rsid w:val="009B5B93"/>
    <w:rsid w:val="009E087F"/>
    <w:rsid w:val="009E7C6F"/>
    <w:rsid w:val="009F1793"/>
    <w:rsid w:val="009F2D23"/>
    <w:rsid w:val="00A01D69"/>
    <w:rsid w:val="00A02335"/>
    <w:rsid w:val="00A46617"/>
    <w:rsid w:val="00A46C9A"/>
    <w:rsid w:val="00A619F3"/>
    <w:rsid w:val="00A62A73"/>
    <w:rsid w:val="00A741A3"/>
    <w:rsid w:val="00A87BCC"/>
    <w:rsid w:val="00A87FF6"/>
    <w:rsid w:val="00AA0A3B"/>
    <w:rsid w:val="00AA2763"/>
    <w:rsid w:val="00AA33B6"/>
    <w:rsid w:val="00AB50CA"/>
    <w:rsid w:val="00AB6D64"/>
    <w:rsid w:val="00AC53CE"/>
    <w:rsid w:val="00AD2193"/>
    <w:rsid w:val="00AF19F4"/>
    <w:rsid w:val="00AF2AC7"/>
    <w:rsid w:val="00AF74CE"/>
    <w:rsid w:val="00B151B4"/>
    <w:rsid w:val="00B208DB"/>
    <w:rsid w:val="00B23F69"/>
    <w:rsid w:val="00B60619"/>
    <w:rsid w:val="00B61DE8"/>
    <w:rsid w:val="00B66A70"/>
    <w:rsid w:val="00B67366"/>
    <w:rsid w:val="00B80EE1"/>
    <w:rsid w:val="00B838B8"/>
    <w:rsid w:val="00B84135"/>
    <w:rsid w:val="00B851E2"/>
    <w:rsid w:val="00BB1E4A"/>
    <w:rsid w:val="00C04D34"/>
    <w:rsid w:val="00C05DF8"/>
    <w:rsid w:val="00C06864"/>
    <w:rsid w:val="00C10F54"/>
    <w:rsid w:val="00C23D8D"/>
    <w:rsid w:val="00C3466D"/>
    <w:rsid w:val="00C37AA3"/>
    <w:rsid w:val="00C37FD7"/>
    <w:rsid w:val="00C43419"/>
    <w:rsid w:val="00C44CF3"/>
    <w:rsid w:val="00C61BE0"/>
    <w:rsid w:val="00C6707E"/>
    <w:rsid w:val="00C70B0E"/>
    <w:rsid w:val="00C773CA"/>
    <w:rsid w:val="00C83785"/>
    <w:rsid w:val="00C87FA8"/>
    <w:rsid w:val="00C94C0D"/>
    <w:rsid w:val="00CA1FEB"/>
    <w:rsid w:val="00CC415C"/>
    <w:rsid w:val="00CD4F85"/>
    <w:rsid w:val="00CD6F02"/>
    <w:rsid w:val="00CD7ACC"/>
    <w:rsid w:val="00CE246D"/>
    <w:rsid w:val="00CF07A0"/>
    <w:rsid w:val="00CF3E03"/>
    <w:rsid w:val="00D0082A"/>
    <w:rsid w:val="00D20112"/>
    <w:rsid w:val="00D21455"/>
    <w:rsid w:val="00D30EF3"/>
    <w:rsid w:val="00D47634"/>
    <w:rsid w:val="00D709B3"/>
    <w:rsid w:val="00D74CD2"/>
    <w:rsid w:val="00DA2ED6"/>
    <w:rsid w:val="00DB1D55"/>
    <w:rsid w:val="00DB76B8"/>
    <w:rsid w:val="00DC0AEE"/>
    <w:rsid w:val="00DC2EA1"/>
    <w:rsid w:val="00DD12EE"/>
    <w:rsid w:val="00DD6AAF"/>
    <w:rsid w:val="00DE3F5C"/>
    <w:rsid w:val="00DF1D20"/>
    <w:rsid w:val="00E21324"/>
    <w:rsid w:val="00E246B9"/>
    <w:rsid w:val="00E31FEA"/>
    <w:rsid w:val="00E439D9"/>
    <w:rsid w:val="00E45169"/>
    <w:rsid w:val="00E47787"/>
    <w:rsid w:val="00E51C30"/>
    <w:rsid w:val="00E64180"/>
    <w:rsid w:val="00E7235D"/>
    <w:rsid w:val="00E74AEE"/>
    <w:rsid w:val="00E75287"/>
    <w:rsid w:val="00E86878"/>
    <w:rsid w:val="00E868E5"/>
    <w:rsid w:val="00E9237A"/>
    <w:rsid w:val="00E939FA"/>
    <w:rsid w:val="00EA5765"/>
    <w:rsid w:val="00EC169F"/>
    <w:rsid w:val="00EC2532"/>
    <w:rsid w:val="00ED7299"/>
    <w:rsid w:val="00ED7812"/>
    <w:rsid w:val="00EF3B86"/>
    <w:rsid w:val="00F0379B"/>
    <w:rsid w:val="00F31740"/>
    <w:rsid w:val="00F317E9"/>
    <w:rsid w:val="00F34554"/>
    <w:rsid w:val="00F35B68"/>
    <w:rsid w:val="00F45F77"/>
    <w:rsid w:val="00F5167F"/>
    <w:rsid w:val="00F52258"/>
    <w:rsid w:val="00F8570A"/>
    <w:rsid w:val="00F91C7B"/>
    <w:rsid w:val="00F95AC7"/>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E84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B8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F6E"/>
    <w:pPr>
      <w:ind w:left="720"/>
      <w:contextualSpacing/>
    </w:pPr>
  </w:style>
  <w:style w:type="paragraph" w:styleId="Revision">
    <w:name w:val="Revision"/>
    <w:hidden/>
    <w:uiPriority w:val="99"/>
    <w:semiHidden/>
    <w:rsid w:val="0039071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B45E8-9E67-4F9C-8CDE-550B5DE7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3170</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21200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7</cp:revision>
  <cp:lastPrinted>2023-02-09T08:16:00Z</cp:lastPrinted>
  <dcterms:created xsi:type="dcterms:W3CDTF">2023-11-29T07:26:00Z</dcterms:created>
  <dcterms:modified xsi:type="dcterms:W3CDTF">2023-11-29T13:58:00Z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