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1455" w14:textId="77777777" w:rsidR="00E66349" w:rsidRPr="00AC7B39" w:rsidRDefault="00E66349" w:rsidP="00E66349">
      <w:pPr>
        <w:jc w:val="center"/>
        <w:rPr>
          <w:b/>
          <w:bCs/>
          <w:iCs/>
          <w:szCs w:val="22"/>
          <w:u w:val="single"/>
          <w:lang w:val="sr-Latn-ME"/>
        </w:rPr>
      </w:pPr>
    </w:p>
    <w:p w14:paraId="7092CA4E" w14:textId="77777777" w:rsidR="00E66349" w:rsidRPr="00AC7B39" w:rsidRDefault="00E66349" w:rsidP="00E66349">
      <w:pPr>
        <w:jc w:val="center"/>
        <w:rPr>
          <w:b/>
          <w:bCs/>
          <w:iCs/>
          <w:szCs w:val="22"/>
          <w:u w:val="single"/>
          <w:lang w:val="sr-Latn-ME"/>
        </w:rPr>
      </w:pPr>
      <w:r w:rsidRPr="00AC7B39">
        <w:rPr>
          <w:b/>
          <w:bCs/>
          <w:iCs/>
          <w:szCs w:val="22"/>
          <w:u w:val="single"/>
          <w:lang w:val="sr-Latn-ME"/>
        </w:rPr>
        <w:t>SAŽETAK KARAKTERISTIKA LIJEKA</w:t>
      </w:r>
    </w:p>
    <w:p w14:paraId="4A6812D6" w14:textId="77777777" w:rsidR="00E66349" w:rsidRPr="00AC7B39" w:rsidRDefault="00E66349" w:rsidP="00E66349">
      <w:pPr>
        <w:suppressAutoHyphens/>
        <w:jc w:val="center"/>
        <w:rPr>
          <w:b/>
          <w:bCs/>
          <w:szCs w:val="22"/>
          <w:lang w:val="sr-Latn-ME" w:eastAsia="ar-SA"/>
        </w:rPr>
      </w:pPr>
    </w:p>
    <w:p w14:paraId="15A7895D" w14:textId="77777777" w:rsidR="00E66349" w:rsidRPr="00AC7B39" w:rsidRDefault="00E66349" w:rsidP="00E66349">
      <w:pPr>
        <w:suppressAutoHyphens/>
        <w:jc w:val="center"/>
        <w:rPr>
          <w:b/>
          <w:bCs/>
          <w:szCs w:val="22"/>
          <w:lang w:val="sr-Latn-ME" w:eastAsia="ar-SA"/>
        </w:rPr>
      </w:pPr>
    </w:p>
    <w:p w14:paraId="574D84A8" w14:textId="77777777" w:rsidR="00E66349" w:rsidRPr="00AC7B39" w:rsidRDefault="00E66349" w:rsidP="00E66349">
      <w:pPr>
        <w:suppressAutoHyphens/>
        <w:jc w:val="both"/>
        <w:rPr>
          <w:b/>
          <w:bCs/>
          <w:szCs w:val="22"/>
          <w:lang w:val="sr-Latn-ME" w:eastAsia="ar-SA"/>
        </w:rPr>
      </w:pPr>
    </w:p>
    <w:p w14:paraId="53E712FF"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1.</w:t>
      </w:r>
      <w:r w:rsidRPr="00AC7B39">
        <w:rPr>
          <w:b/>
          <w:bCs/>
          <w:szCs w:val="22"/>
          <w:lang w:val="sr-Latn-ME" w:eastAsia="ar-SA"/>
        </w:rPr>
        <w:tab/>
        <w:t>NAZIV LIJEKA</w:t>
      </w:r>
    </w:p>
    <w:p w14:paraId="62D0A50A" w14:textId="77777777" w:rsidR="00E66349" w:rsidRPr="00AC7B39" w:rsidRDefault="00E66349" w:rsidP="00E66349">
      <w:pPr>
        <w:suppressAutoHyphens/>
        <w:ind w:left="360"/>
        <w:jc w:val="both"/>
        <w:rPr>
          <w:szCs w:val="22"/>
          <w:lang w:val="sr-Latn-ME" w:eastAsia="ar-SA"/>
        </w:rPr>
      </w:pPr>
    </w:p>
    <w:p w14:paraId="795859C1" w14:textId="679B58B8" w:rsidR="00E66349" w:rsidRPr="00AC7B39" w:rsidRDefault="00E66349" w:rsidP="00E66349">
      <w:pPr>
        <w:tabs>
          <w:tab w:val="left" w:pos="2370"/>
        </w:tabs>
        <w:suppressAutoHyphens/>
        <w:jc w:val="both"/>
        <w:rPr>
          <w:bCs/>
          <w:szCs w:val="22"/>
          <w:lang w:val="sr-Latn-ME" w:eastAsia="ar-SA"/>
        </w:rPr>
      </w:pPr>
      <w:r w:rsidRPr="00AC7B39">
        <w:rPr>
          <w:bCs/>
          <w:szCs w:val="22"/>
          <w:lang w:val="sr-Latn-ME" w:eastAsia="ar-SA"/>
        </w:rPr>
        <w:t>Efloran, 400 mg, tableta</w:t>
      </w:r>
    </w:p>
    <w:p w14:paraId="4D783B3F" w14:textId="77777777" w:rsidR="00E66349" w:rsidRPr="00AC7B39" w:rsidRDefault="00E66349" w:rsidP="00E66349">
      <w:pPr>
        <w:tabs>
          <w:tab w:val="left" w:pos="2370"/>
        </w:tabs>
        <w:suppressAutoHyphens/>
        <w:jc w:val="both"/>
        <w:rPr>
          <w:b/>
          <w:bCs/>
          <w:szCs w:val="22"/>
          <w:lang w:val="sr-Latn-ME" w:eastAsia="ar-SA"/>
        </w:rPr>
      </w:pPr>
    </w:p>
    <w:p w14:paraId="1885BCBA" w14:textId="77777777" w:rsidR="00E66349" w:rsidRPr="00AC7B39" w:rsidRDefault="00E66349" w:rsidP="00E66349">
      <w:pPr>
        <w:suppressAutoHyphens/>
        <w:jc w:val="both"/>
        <w:rPr>
          <w:szCs w:val="22"/>
          <w:lang w:val="sr-Latn-ME" w:eastAsia="ar-SA"/>
        </w:rPr>
      </w:pPr>
      <w:r w:rsidRPr="00AC7B39">
        <w:rPr>
          <w:szCs w:val="22"/>
          <w:lang w:val="sr-Latn-ME" w:eastAsia="ar-SA"/>
        </w:rPr>
        <w:t>INN: metronidazol</w:t>
      </w:r>
    </w:p>
    <w:p w14:paraId="5DA5E111" w14:textId="77777777" w:rsidR="00E66349" w:rsidRPr="00AC7B39" w:rsidRDefault="00E66349" w:rsidP="00E66349">
      <w:pPr>
        <w:suppressAutoHyphens/>
        <w:jc w:val="both"/>
        <w:rPr>
          <w:b/>
          <w:bCs/>
          <w:szCs w:val="22"/>
          <w:lang w:val="sr-Latn-ME" w:eastAsia="ar-SA"/>
        </w:rPr>
      </w:pPr>
    </w:p>
    <w:p w14:paraId="3FB83D8A" w14:textId="77777777" w:rsidR="00E66349" w:rsidRPr="00AC7B39" w:rsidRDefault="00E66349" w:rsidP="00E66349">
      <w:pPr>
        <w:suppressAutoHyphens/>
        <w:jc w:val="both"/>
        <w:rPr>
          <w:b/>
          <w:bCs/>
          <w:szCs w:val="22"/>
          <w:lang w:val="sr-Latn-ME" w:eastAsia="ar-SA"/>
        </w:rPr>
      </w:pPr>
    </w:p>
    <w:p w14:paraId="1A1DB459"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2.</w:t>
      </w:r>
      <w:r w:rsidRPr="00AC7B39">
        <w:rPr>
          <w:b/>
          <w:bCs/>
          <w:szCs w:val="22"/>
          <w:lang w:val="sr-Latn-ME" w:eastAsia="ar-SA"/>
        </w:rPr>
        <w:tab/>
        <w:t>KVALITATIVNI I KVANTITATIVNI SASTAV</w:t>
      </w:r>
    </w:p>
    <w:p w14:paraId="009C6C50" w14:textId="77777777" w:rsidR="00E66349" w:rsidRPr="00AC7B39" w:rsidRDefault="00E66349" w:rsidP="00E66349">
      <w:pPr>
        <w:suppressAutoHyphens/>
        <w:jc w:val="both"/>
        <w:rPr>
          <w:szCs w:val="22"/>
          <w:lang w:val="sr-Latn-ME" w:eastAsia="ar-SA"/>
        </w:rPr>
      </w:pPr>
    </w:p>
    <w:p w14:paraId="0BF3F276" w14:textId="1CA11B5F" w:rsidR="00E66349" w:rsidRPr="00AC7B39" w:rsidRDefault="00E83F5D" w:rsidP="00E66349">
      <w:pPr>
        <w:suppressAutoHyphens/>
        <w:jc w:val="both"/>
        <w:rPr>
          <w:szCs w:val="22"/>
          <w:lang w:val="sr-Latn-ME" w:eastAsia="ar-SA"/>
        </w:rPr>
      </w:pPr>
      <w:r w:rsidRPr="00AC7B39">
        <w:rPr>
          <w:szCs w:val="22"/>
          <w:lang w:val="sr-Latn-ME" w:eastAsia="ar-SA"/>
        </w:rPr>
        <w:t>Svaka</w:t>
      </w:r>
      <w:r w:rsidR="00E66349" w:rsidRPr="00AC7B39">
        <w:rPr>
          <w:szCs w:val="22"/>
          <w:lang w:val="sr-Latn-ME" w:eastAsia="ar-SA"/>
        </w:rPr>
        <w:t xml:space="preserve"> tableta sadrži 400 mg metronidazola.</w:t>
      </w:r>
    </w:p>
    <w:p w14:paraId="28A95197" w14:textId="77777777" w:rsidR="00E66349" w:rsidRPr="00AC7B39" w:rsidRDefault="00E66349" w:rsidP="00E66349">
      <w:pPr>
        <w:suppressAutoHyphens/>
        <w:jc w:val="both"/>
        <w:rPr>
          <w:szCs w:val="22"/>
          <w:lang w:val="sr-Latn-ME" w:eastAsia="ar-SA"/>
        </w:rPr>
      </w:pPr>
    </w:p>
    <w:p w14:paraId="02ABE018" w14:textId="77777777" w:rsidR="00E66349" w:rsidRPr="00AC7B39" w:rsidRDefault="00E66349" w:rsidP="00E66349">
      <w:pPr>
        <w:suppressAutoHyphens/>
        <w:jc w:val="both"/>
        <w:rPr>
          <w:szCs w:val="22"/>
          <w:lang w:val="sr-Latn-ME" w:eastAsia="ar-SA"/>
        </w:rPr>
      </w:pPr>
      <w:r w:rsidRPr="00AC7B39">
        <w:rPr>
          <w:szCs w:val="22"/>
          <w:lang w:val="sr-Latn-ME" w:eastAsia="ar-SA"/>
        </w:rPr>
        <w:t>Pomoćna supstanca: laktoza (86,45 mg/tableti).</w:t>
      </w:r>
    </w:p>
    <w:p w14:paraId="16C0A677" w14:textId="77777777" w:rsidR="00E66349" w:rsidRPr="00AC7B39" w:rsidRDefault="00E66349" w:rsidP="00E66349">
      <w:pPr>
        <w:suppressAutoHyphens/>
        <w:jc w:val="both"/>
        <w:rPr>
          <w:szCs w:val="22"/>
          <w:lang w:val="sr-Latn-ME" w:eastAsia="ar-SA"/>
        </w:rPr>
      </w:pPr>
    </w:p>
    <w:p w14:paraId="77BEE5BB" w14:textId="77777777" w:rsidR="00E66349" w:rsidRPr="00AC7B39" w:rsidRDefault="00E66349" w:rsidP="00E66349">
      <w:pPr>
        <w:suppressAutoHyphens/>
        <w:jc w:val="both"/>
        <w:rPr>
          <w:szCs w:val="22"/>
          <w:lang w:val="sr-Latn-ME" w:eastAsia="ar-SA"/>
        </w:rPr>
      </w:pPr>
      <w:r w:rsidRPr="00AC7B39">
        <w:rPr>
          <w:szCs w:val="22"/>
          <w:lang w:val="sr-Latn-ME" w:eastAsia="ar-SA"/>
        </w:rPr>
        <w:t>Za spisak svih ekscipijenasa, pogledati dio 6.1.</w:t>
      </w:r>
    </w:p>
    <w:p w14:paraId="71801C7F" w14:textId="77777777" w:rsidR="00E66349" w:rsidRPr="00AC7B39" w:rsidRDefault="00E66349" w:rsidP="00E66349">
      <w:pPr>
        <w:suppressAutoHyphens/>
        <w:jc w:val="both"/>
        <w:rPr>
          <w:szCs w:val="22"/>
          <w:lang w:val="sr-Latn-ME" w:eastAsia="ar-SA"/>
        </w:rPr>
      </w:pPr>
    </w:p>
    <w:p w14:paraId="5AD22966" w14:textId="77777777" w:rsidR="00E66349" w:rsidRPr="00AC7B39" w:rsidRDefault="00E66349" w:rsidP="00E66349">
      <w:pPr>
        <w:suppressAutoHyphens/>
        <w:jc w:val="both"/>
        <w:rPr>
          <w:szCs w:val="22"/>
          <w:lang w:val="sr-Latn-ME" w:eastAsia="ar-SA"/>
        </w:rPr>
      </w:pPr>
    </w:p>
    <w:p w14:paraId="4B8B123C"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3.</w:t>
      </w:r>
      <w:r w:rsidRPr="00AC7B39">
        <w:rPr>
          <w:b/>
          <w:bCs/>
          <w:szCs w:val="22"/>
          <w:lang w:val="sr-Latn-ME" w:eastAsia="ar-SA"/>
        </w:rPr>
        <w:tab/>
        <w:t>FARMACEUTSKI OBLIK</w:t>
      </w:r>
    </w:p>
    <w:p w14:paraId="31475C04" w14:textId="77777777" w:rsidR="00E66349" w:rsidRPr="00AC7B39" w:rsidRDefault="00E66349" w:rsidP="00E66349">
      <w:pPr>
        <w:suppressAutoHyphens/>
        <w:jc w:val="both"/>
        <w:rPr>
          <w:szCs w:val="22"/>
          <w:lang w:val="sr-Latn-ME" w:eastAsia="ar-SA"/>
        </w:rPr>
      </w:pPr>
    </w:p>
    <w:p w14:paraId="19A1E597" w14:textId="77777777" w:rsidR="00E66349" w:rsidRPr="00AC7B39" w:rsidRDefault="00E66349" w:rsidP="00E66349">
      <w:pPr>
        <w:suppressAutoHyphens/>
        <w:jc w:val="both"/>
        <w:rPr>
          <w:szCs w:val="22"/>
          <w:lang w:val="sr-Latn-ME" w:eastAsia="ar-SA"/>
        </w:rPr>
      </w:pPr>
      <w:r w:rsidRPr="00AC7B39">
        <w:rPr>
          <w:szCs w:val="22"/>
          <w:lang w:val="sr-Latn-ME" w:eastAsia="ar-SA"/>
        </w:rPr>
        <w:t>Tableta.</w:t>
      </w:r>
    </w:p>
    <w:p w14:paraId="72F1870D" w14:textId="77777777" w:rsidR="00E66349" w:rsidRPr="00AC7B39" w:rsidRDefault="00E66349" w:rsidP="00E66349">
      <w:pPr>
        <w:suppressAutoHyphens/>
        <w:jc w:val="both"/>
        <w:rPr>
          <w:szCs w:val="22"/>
          <w:lang w:val="sr-Latn-ME" w:eastAsia="ar-SA"/>
        </w:rPr>
      </w:pPr>
      <w:r w:rsidRPr="00AC7B39">
        <w:rPr>
          <w:szCs w:val="22"/>
          <w:lang w:val="sr-Latn-ME" w:eastAsia="ar-SA"/>
        </w:rPr>
        <w:t>Tablete su bijele do blijedo žućkaste, okrugle, blago izbočene, sa podionom crtom na jednoj strani.</w:t>
      </w:r>
    </w:p>
    <w:p w14:paraId="36D6FC94" w14:textId="77777777" w:rsidR="00E66349" w:rsidRPr="00AC7B39" w:rsidRDefault="00E66349" w:rsidP="00E66349">
      <w:pPr>
        <w:suppressAutoHyphens/>
        <w:jc w:val="both"/>
        <w:rPr>
          <w:szCs w:val="22"/>
          <w:lang w:val="sr-Latn-ME" w:eastAsia="ar-SA"/>
        </w:rPr>
      </w:pPr>
    </w:p>
    <w:p w14:paraId="70A4812B" w14:textId="77777777" w:rsidR="00E66349" w:rsidRPr="00AC7B39" w:rsidRDefault="00E66349" w:rsidP="00E66349">
      <w:pPr>
        <w:suppressAutoHyphens/>
        <w:jc w:val="both"/>
        <w:rPr>
          <w:szCs w:val="22"/>
          <w:lang w:val="sr-Latn-ME" w:eastAsia="ar-SA"/>
        </w:rPr>
      </w:pPr>
      <w:r w:rsidRPr="00AC7B39">
        <w:rPr>
          <w:szCs w:val="22"/>
          <w:lang w:val="sr-Latn-ME" w:eastAsia="ar-SA"/>
        </w:rPr>
        <w:t>Tableta se može podijeliti na jednake polovine.</w:t>
      </w:r>
    </w:p>
    <w:p w14:paraId="71FC52CB" w14:textId="77777777" w:rsidR="00E66349" w:rsidRPr="00AC7B39" w:rsidRDefault="00E66349" w:rsidP="00E66349">
      <w:pPr>
        <w:suppressAutoHyphens/>
        <w:jc w:val="both"/>
        <w:rPr>
          <w:szCs w:val="22"/>
          <w:lang w:val="sr-Latn-ME" w:eastAsia="ar-SA"/>
        </w:rPr>
      </w:pPr>
    </w:p>
    <w:p w14:paraId="78011F78" w14:textId="77777777" w:rsidR="00E66349" w:rsidRPr="00AC7B39" w:rsidRDefault="00E66349" w:rsidP="00E66349">
      <w:pPr>
        <w:suppressAutoHyphens/>
        <w:jc w:val="both"/>
        <w:rPr>
          <w:szCs w:val="22"/>
          <w:lang w:val="sr-Latn-ME" w:eastAsia="ar-SA"/>
        </w:rPr>
      </w:pPr>
    </w:p>
    <w:p w14:paraId="5E2123D2"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4.</w:t>
      </w:r>
      <w:r w:rsidRPr="00AC7B39">
        <w:rPr>
          <w:b/>
          <w:bCs/>
          <w:szCs w:val="22"/>
          <w:lang w:val="sr-Latn-ME" w:eastAsia="ar-SA"/>
        </w:rPr>
        <w:tab/>
        <w:t>KLINIČKI PODACI</w:t>
      </w:r>
    </w:p>
    <w:p w14:paraId="3868186A" w14:textId="77777777" w:rsidR="00E66349" w:rsidRPr="00AC7B39" w:rsidRDefault="00E66349" w:rsidP="00E66349">
      <w:pPr>
        <w:suppressAutoHyphens/>
        <w:jc w:val="both"/>
        <w:rPr>
          <w:szCs w:val="22"/>
          <w:lang w:val="sr-Latn-ME" w:eastAsia="ar-SA"/>
        </w:rPr>
      </w:pPr>
    </w:p>
    <w:p w14:paraId="0C7D6E48"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4.1</w:t>
      </w:r>
      <w:r w:rsidRPr="00AC7B39">
        <w:rPr>
          <w:b/>
          <w:bCs/>
          <w:szCs w:val="22"/>
          <w:lang w:val="sr-Latn-ME" w:eastAsia="ar-SA"/>
        </w:rPr>
        <w:tab/>
        <w:t>Terapijske indikacije</w:t>
      </w:r>
    </w:p>
    <w:p w14:paraId="061F53B4" w14:textId="77777777" w:rsidR="007475E0" w:rsidRPr="00AC7B39" w:rsidRDefault="007475E0" w:rsidP="005C46F1">
      <w:pPr>
        <w:suppressAutoHyphens/>
        <w:jc w:val="both"/>
        <w:rPr>
          <w:b/>
          <w:bCs/>
          <w:szCs w:val="22"/>
          <w:lang w:val="sr-Latn-ME" w:eastAsia="ar-SA"/>
        </w:rPr>
      </w:pPr>
    </w:p>
    <w:p w14:paraId="7ADAD091" w14:textId="77777777" w:rsidR="005C46F1" w:rsidRPr="00AC7B39" w:rsidRDefault="00E83F5D" w:rsidP="005C46F1">
      <w:pPr>
        <w:suppressAutoHyphens/>
        <w:jc w:val="both"/>
        <w:rPr>
          <w:lang w:val="sr-Latn-ME"/>
        </w:rPr>
      </w:pPr>
      <w:r w:rsidRPr="00AC7B39">
        <w:rPr>
          <w:lang w:val="sr-Latn-ME"/>
        </w:rPr>
        <w:t>Metronidazol je indikovan kod odraslih i djece u sledećim indikacijama:</w:t>
      </w:r>
    </w:p>
    <w:p w14:paraId="42FC767B" w14:textId="77777777" w:rsidR="00E66349" w:rsidRPr="00AC7B39" w:rsidRDefault="00E66349" w:rsidP="00E66349">
      <w:pPr>
        <w:pStyle w:val="ListParagraph"/>
        <w:numPr>
          <w:ilvl w:val="0"/>
          <w:numId w:val="35"/>
        </w:numPr>
        <w:ind w:left="567" w:hanging="567"/>
        <w:jc w:val="both"/>
        <w:rPr>
          <w:rFonts w:ascii="Times New Roman" w:hAnsi="Times New Roman"/>
          <w:sz w:val="22"/>
          <w:szCs w:val="22"/>
          <w:lang w:val="sr-Latn-ME"/>
        </w:rPr>
      </w:pPr>
      <w:r w:rsidRPr="00AC7B39">
        <w:rPr>
          <w:rFonts w:ascii="Times New Roman" w:hAnsi="Times New Roman"/>
          <w:sz w:val="22"/>
          <w:szCs w:val="22"/>
          <w:lang w:val="sr-Latn-ME"/>
        </w:rPr>
        <w:t xml:space="preserve">Liječenje anaerobnih bakterijskih infekcija (ginekološke i abdominalne infekcije, infekcije centralnog nervnog sistema, bakterijemija, sepsa, endokarditis, infekcije kostiju, zglobova, kože i mekih tkiva, parodontalne i respiratorne infekcije) uzrokovanih bakterijama </w:t>
      </w:r>
      <w:r w:rsidRPr="00AC7B39">
        <w:rPr>
          <w:rFonts w:ascii="Times New Roman" w:hAnsi="Times New Roman"/>
          <w:i/>
          <w:sz w:val="22"/>
          <w:szCs w:val="22"/>
          <w:lang w:val="sr-Latn-ME"/>
        </w:rPr>
        <w:t>Bacteroides</w:t>
      </w:r>
      <w:r w:rsidRPr="00AC7B39">
        <w:rPr>
          <w:rFonts w:ascii="Times New Roman" w:hAnsi="Times New Roman"/>
          <w:sz w:val="22"/>
          <w:szCs w:val="22"/>
          <w:lang w:val="sr-Latn-ME"/>
        </w:rPr>
        <w:t xml:space="preserve"> spp., </w:t>
      </w:r>
      <w:r w:rsidRPr="00AC7B39">
        <w:rPr>
          <w:rFonts w:ascii="Times New Roman" w:hAnsi="Times New Roman"/>
          <w:i/>
          <w:sz w:val="22"/>
          <w:szCs w:val="22"/>
          <w:lang w:val="sr-Latn-ME"/>
        </w:rPr>
        <w:t>Clostridium</w:t>
      </w:r>
      <w:r w:rsidRPr="00AC7B39">
        <w:rPr>
          <w:rFonts w:ascii="Times New Roman" w:hAnsi="Times New Roman"/>
          <w:sz w:val="22"/>
          <w:szCs w:val="22"/>
          <w:lang w:val="sr-Latn-ME"/>
        </w:rPr>
        <w:t xml:space="preserve"> spp., </w:t>
      </w:r>
      <w:r w:rsidRPr="00AC7B39">
        <w:rPr>
          <w:rFonts w:ascii="Times New Roman" w:hAnsi="Times New Roman"/>
          <w:i/>
          <w:sz w:val="22"/>
          <w:szCs w:val="22"/>
          <w:lang w:val="sr-Latn-ME"/>
        </w:rPr>
        <w:t>Eubacterium</w:t>
      </w:r>
      <w:r w:rsidRPr="00AC7B39">
        <w:rPr>
          <w:rFonts w:ascii="Times New Roman" w:hAnsi="Times New Roman"/>
          <w:sz w:val="22"/>
          <w:szCs w:val="22"/>
          <w:lang w:val="sr-Latn-ME"/>
        </w:rPr>
        <w:t xml:space="preserve"> spp., </w:t>
      </w:r>
      <w:r w:rsidRPr="00AC7B39">
        <w:rPr>
          <w:rFonts w:ascii="Times New Roman" w:hAnsi="Times New Roman"/>
          <w:i/>
          <w:sz w:val="22"/>
          <w:szCs w:val="22"/>
          <w:lang w:val="sr-Latn-ME"/>
        </w:rPr>
        <w:t>Peptococcus</w:t>
      </w:r>
      <w:r w:rsidRPr="00AC7B39">
        <w:rPr>
          <w:rFonts w:ascii="Times New Roman" w:hAnsi="Times New Roman"/>
          <w:sz w:val="22"/>
          <w:szCs w:val="22"/>
          <w:lang w:val="sr-Latn-ME"/>
        </w:rPr>
        <w:t xml:space="preserve"> spp., </w:t>
      </w:r>
      <w:r w:rsidRPr="00AC7B39">
        <w:rPr>
          <w:rFonts w:ascii="Times New Roman" w:hAnsi="Times New Roman"/>
          <w:i/>
          <w:sz w:val="22"/>
          <w:szCs w:val="22"/>
          <w:lang w:val="sr-Latn-ME"/>
        </w:rPr>
        <w:t>Peptostreptococcus</w:t>
      </w:r>
      <w:r w:rsidRPr="00AC7B39">
        <w:rPr>
          <w:rFonts w:ascii="Times New Roman" w:hAnsi="Times New Roman"/>
          <w:sz w:val="22"/>
          <w:szCs w:val="22"/>
          <w:lang w:val="sr-Latn-ME"/>
        </w:rPr>
        <w:t xml:space="preserve"> spp. i drugim anaerobima osjetljivim na metronidazol.</w:t>
      </w:r>
    </w:p>
    <w:p w14:paraId="6A5A1A9B" w14:textId="77777777" w:rsidR="00E66349" w:rsidRPr="00AC7B39" w:rsidRDefault="00E66349" w:rsidP="00E66349">
      <w:pPr>
        <w:pStyle w:val="ListParagraph"/>
        <w:numPr>
          <w:ilvl w:val="0"/>
          <w:numId w:val="35"/>
        </w:numPr>
        <w:ind w:left="567" w:hanging="567"/>
        <w:jc w:val="both"/>
        <w:rPr>
          <w:rFonts w:ascii="Times New Roman" w:hAnsi="Times New Roman"/>
          <w:sz w:val="22"/>
          <w:szCs w:val="22"/>
          <w:lang w:val="sr-Latn-ME"/>
        </w:rPr>
      </w:pPr>
      <w:r w:rsidRPr="00AC7B39">
        <w:rPr>
          <w:rFonts w:ascii="Times New Roman" w:hAnsi="Times New Roman"/>
          <w:sz w:val="22"/>
          <w:szCs w:val="22"/>
          <w:lang w:val="sr-Latn-ME"/>
        </w:rPr>
        <w:t xml:space="preserve">Liječenje enterokolitisa uzrokovanog bakterijom </w:t>
      </w:r>
      <w:r w:rsidRPr="00AC7B39">
        <w:rPr>
          <w:rFonts w:ascii="Times New Roman" w:hAnsi="Times New Roman"/>
          <w:i/>
          <w:sz w:val="22"/>
          <w:szCs w:val="22"/>
          <w:lang w:val="sr-Latn-ME"/>
        </w:rPr>
        <w:t>Clostridium difficile</w:t>
      </w:r>
      <w:r w:rsidRPr="00AC7B39">
        <w:rPr>
          <w:rFonts w:ascii="Times New Roman" w:hAnsi="Times New Roman"/>
          <w:sz w:val="22"/>
          <w:szCs w:val="22"/>
          <w:lang w:val="sr-Latn-ME"/>
        </w:rPr>
        <w:t>.</w:t>
      </w:r>
    </w:p>
    <w:p w14:paraId="1DBBA8EB" w14:textId="77777777" w:rsidR="00E66349" w:rsidRPr="00AC7B39" w:rsidRDefault="00E66349" w:rsidP="00E66349">
      <w:pPr>
        <w:pStyle w:val="ListParagraph"/>
        <w:numPr>
          <w:ilvl w:val="0"/>
          <w:numId w:val="35"/>
        </w:numPr>
        <w:ind w:left="567" w:hanging="567"/>
        <w:jc w:val="both"/>
        <w:rPr>
          <w:rFonts w:ascii="Times New Roman" w:hAnsi="Times New Roman"/>
          <w:sz w:val="22"/>
          <w:szCs w:val="22"/>
          <w:lang w:val="sr-Latn-ME"/>
        </w:rPr>
      </w:pPr>
      <w:r w:rsidRPr="00AC7B39">
        <w:rPr>
          <w:rFonts w:ascii="Times New Roman" w:hAnsi="Times New Roman"/>
          <w:sz w:val="22"/>
          <w:szCs w:val="22"/>
          <w:lang w:val="sr-Latn-ME"/>
        </w:rPr>
        <w:t>Liječenje bakterijske vaginoze.</w:t>
      </w:r>
    </w:p>
    <w:p w14:paraId="434BF578" w14:textId="77777777" w:rsidR="00E66349" w:rsidRPr="00AC7B39" w:rsidRDefault="00E66349" w:rsidP="00E66349">
      <w:pPr>
        <w:pStyle w:val="ListParagraph"/>
        <w:numPr>
          <w:ilvl w:val="0"/>
          <w:numId w:val="35"/>
        </w:numPr>
        <w:ind w:left="567" w:hanging="567"/>
        <w:jc w:val="both"/>
        <w:rPr>
          <w:rFonts w:ascii="Times New Roman" w:hAnsi="Times New Roman"/>
          <w:sz w:val="22"/>
          <w:szCs w:val="22"/>
          <w:lang w:val="sr-Latn-ME"/>
        </w:rPr>
      </w:pPr>
      <w:r w:rsidRPr="00AC7B39">
        <w:rPr>
          <w:rFonts w:ascii="Times New Roman" w:hAnsi="Times New Roman"/>
          <w:sz w:val="22"/>
          <w:szCs w:val="22"/>
          <w:lang w:val="sr-Latn-ME"/>
        </w:rPr>
        <w:t>Profilaksa prije gastrointestinalne i ginekološke operacije.</w:t>
      </w:r>
    </w:p>
    <w:p w14:paraId="5414DBFA" w14:textId="77777777" w:rsidR="00E66349" w:rsidRPr="00AC7B39" w:rsidRDefault="00E66349" w:rsidP="00E66349">
      <w:pPr>
        <w:pStyle w:val="ListParagraph"/>
        <w:numPr>
          <w:ilvl w:val="0"/>
          <w:numId w:val="35"/>
        </w:numPr>
        <w:ind w:left="567" w:hanging="567"/>
        <w:jc w:val="both"/>
        <w:rPr>
          <w:rFonts w:ascii="Times New Roman" w:hAnsi="Times New Roman"/>
          <w:sz w:val="22"/>
          <w:szCs w:val="22"/>
          <w:lang w:val="sr-Latn-ME"/>
        </w:rPr>
      </w:pPr>
      <w:r w:rsidRPr="00AC7B39">
        <w:rPr>
          <w:rFonts w:ascii="Times New Roman" w:hAnsi="Times New Roman"/>
          <w:sz w:val="22"/>
          <w:szCs w:val="22"/>
          <w:lang w:val="sr-Latn-ME"/>
        </w:rPr>
        <w:t xml:space="preserve">Eradikacija bakterije </w:t>
      </w:r>
      <w:r w:rsidRPr="00AC7B39">
        <w:rPr>
          <w:rFonts w:ascii="Times New Roman" w:hAnsi="Times New Roman"/>
          <w:i/>
          <w:sz w:val="22"/>
          <w:szCs w:val="22"/>
          <w:lang w:val="sr-Latn-ME"/>
        </w:rPr>
        <w:t>Helicobacter pylori</w:t>
      </w:r>
      <w:r w:rsidRPr="00AC7B39">
        <w:rPr>
          <w:rFonts w:ascii="Times New Roman" w:hAnsi="Times New Roman"/>
          <w:sz w:val="22"/>
          <w:szCs w:val="22"/>
          <w:lang w:val="sr-Latn-ME"/>
        </w:rPr>
        <w:t>.</w:t>
      </w:r>
    </w:p>
    <w:p w14:paraId="3F47E86D" w14:textId="77777777" w:rsidR="00E66349" w:rsidRPr="00AC7B39" w:rsidRDefault="00E66349" w:rsidP="00E66349">
      <w:pPr>
        <w:pStyle w:val="ListParagraph"/>
        <w:numPr>
          <w:ilvl w:val="0"/>
          <w:numId w:val="35"/>
        </w:numPr>
        <w:ind w:left="567" w:hanging="567"/>
        <w:jc w:val="both"/>
        <w:rPr>
          <w:rFonts w:ascii="Times New Roman" w:hAnsi="Times New Roman"/>
          <w:sz w:val="22"/>
          <w:szCs w:val="22"/>
          <w:lang w:val="sr-Latn-ME"/>
        </w:rPr>
      </w:pPr>
      <w:r w:rsidRPr="00AC7B39">
        <w:rPr>
          <w:rFonts w:ascii="Times New Roman" w:hAnsi="Times New Roman"/>
          <w:sz w:val="22"/>
          <w:szCs w:val="22"/>
          <w:lang w:val="sr-Latn-ME"/>
        </w:rPr>
        <w:t xml:space="preserve">Liječenje intestinalnih i ekstraintestinalnih oblika amebijaze i infekcija mikroorganizmima </w:t>
      </w:r>
      <w:r w:rsidRPr="00AC7B39">
        <w:rPr>
          <w:rFonts w:ascii="Times New Roman" w:hAnsi="Times New Roman"/>
          <w:i/>
          <w:sz w:val="22"/>
          <w:szCs w:val="22"/>
          <w:lang w:val="sr-Latn-ME"/>
        </w:rPr>
        <w:t xml:space="preserve">Giardia lamblia </w:t>
      </w:r>
      <w:r w:rsidRPr="00AC7B39">
        <w:rPr>
          <w:rFonts w:ascii="Times New Roman" w:hAnsi="Times New Roman"/>
          <w:sz w:val="22"/>
          <w:szCs w:val="22"/>
          <w:lang w:val="sr-Latn-ME"/>
        </w:rPr>
        <w:t xml:space="preserve">i </w:t>
      </w:r>
      <w:r w:rsidRPr="00AC7B39">
        <w:rPr>
          <w:rFonts w:ascii="Times New Roman" w:hAnsi="Times New Roman"/>
          <w:i/>
          <w:sz w:val="22"/>
          <w:szCs w:val="22"/>
          <w:lang w:val="sr-Latn-ME"/>
        </w:rPr>
        <w:t>Trichomonas vaginalis</w:t>
      </w:r>
      <w:r w:rsidRPr="00AC7B39">
        <w:rPr>
          <w:rFonts w:ascii="Times New Roman" w:hAnsi="Times New Roman"/>
          <w:sz w:val="22"/>
          <w:szCs w:val="22"/>
          <w:lang w:val="sr-Latn-ME"/>
        </w:rPr>
        <w:t>.</w:t>
      </w:r>
    </w:p>
    <w:p w14:paraId="44AC78EF" w14:textId="77777777" w:rsidR="00E66349" w:rsidRPr="00AC7B39" w:rsidRDefault="00E66349" w:rsidP="00E66349">
      <w:pPr>
        <w:suppressAutoHyphens/>
        <w:jc w:val="both"/>
        <w:rPr>
          <w:b/>
          <w:bCs/>
          <w:szCs w:val="22"/>
          <w:lang w:val="sr-Latn-ME" w:eastAsia="ar-SA"/>
        </w:rPr>
      </w:pPr>
    </w:p>
    <w:p w14:paraId="37804303" w14:textId="77777777" w:rsidR="00E66349" w:rsidRPr="00AC7B39" w:rsidRDefault="00E83F5D" w:rsidP="00E66349">
      <w:pPr>
        <w:suppressAutoHyphens/>
        <w:jc w:val="both"/>
        <w:rPr>
          <w:szCs w:val="22"/>
          <w:lang w:val="sr-Latn-ME"/>
        </w:rPr>
      </w:pPr>
      <w:r w:rsidRPr="00AC7B39">
        <w:rPr>
          <w:szCs w:val="22"/>
          <w:lang w:val="sr-Latn-ME"/>
        </w:rPr>
        <w:t>Upotreba metronidazola mora da bude usaglašena sa preporukama za pravilnu upotrebu antimikrobnih ljekova.</w:t>
      </w:r>
    </w:p>
    <w:p w14:paraId="27A852C6" w14:textId="75765E6A" w:rsidR="00E66349" w:rsidRDefault="00E66349" w:rsidP="00E66349">
      <w:pPr>
        <w:suppressAutoHyphens/>
        <w:jc w:val="both"/>
        <w:rPr>
          <w:b/>
          <w:bCs/>
          <w:szCs w:val="22"/>
          <w:lang w:val="sr-Latn-ME" w:eastAsia="ar-SA"/>
        </w:rPr>
      </w:pPr>
    </w:p>
    <w:p w14:paraId="5910F8F9" w14:textId="13A755B1" w:rsidR="00DE3AA9" w:rsidRDefault="00DE3AA9" w:rsidP="00E66349">
      <w:pPr>
        <w:suppressAutoHyphens/>
        <w:jc w:val="both"/>
        <w:rPr>
          <w:b/>
          <w:bCs/>
          <w:szCs w:val="22"/>
          <w:lang w:val="sr-Latn-ME" w:eastAsia="ar-SA"/>
        </w:rPr>
      </w:pPr>
    </w:p>
    <w:p w14:paraId="158F28CB" w14:textId="0DC5DA75" w:rsidR="00DE3AA9" w:rsidRDefault="00DE3AA9" w:rsidP="00E66349">
      <w:pPr>
        <w:suppressAutoHyphens/>
        <w:jc w:val="both"/>
        <w:rPr>
          <w:b/>
          <w:bCs/>
          <w:szCs w:val="22"/>
          <w:lang w:val="sr-Latn-ME" w:eastAsia="ar-SA"/>
        </w:rPr>
      </w:pPr>
    </w:p>
    <w:p w14:paraId="7A5A7E3C" w14:textId="03219673" w:rsidR="00DE3AA9" w:rsidRDefault="00DE3AA9" w:rsidP="00E66349">
      <w:pPr>
        <w:suppressAutoHyphens/>
        <w:jc w:val="both"/>
        <w:rPr>
          <w:b/>
          <w:bCs/>
          <w:szCs w:val="22"/>
          <w:lang w:val="sr-Latn-ME" w:eastAsia="ar-SA"/>
        </w:rPr>
      </w:pPr>
    </w:p>
    <w:p w14:paraId="3A9564A3" w14:textId="3DA067CB" w:rsidR="00DE3AA9" w:rsidRDefault="00DE3AA9" w:rsidP="00E66349">
      <w:pPr>
        <w:suppressAutoHyphens/>
        <w:jc w:val="both"/>
        <w:rPr>
          <w:b/>
          <w:bCs/>
          <w:szCs w:val="22"/>
          <w:lang w:val="sr-Latn-ME" w:eastAsia="ar-SA"/>
        </w:rPr>
      </w:pPr>
    </w:p>
    <w:p w14:paraId="4DBAB2FB" w14:textId="77777777" w:rsidR="00DE3AA9" w:rsidRPr="00AC7B39" w:rsidRDefault="00DE3AA9" w:rsidP="00E66349">
      <w:pPr>
        <w:suppressAutoHyphens/>
        <w:jc w:val="both"/>
        <w:rPr>
          <w:b/>
          <w:bCs/>
          <w:szCs w:val="22"/>
          <w:lang w:val="sr-Latn-ME" w:eastAsia="ar-SA"/>
        </w:rPr>
      </w:pPr>
    </w:p>
    <w:p w14:paraId="7F7C499F"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lastRenderedPageBreak/>
        <w:t>4.2</w:t>
      </w:r>
      <w:r w:rsidRPr="00AC7B39">
        <w:rPr>
          <w:b/>
          <w:bCs/>
          <w:szCs w:val="22"/>
          <w:lang w:val="sr-Latn-ME" w:eastAsia="ar-SA"/>
        </w:rPr>
        <w:tab/>
        <w:t>Doziranje i način primjene</w:t>
      </w:r>
    </w:p>
    <w:p w14:paraId="5E2154D7" w14:textId="77777777" w:rsidR="00E66349" w:rsidRPr="00AC7B39" w:rsidRDefault="00E66349" w:rsidP="00E66349">
      <w:pPr>
        <w:suppressAutoHyphens/>
        <w:jc w:val="right"/>
        <w:rPr>
          <w:b/>
          <w:bCs/>
          <w:szCs w:val="22"/>
          <w:lang w:val="sr-Latn-ME" w:eastAsia="ar-SA"/>
        </w:rPr>
      </w:pPr>
    </w:p>
    <w:p w14:paraId="3FC0B484" w14:textId="77777777" w:rsidR="00E66349" w:rsidRPr="001C515E" w:rsidRDefault="00E66349" w:rsidP="00E66349">
      <w:pPr>
        <w:suppressAutoHyphens/>
        <w:jc w:val="both"/>
        <w:rPr>
          <w:bCs/>
          <w:szCs w:val="22"/>
          <w:u w:val="single"/>
          <w:lang w:val="sr-Latn-ME" w:eastAsia="ar-SA"/>
        </w:rPr>
      </w:pPr>
      <w:r w:rsidRPr="001C515E">
        <w:rPr>
          <w:bCs/>
          <w:szCs w:val="22"/>
          <w:u w:val="single"/>
          <w:lang w:val="sr-Latn-ME" w:eastAsia="ar-SA"/>
        </w:rPr>
        <w:t>Doziranje</w:t>
      </w:r>
    </w:p>
    <w:p w14:paraId="6DA0D022" w14:textId="77777777" w:rsidR="00D06944" w:rsidRDefault="00D06944" w:rsidP="00E66349">
      <w:pPr>
        <w:suppressAutoHyphens/>
        <w:jc w:val="both"/>
        <w:rPr>
          <w:b/>
          <w:bCs/>
          <w:szCs w:val="22"/>
          <w:lang w:val="sr-Latn-ME" w:eastAsia="ar-SA"/>
        </w:rPr>
      </w:pPr>
    </w:p>
    <w:p w14:paraId="5EDA01D2" w14:textId="5D0A425D" w:rsidR="00E66349" w:rsidRPr="001C515E" w:rsidRDefault="00E83F5D" w:rsidP="00E66349">
      <w:pPr>
        <w:suppressAutoHyphens/>
        <w:jc w:val="both"/>
        <w:rPr>
          <w:bCs/>
          <w:i/>
          <w:szCs w:val="22"/>
          <w:lang w:val="sr-Latn-ME" w:eastAsia="ar-SA"/>
        </w:rPr>
      </w:pPr>
      <w:r w:rsidRPr="001C515E">
        <w:rPr>
          <w:bCs/>
          <w:i/>
          <w:szCs w:val="22"/>
          <w:lang w:val="sr-Latn-ME" w:eastAsia="ar-SA"/>
        </w:rPr>
        <w:t>Odrasli</w:t>
      </w:r>
    </w:p>
    <w:p w14:paraId="2C3549F0" w14:textId="77777777" w:rsidR="00D06944" w:rsidRDefault="00D06944" w:rsidP="00E66349">
      <w:pPr>
        <w:rPr>
          <w:b/>
          <w:i/>
          <w:szCs w:val="22"/>
          <w:lang w:val="sr-Latn-ME"/>
        </w:rPr>
      </w:pPr>
    </w:p>
    <w:p w14:paraId="6C84B545" w14:textId="4CF3489B" w:rsidR="00E66349" w:rsidRPr="00D06944" w:rsidRDefault="00E66349" w:rsidP="00E66349">
      <w:pPr>
        <w:rPr>
          <w:b/>
          <w:i/>
          <w:szCs w:val="22"/>
          <w:lang w:val="sr-Latn-ME"/>
        </w:rPr>
      </w:pPr>
      <w:r w:rsidRPr="00D06944">
        <w:rPr>
          <w:b/>
          <w:i/>
          <w:szCs w:val="22"/>
          <w:lang w:val="sr-Latn-ME"/>
        </w:rPr>
        <w:t>Liječenje anaerobnih infekcija</w:t>
      </w:r>
    </w:p>
    <w:p w14:paraId="3A2B0C0E" w14:textId="77777777" w:rsidR="00E66349" w:rsidRPr="00AC7B39" w:rsidRDefault="00E66349" w:rsidP="00E66349">
      <w:pPr>
        <w:suppressAutoHyphens/>
        <w:jc w:val="both"/>
        <w:rPr>
          <w:b/>
          <w:bCs/>
          <w:szCs w:val="22"/>
          <w:lang w:val="sr-Latn-ME" w:eastAsia="ar-SA"/>
        </w:rPr>
      </w:pPr>
      <w:r w:rsidRPr="00AC7B39">
        <w:rPr>
          <w:szCs w:val="22"/>
          <w:lang w:val="sr-Latn-ME"/>
        </w:rPr>
        <w:t>Liječenje obično počinje sporom intermitentnom ili kontinuiranom intravenskom infuzijom. Treba nastaviti sa tabletama što je prije moguće. Uobičajena doza za odrasle je 400 mg 3 puta dnevno. Liječenje traje 7 dana. Po potrebi i u zavisnosti od indikacije može biti i duže.</w:t>
      </w:r>
    </w:p>
    <w:p w14:paraId="207A55D2" w14:textId="77777777" w:rsidR="00E66349" w:rsidRPr="00AC7B39" w:rsidRDefault="00E66349" w:rsidP="00E66349">
      <w:pPr>
        <w:suppressAutoHyphens/>
        <w:jc w:val="both"/>
        <w:rPr>
          <w:bCs/>
          <w:szCs w:val="22"/>
          <w:lang w:val="sr-Latn-ME" w:eastAsia="ar-SA"/>
        </w:rPr>
      </w:pPr>
    </w:p>
    <w:p w14:paraId="103B1FE0" w14:textId="77777777" w:rsidR="00E66349" w:rsidRPr="00AC7B39" w:rsidRDefault="00E66349" w:rsidP="00E66349">
      <w:pPr>
        <w:jc w:val="both"/>
        <w:rPr>
          <w:szCs w:val="22"/>
          <w:lang w:val="sr-Latn-ME"/>
        </w:rPr>
      </w:pPr>
      <w:r w:rsidRPr="00AC7B39">
        <w:rPr>
          <w:szCs w:val="22"/>
          <w:lang w:val="sr-Latn-ME"/>
        </w:rPr>
        <w:t xml:space="preserve">Za liječenje </w:t>
      </w:r>
      <w:r w:rsidRPr="00AC7B39">
        <w:rPr>
          <w:b/>
          <w:i/>
          <w:szCs w:val="22"/>
          <w:lang w:val="sr-Latn-ME"/>
        </w:rPr>
        <w:t>enterokolitisa uzrokovanog bakterijom Clostridium difficile</w:t>
      </w:r>
      <w:r w:rsidRPr="00AC7B39">
        <w:rPr>
          <w:szCs w:val="22"/>
          <w:lang w:val="sr-Latn-ME"/>
        </w:rPr>
        <w:t>, preporučuje se oralna primjena 400 mg 3 puta dnevno u periodu od 10 dana.</w:t>
      </w:r>
    </w:p>
    <w:p w14:paraId="47428BE6" w14:textId="77777777" w:rsidR="00E66349" w:rsidRPr="00AC7B39" w:rsidRDefault="00E66349" w:rsidP="00E66349">
      <w:pPr>
        <w:jc w:val="both"/>
        <w:rPr>
          <w:szCs w:val="22"/>
          <w:lang w:val="sr-Latn-ME"/>
        </w:rPr>
      </w:pPr>
    </w:p>
    <w:p w14:paraId="5EFDC0E2" w14:textId="77777777" w:rsidR="00E66349" w:rsidRPr="00AC7B39" w:rsidRDefault="00E66349" w:rsidP="00E66349">
      <w:pPr>
        <w:jc w:val="both"/>
        <w:rPr>
          <w:szCs w:val="22"/>
          <w:lang w:val="sr-Latn-ME"/>
        </w:rPr>
      </w:pPr>
      <w:r w:rsidRPr="00AC7B39">
        <w:rPr>
          <w:b/>
          <w:i/>
          <w:szCs w:val="22"/>
          <w:lang w:val="sr-Latn-ME"/>
        </w:rPr>
        <w:t>Bakterijska vaginoza</w:t>
      </w:r>
      <w:r w:rsidRPr="00AC7B39">
        <w:rPr>
          <w:szCs w:val="22"/>
          <w:lang w:val="sr-Latn-ME"/>
        </w:rPr>
        <w:t xml:space="preserve"> se liječi jednom dozom od 2 g metronidazola ili dozom od 400 mg koja se uzima dva puta dnevno tokom 7 dana. Nije neophodno istovremeno liječenje partnera.</w:t>
      </w:r>
    </w:p>
    <w:p w14:paraId="28DAC5C2" w14:textId="77777777" w:rsidR="00795AB4" w:rsidRPr="00AC7B39" w:rsidRDefault="00795AB4" w:rsidP="00795AB4">
      <w:pPr>
        <w:rPr>
          <w:szCs w:val="22"/>
          <w:lang w:val="sr-Latn-ME"/>
        </w:rPr>
      </w:pPr>
      <w:r w:rsidRPr="00AC7B39">
        <w:rPr>
          <w:i/>
          <w:szCs w:val="22"/>
          <w:lang w:val="sr-Latn-ME"/>
        </w:rPr>
        <w:t>Adolescent</w:t>
      </w:r>
      <w:r w:rsidR="00E83F5D" w:rsidRPr="00AC7B39">
        <w:rPr>
          <w:i/>
          <w:szCs w:val="22"/>
          <w:lang w:val="sr-Latn-ME"/>
        </w:rPr>
        <w:t>i</w:t>
      </w:r>
      <w:r w:rsidRPr="00AC7B39">
        <w:rPr>
          <w:szCs w:val="22"/>
          <w:lang w:val="sr-Latn-ME"/>
        </w:rPr>
        <w:t xml:space="preserve">: 400 mg </w:t>
      </w:r>
      <w:r w:rsidR="00E83F5D" w:rsidRPr="00AC7B39">
        <w:rPr>
          <w:szCs w:val="22"/>
          <w:lang w:val="sr-Latn-ME"/>
        </w:rPr>
        <w:t>dva puta dnevno</w:t>
      </w:r>
      <w:r w:rsidRPr="00AC7B39">
        <w:rPr>
          <w:szCs w:val="22"/>
          <w:lang w:val="sr-Latn-ME"/>
        </w:rPr>
        <w:t xml:space="preserve"> 5-7 </w:t>
      </w:r>
      <w:r w:rsidR="00E83F5D" w:rsidRPr="00AC7B39">
        <w:rPr>
          <w:szCs w:val="22"/>
          <w:lang w:val="sr-Latn-ME"/>
        </w:rPr>
        <w:t>dana</w:t>
      </w:r>
      <w:r w:rsidRPr="00AC7B39">
        <w:rPr>
          <w:szCs w:val="22"/>
          <w:lang w:val="sr-Latn-ME"/>
        </w:rPr>
        <w:t xml:space="preserve"> </w:t>
      </w:r>
      <w:r w:rsidR="00E83F5D" w:rsidRPr="00AC7B39">
        <w:rPr>
          <w:szCs w:val="22"/>
          <w:lang w:val="sr-Latn-ME"/>
        </w:rPr>
        <w:t>ili</w:t>
      </w:r>
      <w:r w:rsidRPr="00AC7B39">
        <w:rPr>
          <w:szCs w:val="22"/>
          <w:lang w:val="sr-Latn-ME"/>
        </w:rPr>
        <w:t xml:space="preserve"> 2000 mg </w:t>
      </w:r>
      <w:r w:rsidR="00E83F5D" w:rsidRPr="00AC7B39">
        <w:rPr>
          <w:szCs w:val="22"/>
          <w:lang w:val="sr-Latn-ME"/>
        </w:rPr>
        <w:t>kao pojedinačna doza.</w:t>
      </w:r>
    </w:p>
    <w:p w14:paraId="47DD7F22" w14:textId="77777777" w:rsidR="00E66349" w:rsidRPr="00AC7B39" w:rsidRDefault="00E66349" w:rsidP="00E66349">
      <w:pPr>
        <w:jc w:val="both"/>
        <w:rPr>
          <w:szCs w:val="22"/>
          <w:lang w:val="sr-Latn-ME"/>
        </w:rPr>
      </w:pPr>
    </w:p>
    <w:p w14:paraId="17631DCF" w14:textId="6BE1687C" w:rsidR="00E66349" w:rsidRPr="00AC7B39" w:rsidRDefault="00E66349" w:rsidP="00E66349">
      <w:pPr>
        <w:jc w:val="both"/>
        <w:rPr>
          <w:szCs w:val="22"/>
          <w:lang w:val="sr-Latn-ME"/>
        </w:rPr>
      </w:pPr>
      <w:r w:rsidRPr="00AC7B39">
        <w:rPr>
          <w:szCs w:val="22"/>
          <w:lang w:val="sr-Latn-ME"/>
        </w:rPr>
        <w:t xml:space="preserve">Za </w:t>
      </w:r>
      <w:r w:rsidRPr="00AC7B39">
        <w:rPr>
          <w:b/>
          <w:i/>
          <w:szCs w:val="22"/>
          <w:lang w:val="sr-Latn-ME"/>
        </w:rPr>
        <w:t>eradikaciju Helicobacter pylori</w:t>
      </w:r>
      <w:r w:rsidRPr="00AC7B39">
        <w:rPr>
          <w:i/>
          <w:szCs w:val="22"/>
          <w:lang w:val="sr-Latn-ME"/>
        </w:rPr>
        <w:t xml:space="preserve"> </w:t>
      </w:r>
      <w:r w:rsidRPr="00AC7B39">
        <w:rPr>
          <w:szCs w:val="22"/>
          <w:lang w:val="sr-Latn-ME"/>
        </w:rPr>
        <w:t>pacijent treba da uzima 400 mg metronidazola dva puta dvnevno tokom 7</w:t>
      </w:r>
      <w:r w:rsidR="00795AB4" w:rsidRPr="00AC7B39">
        <w:rPr>
          <w:szCs w:val="22"/>
          <w:lang w:val="sr-Latn-ME"/>
        </w:rPr>
        <w:t>-14</w:t>
      </w:r>
      <w:r w:rsidRPr="00AC7B39">
        <w:rPr>
          <w:szCs w:val="22"/>
          <w:lang w:val="sr-Latn-ME"/>
        </w:rPr>
        <w:t xml:space="preserve"> dana u kombinaciji sa drugim propisanim ljekovima.</w:t>
      </w:r>
    </w:p>
    <w:p w14:paraId="507B5B99" w14:textId="77777777" w:rsidR="00E66349" w:rsidRPr="00AC7B39" w:rsidRDefault="00E66349" w:rsidP="00E66349">
      <w:pPr>
        <w:jc w:val="both"/>
        <w:rPr>
          <w:szCs w:val="22"/>
          <w:lang w:val="sr-Latn-ME"/>
        </w:rPr>
      </w:pPr>
    </w:p>
    <w:p w14:paraId="2775EEC6" w14:textId="77777777" w:rsidR="00E66349" w:rsidRPr="00AC7B39" w:rsidRDefault="00E66349" w:rsidP="00E66349">
      <w:pPr>
        <w:spacing w:before="120"/>
        <w:jc w:val="both"/>
        <w:rPr>
          <w:szCs w:val="22"/>
          <w:lang w:val="sr-Latn-ME"/>
        </w:rPr>
      </w:pPr>
      <w:r w:rsidRPr="00AC7B39">
        <w:rPr>
          <w:b/>
          <w:i/>
          <w:szCs w:val="22"/>
          <w:lang w:val="sr-Latn-ME" w:eastAsia="sl-SI"/>
        </w:rPr>
        <w:t>Trihomonijaza</w:t>
      </w:r>
      <w:r w:rsidRPr="00AC7B39">
        <w:rPr>
          <w:szCs w:val="22"/>
          <w:lang w:val="sr-Latn-ME" w:eastAsia="sl-SI"/>
        </w:rPr>
        <w:t xml:space="preserve"> se liječi jednom dozom od 2 g metronidazola ili dijeljenjem pojedinačne doze od 2 g metronidazola u dvije doze: 2 tablete ujutru i 3 tablete uveče. Neophodno je istovremeno liječenje partnera.</w:t>
      </w:r>
    </w:p>
    <w:p w14:paraId="7255F4DF" w14:textId="77777777" w:rsidR="00E66349" w:rsidRPr="00AC7B39" w:rsidRDefault="00E66349" w:rsidP="00E66349">
      <w:pPr>
        <w:suppressAutoHyphens/>
        <w:jc w:val="both"/>
        <w:rPr>
          <w:szCs w:val="22"/>
          <w:u w:val="single"/>
          <w:lang w:val="sr-Latn-ME" w:eastAsia="sl-SI"/>
        </w:rPr>
      </w:pPr>
    </w:p>
    <w:p w14:paraId="35426650" w14:textId="4DA77FF5" w:rsidR="00AB07F9" w:rsidRPr="00AC7B39" w:rsidRDefault="00E66349" w:rsidP="00EC0E54">
      <w:pPr>
        <w:jc w:val="both"/>
        <w:rPr>
          <w:szCs w:val="22"/>
          <w:lang w:val="sr-Latn-ME"/>
        </w:rPr>
      </w:pPr>
      <w:r w:rsidRPr="00AC7B39">
        <w:rPr>
          <w:b/>
          <w:i/>
          <w:szCs w:val="22"/>
          <w:lang w:val="sr-Latn-ME"/>
        </w:rPr>
        <w:t>Lamblijaza</w:t>
      </w:r>
      <w:r w:rsidRPr="00AC7B39">
        <w:rPr>
          <w:szCs w:val="22"/>
          <w:lang w:val="sr-Latn-ME"/>
        </w:rPr>
        <w:t xml:space="preserve"> kod </w:t>
      </w:r>
      <w:r w:rsidRPr="00AC7B39">
        <w:rPr>
          <w:i/>
          <w:szCs w:val="22"/>
          <w:lang w:val="sr-Latn-ME"/>
        </w:rPr>
        <w:t>odraslih</w:t>
      </w:r>
      <w:r w:rsidRPr="00AC7B39">
        <w:rPr>
          <w:szCs w:val="22"/>
          <w:lang w:val="sr-Latn-ME"/>
        </w:rPr>
        <w:t xml:space="preserve"> se liječi sa 400 mg metronidazola koji se uzima dva puta dnevno tokom perioda od 5 dana.</w:t>
      </w:r>
    </w:p>
    <w:p w14:paraId="25E49DC3" w14:textId="77777777" w:rsidR="00E66349" w:rsidRPr="00AC7B39" w:rsidRDefault="00E66349" w:rsidP="00EC0E54">
      <w:pPr>
        <w:jc w:val="both"/>
        <w:rPr>
          <w:szCs w:val="22"/>
          <w:lang w:val="sr-Latn-ME"/>
        </w:rPr>
      </w:pPr>
    </w:p>
    <w:p w14:paraId="4E84FB89" w14:textId="77777777" w:rsidR="00E66349" w:rsidRPr="00AC7B39" w:rsidRDefault="00E66349" w:rsidP="00EC0E54">
      <w:pPr>
        <w:jc w:val="both"/>
        <w:rPr>
          <w:szCs w:val="22"/>
          <w:lang w:val="sr-Latn-ME"/>
        </w:rPr>
      </w:pPr>
      <w:r w:rsidRPr="00AC7B39">
        <w:rPr>
          <w:b/>
          <w:i/>
          <w:szCs w:val="22"/>
          <w:lang w:val="sr-Latn-ME"/>
        </w:rPr>
        <w:t>Intestinalne forme amebijaze</w:t>
      </w:r>
      <w:r w:rsidRPr="00AC7B39">
        <w:rPr>
          <w:szCs w:val="22"/>
          <w:lang w:val="sr-Latn-ME"/>
        </w:rPr>
        <w:t xml:space="preserve"> se kod </w:t>
      </w:r>
      <w:r w:rsidRPr="00AC7B39">
        <w:rPr>
          <w:i/>
          <w:szCs w:val="22"/>
          <w:lang w:val="sr-Latn-ME"/>
        </w:rPr>
        <w:t>odraslih</w:t>
      </w:r>
      <w:r w:rsidRPr="00AC7B39">
        <w:rPr>
          <w:szCs w:val="22"/>
          <w:lang w:val="sr-Latn-ME"/>
        </w:rPr>
        <w:t xml:space="preserve"> liječe dozama od 800 mg metronidazola primijenjenog svakih 8 sati tokom 5 dana.</w:t>
      </w:r>
    </w:p>
    <w:p w14:paraId="5EB28B5D" w14:textId="77777777" w:rsidR="00E66349" w:rsidRPr="00AC7B39" w:rsidRDefault="00E66349" w:rsidP="00E66349">
      <w:pPr>
        <w:spacing w:before="120"/>
        <w:jc w:val="both"/>
        <w:rPr>
          <w:szCs w:val="22"/>
          <w:lang w:val="sr-Latn-ME"/>
        </w:rPr>
      </w:pPr>
    </w:p>
    <w:p w14:paraId="02994B67" w14:textId="77777777" w:rsidR="00E66349" w:rsidRPr="00AC7B39" w:rsidRDefault="00E66349" w:rsidP="00E66349">
      <w:pPr>
        <w:jc w:val="both"/>
        <w:rPr>
          <w:szCs w:val="22"/>
          <w:lang w:val="sr-Latn-ME"/>
        </w:rPr>
      </w:pPr>
      <w:r w:rsidRPr="00AC7B39">
        <w:rPr>
          <w:b/>
          <w:i/>
          <w:szCs w:val="22"/>
          <w:lang w:val="sr-Latn-ME"/>
        </w:rPr>
        <w:t>Apsces jetre i druge forme ekstraintestinalne amebijaze</w:t>
      </w:r>
      <w:r w:rsidRPr="00AC7B39">
        <w:rPr>
          <w:szCs w:val="22"/>
          <w:lang w:val="sr-Latn-ME"/>
        </w:rPr>
        <w:t xml:space="preserve"> liječe se istom dozom tokom 7 do 10 dana kao i intestinalne forme amebijaze.</w:t>
      </w:r>
    </w:p>
    <w:p w14:paraId="4DEE4F03" w14:textId="77777777" w:rsidR="00E66349" w:rsidRPr="00AC7B39" w:rsidRDefault="00E66349" w:rsidP="00E66349">
      <w:pPr>
        <w:jc w:val="both"/>
        <w:rPr>
          <w:szCs w:val="22"/>
          <w:lang w:val="sr-Latn-ME"/>
        </w:rPr>
      </w:pPr>
    </w:p>
    <w:p w14:paraId="4A5A0075" w14:textId="77777777" w:rsidR="00E66349" w:rsidRPr="00AC7B39" w:rsidRDefault="00E66349" w:rsidP="00E66349">
      <w:pPr>
        <w:widowControl w:val="0"/>
        <w:jc w:val="both"/>
        <w:rPr>
          <w:szCs w:val="22"/>
          <w:lang w:val="sr-Latn-ME"/>
        </w:rPr>
      </w:pPr>
      <w:r w:rsidRPr="00AC7B39">
        <w:rPr>
          <w:szCs w:val="22"/>
          <w:lang w:val="sr-Latn-ME"/>
        </w:rPr>
        <w:t xml:space="preserve">Kod </w:t>
      </w:r>
      <w:r w:rsidRPr="00AC7B39">
        <w:rPr>
          <w:b/>
          <w:i/>
          <w:szCs w:val="22"/>
          <w:lang w:val="sr-Latn-ME"/>
        </w:rPr>
        <w:t>ulceroznog gingivitisa</w:t>
      </w:r>
      <w:r w:rsidRPr="00AC7B39">
        <w:rPr>
          <w:szCs w:val="22"/>
          <w:lang w:val="sr-Latn-ME"/>
        </w:rPr>
        <w:t xml:space="preserve"> odrasli bi trebalo da uzimaju 200 mg (½ tablete) 3 puta dnevno i liječenje bi trebalo da traje od 3 do 5 dana.  </w:t>
      </w:r>
    </w:p>
    <w:p w14:paraId="79D0553A" w14:textId="77777777" w:rsidR="00E66349" w:rsidRPr="00AC7B39" w:rsidRDefault="00E66349" w:rsidP="00E66349">
      <w:pPr>
        <w:jc w:val="both"/>
        <w:rPr>
          <w:szCs w:val="22"/>
          <w:lang w:val="sr-Latn-ME"/>
        </w:rPr>
      </w:pPr>
    </w:p>
    <w:p w14:paraId="48629246" w14:textId="77777777" w:rsidR="00E66349" w:rsidRPr="001C515E" w:rsidRDefault="00E66349" w:rsidP="00E66349">
      <w:pPr>
        <w:jc w:val="both"/>
        <w:rPr>
          <w:i/>
          <w:szCs w:val="22"/>
          <w:lang w:val="sr-Latn-ME"/>
        </w:rPr>
      </w:pPr>
      <w:r w:rsidRPr="001C515E">
        <w:rPr>
          <w:i/>
          <w:szCs w:val="22"/>
          <w:lang w:val="sr-Latn-ME"/>
        </w:rPr>
        <w:t>Pedijatrijska populacija</w:t>
      </w:r>
    </w:p>
    <w:p w14:paraId="0892592E" w14:textId="77777777" w:rsidR="00E66349" w:rsidRPr="00AC7B39" w:rsidRDefault="00E66349" w:rsidP="00E66349">
      <w:pPr>
        <w:jc w:val="both"/>
        <w:rPr>
          <w:i/>
          <w:szCs w:val="22"/>
          <w:u w:val="single"/>
          <w:lang w:val="sr-Latn-ME"/>
        </w:rPr>
      </w:pPr>
    </w:p>
    <w:p w14:paraId="7173F3B4" w14:textId="77777777" w:rsidR="00E66349" w:rsidRPr="00AC7B39" w:rsidRDefault="00E66349" w:rsidP="00E66349">
      <w:pPr>
        <w:jc w:val="both"/>
        <w:rPr>
          <w:b/>
          <w:i/>
          <w:szCs w:val="22"/>
          <w:lang w:val="sr-Latn-ME"/>
        </w:rPr>
      </w:pPr>
      <w:r w:rsidRPr="00AC7B39">
        <w:rPr>
          <w:b/>
          <w:i/>
          <w:szCs w:val="22"/>
          <w:lang w:val="sr-Latn-ME"/>
        </w:rPr>
        <w:t>Liječenje anaerobnih infekcija</w:t>
      </w:r>
    </w:p>
    <w:p w14:paraId="24CD543F" w14:textId="2E02FAA5" w:rsidR="00795AB4" w:rsidRPr="00AC7B39" w:rsidRDefault="00CA7F51" w:rsidP="005C46F1">
      <w:pPr>
        <w:jc w:val="both"/>
        <w:rPr>
          <w:szCs w:val="22"/>
          <w:lang w:val="sr-Latn-ME"/>
        </w:rPr>
      </w:pPr>
      <w:r w:rsidRPr="00AC7B39">
        <w:rPr>
          <w:i/>
          <w:szCs w:val="22"/>
          <w:lang w:val="sr-Latn-ME"/>
        </w:rPr>
        <w:t xml:space="preserve">Djeca starija od 8 nedelja do </w:t>
      </w:r>
      <w:r w:rsidR="00E66349" w:rsidRPr="00AC7B39">
        <w:rPr>
          <w:szCs w:val="22"/>
          <w:lang w:val="sr-Latn-ME"/>
        </w:rPr>
        <w:t>12 godina</w:t>
      </w:r>
      <w:r w:rsidRPr="00AC7B39">
        <w:rPr>
          <w:i/>
          <w:szCs w:val="22"/>
          <w:lang w:val="sr-Latn-ME"/>
        </w:rPr>
        <w:t xml:space="preserve">: </w:t>
      </w:r>
      <w:r w:rsidRPr="00AC7B39">
        <w:rPr>
          <w:szCs w:val="22"/>
          <w:lang w:val="sr-Latn-ME"/>
        </w:rPr>
        <w:t>Uobičajena dnevna doza</w:t>
      </w:r>
      <w:r w:rsidR="00E66349" w:rsidRPr="00AC7B39">
        <w:rPr>
          <w:szCs w:val="22"/>
          <w:lang w:val="sr-Latn-ME"/>
        </w:rPr>
        <w:t xml:space="preserve"> je </w:t>
      </w:r>
      <w:r w:rsidRPr="00AC7B39">
        <w:rPr>
          <w:szCs w:val="22"/>
          <w:lang w:val="sr-Latn-ME"/>
        </w:rPr>
        <w:t xml:space="preserve">20–30 mg/kg/dnevno kao pojedinačna doza ili podijeljeno po </w:t>
      </w:r>
      <w:r w:rsidR="00E66349" w:rsidRPr="00AC7B39">
        <w:rPr>
          <w:szCs w:val="22"/>
          <w:lang w:val="sr-Latn-ME"/>
        </w:rPr>
        <w:t xml:space="preserve">7,5 mg/kg tjelesne mase </w:t>
      </w:r>
      <w:r w:rsidRPr="00AC7B39">
        <w:rPr>
          <w:szCs w:val="22"/>
          <w:lang w:val="sr-Latn-ME"/>
        </w:rPr>
        <w:t>na 8 sati. Dnevna doza se može povećati do 40 mg/kg, u zavisnosti od težine infekcije. Terapija obično traje 7 dana.</w:t>
      </w:r>
    </w:p>
    <w:p w14:paraId="7425CD00" w14:textId="77777777" w:rsidR="005C46F1" w:rsidRPr="00AC7B39" w:rsidRDefault="005C46F1" w:rsidP="005C46F1">
      <w:pPr>
        <w:jc w:val="both"/>
        <w:rPr>
          <w:szCs w:val="22"/>
          <w:lang w:val="sr-Latn-ME"/>
        </w:rPr>
      </w:pPr>
    </w:p>
    <w:p w14:paraId="69366A37" w14:textId="77777777" w:rsidR="00CA7F51" w:rsidRPr="00AC7B39" w:rsidRDefault="00CA7F51" w:rsidP="005C46F1">
      <w:pPr>
        <w:jc w:val="both"/>
        <w:rPr>
          <w:szCs w:val="22"/>
          <w:lang w:val="sr-Latn-ME"/>
        </w:rPr>
      </w:pPr>
      <w:r w:rsidRPr="001C515E">
        <w:rPr>
          <w:i/>
          <w:szCs w:val="22"/>
          <w:lang w:val="sr-Latn-ME"/>
        </w:rPr>
        <w:t>Djeca mlađa od 8 nedelja</w:t>
      </w:r>
      <w:r w:rsidRPr="00AC7B39">
        <w:rPr>
          <w:i/>
          <w:szCs w:val="22"/>
          <w:lang w:val="sr-Latn-ME"/>
        </w:rPr>
        <w:t>:</w:t>
      </w:r>
      <w:r w:rsidRPr="00AC7B39">
        <w:rPr>
          <w:szCs w:val="22"/>
          <w:lang w:val="sr-Latn-ME"/>
        </w:rPr>
        <w:t xml:space="preserve"> 15 mg/kg kao pojedinačna dnevna doza ili podijeljeno na 7,5 mg/kg na svakih 12 sati. Kod novorođenčadi gestacione starosti manje od 40 nedelja može tokom prve nedelje života doći do nakupljanja metronidazola, zbog čega je potrebno provjeriti koncentraciju metronidazola u serumu nakon par dana liječenja.</w:t>
      </w:r>
    </w:p>
    <w:p w14:paraId="6795AB80" w14:textId="77777777" w:rsidR="00795AB4" w:rsidRPr="00AC7B39" w:rsidRDefault="00795AB4" w:rsidP="005C46F1">
      <w:pPr>
        <w:jc w:val="both"/>
        <w:rPr>
          <w:szCs w:val="22"/>
          <w:lang w:val="sr-Latn-ME"/>
        </w:rPr>
      </w:pPr>
    </w:p>
    <w:p w14:paraId="73E14070" w14:textId="77777777" w:rsidR="00795AB4" w:rsidRPr="00AC7B39" w:rsidRDefault="00CA7F51" w:rsidP="005C46F1">
      <w:pPr>
        <w:jc w:val="both"/>
        <w:rPr>
          <w:i/>
          <w:szCs w:val="22"/>
          <w:lang w:val="sr-Latn-ME"/>
        </w:rPr>
      </w:pPr>
      <w:r w:rsidRPr="00AC7B39">
        <w:rPr>
          <w:i/>
          <w:szCs w:val="22"/>
          <w:lang w:val="sr-Latn-ME"/>
        </w:rPr>
        <w:t>Profilaksa postoperativnih infekcija prouzrokovanih anaerobnim bakterijama</w:t>
      </w:r>
      <w:r w:rsidR="00795AB4" w:rsidRPr="00AC7B39">
        <w:rPr>
          <w:i/>
          <w:szCs w:val="22"/>
          <w:lang w:val="sr-Latn-ME"/>
        </w:rPr>
        <w:t>:</w:t>
      </w:r>
    </w:p>
    <w:p w14:paraId="2371FAF5" w14:textId="77777777" w:rsidR="00795AB4" w:rsidRPr="00AC7B39" w:rsidRDefault="00CA7F51" w:rsidP="005C46F1">
      <w:pPr>
        <w:jc w:val="both"/>
        <w:rPr>
          <w:szCs w:val="22"/>
          <w:lang w:val="sr-Latn-ME"/>
        </w:rPr>
      </w:pPr>
      <w:r w:rsidRPr="00AC7B39">
        <w:rPr>
          <w:i/>
          <w:szCs w:val="22"/>
          <w:lang w:val="sr-Latn-ME"/>
        </w:rPr>
        <w:t>Djeca mlađa od 12 godina</w:t>
      </w:r>
      <w:r w:rsidR="00795AB4" w:rsidRPr="00AC7B39">
        <w:rPr>
          <w:i/>
          <w:szCs w:val="22"/>
          <w:lang w:val="sr-Latn-ME"/>
        </w:rPr>
        <w:t>:</w:t>
      </w:r>
      <w:r w:rsidR="00795AB4" w:rsidRPr="00AC7B39">
        <w:rPr>
          <w:szCs w:val="22"/>
          <w:lang w:val="sr-Latn-ME"/>
        </w:rPr>
        <w:t xml:space="preserve"> 20-30 mg/kg </w:t>
      </w:r>
      <w:r w:rsidRPr="00AC7B39">
        <w:rPr>
          <w:szCs w:val="22"/>
          <w:lang w:val="sr-Latn-ME"/>
        </w:rPr>
        <w:t>kao pojedinačna doza koja se daje</w:t>
      </w:r>
      <w:r w:rsidR="00795AB4" w:rsidRPr="00AC7B39">
        <w:rPr>
          <w:szCs w:val="22"/>
          <w:lang w:val="sr-Latn-ME"/>
        </w:rPr>
        <w:t xml:space="preserve"> 1-2 </w:t>
      </w:r>
      <w:r w:rsidRPr="00AC7B39">
        <w:rPr>
          <w:szCs w:val="22"/>
          <w:lang w:val="sr-Latn-ME"/>
        </w:rPr>
        <w:t>sata prije operacije.</w:t>
      </w:r>
    </w:p>
    <w:p w14:paraId="66B53CA1" w14:textId="77777777" w:rsidR="00795AB4" w:rsidRPr="00AC7B39" w:rsidRDefault="00CA7F51" w:rsidP="005C46F1">
      <w:pPr>
        <w:jc w:val="both"/>
        <w:rPr>
          <w:szCs w:val="22"/>
          <w:lang w:val="sr-Latn-ME"/>
        </w:rPr>
      </w:pPr>
      <w:r w:rsidRPr="00AC7B39">
        <w:rPr>
          <w:i/>
          <w:szCs w:val="22"/>
          <w:lang w:val="sr-Latn-ME"/>
        </w:rPr>
        <w:t xml:space="preserve">Novorođenčad gestacione starosti manje od 40 nedelja: </w:t>
      </w:r>
      <w:r w:rsidRPr="00AC7B39">
        <w:rPr>
          <w:szCs w:val="22"/>
          <w:lang w:val="sr-Latn-ME"/>
        </w:rPr>
        <w:t>10 mg/kg tjelesne mase kao pojedinačna doza prije hirurške intervencije.</w:t>
      </w:r>
    </w:p>
    <w:p w14:paraId="51E3CC19" w14:textId="77777777" w:rsidR="005C46F1" w:rsidRPr="00AC7B39" w:rsidRDefault="005C46F1" w:rsidP="00ED5A83">
      <w:pPr>
        <w:jc w:val="both"/>
        <w:rPr>
          <w:szCs w:val="22"/>
          <w:lang w:val="sr-Latn-ME"/>
        </w:rPr>
      </w:pPr>
    </w:p>
    <w:p w14:paraId="67F60F0B" w14:textId="2DE4B02C" w:rsidR="00AB07F9" w:rsidRPr="00AC7B39" w:rsidRDefault="006B6865" w:rsidP="00ED5A83">
      <w:pPr>
        <w:jc w:val="both"/>
        <w:rPr>
          <w:szCs w:val="22"/>
          <w:lang w:val="sr-Latn-ME"/>
        </w:rPr>
      </w:pPr>
      <w:r w:rsidRPr="00AC7B39">
        <w:rPr>
          <w:i/>
          <w:szCs w:val="22"/>
          <w:lang w:val="sr-Latn-ME"/>
        </w:rPr>
        <w:t xml:space="preserve">Urogenitalna trihomonijaza:Odrasli i adolescenti: </w:t>
      </w:r>
      <w:r w:rsidRPr="00AC7B39">
        <w:rPr>
          <w:szCs w:val="22"/>
          <w:lang w:val="sr-Latn-ME"/>
        </w:rPr>
        <w:t xml:space="preserve">2000 mg u obliku pojedinačne doze ili 200 mg tri </w:t>
      </w:r>
      <w:r w:rsidR="00E66349" w:rsidRPr="00AC7B39">
        <w:rPr>
          <w:szCs w:val="22"/>
          <w:lang w:val="sr-Latn-ME"/>
        </w:rPr>
        <w:t>puta dnevno</w:t>
      </w:r>
      <w:r w:rsidRPr="00AC7B39">
        <w:rPr>
          <w:szCs w:val="22"/>
          <w:lang w:val="sr-Latn-ME"/>
        </w:rPr>
        <w:t xml:space="preserve"> u toku 7 dana, odnosno 400 mg dva puta dnevno u toku 5 do 7 dana.</w:t>
      </w:r>
      <w:r w:rsidRPr="00AC7B39">
        <w:rPr>
          <w:i/>
          <w:szCs w:val="22"/>
          <w:lang w:val="sr-Latn-ME"/>
        </w:rPr>
        <w:t xml:space="preserve">Djeca mlađa od 10 godina: </w:t>
      </w:r>
      <w:r w:rsidRPr="00AC7B39">
        <w:rPr>
          <w:szCs w:val="22"/>
          <w:lang w:val="sr-Latn-ME"/>
        </w:rPr>
        <w:t>40 mg/kg oralnim putem kao pojedinačna doza ili 15 – 30 mg/kg/dnevno podijeljeno u 2-3 doze u toku 7 dana; ne prekoračiti količinu od 2000 mg po dozi</w:t>
      </w:r>
      <w:r w:rsidR="00E66349" w:rsidRPr="00AC7B39">
        <w:rPr>
          <w:szCs w:val="22"/>
          <w:lang w:val="sr-Latn-ME"/>
        </w:rPr>
        <w:t>.</w:t>
      </w:r>
    </w:p>
    <w:p w14:paraId="7C407F0C" w14:textId="72F5CCB0" w:rsidR="00E66349" w:rsidRPr="00AC7B39" w:rsidRDefault="005C46F1" w:rsidP="00ED5A83">
      <w:pPr>
        <w:spacing w:before="120"/>
        <w:jc w:val="both"/>
        <w:rPr>
          <w:b/>
          <w:i/>
          <w:szCs w:val="22"/>
          <w:lang w:val="sr-Latn-ME"/>
        </w:rPr>
      </w:pPr>
      <w:r w:rsidRPr="00AC7B39">
        <w:rPr>
          <w:b/>
          <w:i/>
          <w:szCs w:val="22"/>
          <w:lang w:val="sr-Latn-ME"/>
        </w:rPr>
        <w:t>Giardiaza</w:t>
      </w:r>
      <w:r w:rsidRPr="00AC7B39" w:rsidDel="005C46F1">
        <w:rPr>
          <w:b/>
          <w:i/>
          <w:szCs w:val="22"/>
          <w:lang w:val="sr-Latn-ME"/>
        </w:rPr>
        <w:t xml:space="preserve"> </w:t>
      </w:r>
      <w:r w:rsidR="00795AB4" w:rsidRPr="00AC7B39">
        <w:rPr>
          <w:b/>
          <w:i/>
          <w:szCs w:val="22"/>
          <w:lang w:val="sr-Latn-ME"/>
        </w:rPr>
        <w:t>(</w:t>
      </w:r>
      <w:r w:rsidR="00E66349" w:rsidRPr="00AC7B39">
        <w:rPr>
          <w:b/>
          <w:i/>
          <w:szCs w:val="22"/>
          <w:lang w:val="sr-Latn-ME"/>
        </w:rPr>
        <w:t>Lamblijaza</w:t>
      </w:r>
      <w:r w:rsidR="00795AB4" w:rsidRPr="00AC7B39">
        <w:rPr>
          <w:b/>
          <w:i/>
          <w:szCs w:val="22"/>
          <w:lang w:val="sr-Latn-ME"/>
        </w:rPr>
        <w:t>)</w:t>
      </w:r>
    </w:p>
    <w:p w14:paraId="5156DDE1" w14:textId="58C7CEB7" w:rsidR="00E66349" w:rsidRPr="00AC7B39" w:rsidRDefault="00E66349" w:rsidP="00ED5A83">
      <w:pPr>
        <w:jc w:val="both"/>
        <w:rPr>
          <w:szCs w:val="22"/>
          <w:lang w:val="sr-Latn-ME"/>
        </w:rPr>
      </w:pPr>
      <w:r w:rsidRPr="00AC7B39">
        <w:rPr>
          <w:i/>
          <w:szCs w:val="22"/>
          <w:lang w:val="sr-Latn-ME"/>
        </w:rPr>
        <w:t>Djeci</w:t>
      </w:r>
      <w:r w:rsidRPr="00AC7B39">
        <w:rPr>
          <w:szCs w:val="22"/>
          <w:lang w:val="sr-Latn-ME"/>
        </w:rPr>
        <w:t xml:space="preserve"> bi trebalo davati dnevnu dozu od </w:t>
      </w:r>
      <w:r w:rsidR="00795AB4" w:rsidRPr="00AC7B39">
        <w:rPr>
          <w:szCs w:val="22"/>
          <w:lang w:val="sr-Latn-ME"/>
        </w:rPr>
        <w:t>15</w:t>
      </w:r>
      <w:r w:rsidRPr="00AC7B39">
        <w:rPr>
          <w:szCs w:val="22"/>
          <w:lang w:val="sr-Latn-ME"/>
        </w:rPr>
        <w:t xml:space="preserve"> do </w:t>
      </w:r>
      <w:r w:rsidR="00795AB4" w:rsidRPr="00AC7B39">
        <w:rPr>
          <w:szCs w:val="22"/>
          <w:lang w:val="sr-Latn-ME"/>
        </w:rPr>
        <w:t>40</w:t>
      </w:r>
      <w:r w:rsidRPr="00AC7B39">
        <w:rPr>
          <w:szCs w:val="22"/>
          <w:lang w:val="sr-Latn-ME"/>
        </w:rPr>
        <w:t xml:space="preserve"> mg metronidazola/kg tjelesne mase u 2</w:t>
      </w:r>
      <w:r w:rsidR="00795AB4" w:rsidRPr="00AC7B39">
        <w:rPr>
          <w:szCs w:val="22"/>
          <w:lang w:val="sr-Latn-ME"/>
        </w:rPr>
        <w:t>-3</w:t>
      </w:r>
      <w:r w:rsidRPr="00AC7B39">
        <w:rPr>
          <w:szCs w:val="22"/>
          <w:lang w:val="sr-Latn-ME"/>
        </w:rPr>
        <w:t xml:space="preserve"> podijeljene doze tokom 5 dana.</w:t>
      </w:r>
    </w:p>
    <w:p w14:paraId="7F0CE793" w14:textId="77777777" w:rsidR="00520A91" w:rsidRPr="00AC7B39" w:rsidRDefault="00520A91" w:rsidP="00ED5A83">
      <w:pPr>
        <w:jc w:val="both"/>
        <w:rPr>
          <w:i/>
          <w:szCs w:val="22"/>
          <w:lang w:val="sr-Latn-ME"/>
        </w:rPr>
      </w:pPr>
      <w:r w:rsidRPr="00AC7B39">
        <w:rPr>
          <w:i/>
          <w:szCs w:val="22"/>
          <w:lang w:val="sr-Latn-ME"/>
        </w:rPr>
        <w:t xml:space="preserve">Odrasli i adolescenti stariji od 10 godina: </w:t>
      </w:r>
      <w:r w:rsidRPr="00AC7B39">
        <w:rPr>
          <w:szCs w:val="22"/>
          <w:lang w:val="sr-Latn-ME"/>
        </w:rPr>
        <w:t>2000 mg jednom dnevno tokom 3 dana, ili 400 mg tri puta dnevno tokom 5 dana, ili 500 mg dva puta dnevno tokom 7 do 10 dana.</w:t>
      </w:r>
      <w:r w:rsidRPr="00AC7B39">
        <w:rPr>
          <w:i/>
          <w:szCs w:val="22"/>
          <w:lang w:val="sr-Latn-ME"/>
        </w:rPr>
        <w:t xml:space="preserve">Djeca uzrasta 7 do 10 godina: </w:t>
      </w:r>
      <w:r w:rsidRPr="00AC7B39">
        <w:rPr>
          <w:szCs w:val="22"/>
          <w:lang w:val="sr-Latn-ME"/>
        </w:rPr>
        <w:t>1000 mg jednom dnevno 3 dana</w:t>
      </w:r>
    </w:p>
    <w:p w14:paraId="2D1CDC81" w14:textId="77777777" w:rsidR="00520A91" w:rsidRPr="00AC7B39" w:rsidRDefault="00520A91" w:rsidP="00ED5A83">
      <w:pPr>
        <w:jc w:val="both"/>
        <w:rPr>
          <w:szCs w:val="22"/>
          <w:lang w:val="sr-Latn-ME"/>
        </w:rPr>
      </w:pPr>
      <w:r w:rsidRPr="00AC7B39">
        <w:rPr>
          <w:i/>
          <w:szCs w:val="22"/>
          <w:lang w:val="sr-Latn-ME"/>
        </w:rPr>
        <w:t xml:space="preserve">Djeca uzrasta 3 do 7 godina: </w:t>
      </w:r>
      <w:r w:rsidRPr="00AC7B39">
        <w:rPr>
          <w:szCs w:val="22"/>
          <w:lang w:val="sr-Latn-ME"/>
        </w:rPr>
        <w:t>600 do 800 mg jednom dnevno 3 dana</w:t>
      </w:r>
    </w:p>
    <w:p w14:paraId="4743FC22" w14:textId="77777777" w:rsidR="00E66349" w:rsidRPr="00AC7B39" w:rsidRDefault="00520A91" w:rsidP="00ED5A83">
      <w:pPr>
        <w:widowControl w:val="0"/>
        <w:jc w:val="both"/>
        <w:rPr>
          <w:szCs w:val="22"/>
          <w:lang w:val="sr-Latn-ME"/>
        </w:rPr>
      </w:pPr>
      <w:r w:rsidRPr="00AC7B39">
        <w:rPr>
          <w:i/>
          <w:szCs w:val="22"/>
          <w:lang w:val="sr-Latn-ME"/>
        </w:rPr>
        <w:t xml:space="preserve">Djeca uzrasta 1 do 3 godine: </w:t>
      </w:r>
      <w:r w:rsidRPr="00AC7B39">
        <w:rPr>
          <w:szCs w:val="22"/>
          <w:lang w:val="sr-Latn-ME"/>
        </w:rPr>
        <w:t>500 mg jednom dnevno 3 dana</w:t>
      </w:r>
    </w:p>
    <w:p w14:paraId="0C8AD795" w14:textId="77777777" w:rsidR="00E66349" w:rsidRPr="00AC7B39" w:rsidRDefault="00E66349" w:rsidP="00ED5A83">
      <w:pPr>
        <w:widowControl w:val="0"/>
        <w:jc w:val="both"/>
        <w:rPr>
          <w:b/>
          <w:i/>
          <w:szCs w:val="22"/>
          <w:lang w:val="sr-Latn-ME"/>
        </w:rPr>
      </w:pPr>
    </w:p>
    <w:p w14:paraId="457D369C" w14:textId="77777777" w:rsidR="00E66349" w:rsidRPr="00AC7B39" w:rsidRDefault="00E66349" w:rsidP="00ED5A83">
      <w:pPr>
        <w:widowControl w:val="0"/>
        <w:jc w:val="both"/>
        <w:rPr>
          <w:b/>
          <w:i/>
          <w:szCs w:val="22"/>
          <w:lang w:val="sr-Latn-ME"/>
        </w:rPr>
      </w:pPr>
      <w:r w:rsidRPr="00AC7B39">
        <w:rPr>
          <w:b/>
          <w:i/>
          <w:szCs w:val="22"/>
          <w:lang w:val="sr-Latn-ME"/>
        </w:rPr>
        <w:t>Intestinalne forme amebijaze</w:t>
      </w:r>
    </w:p>
    <w:p w14:paraId="162C71D5" w14:textId="77777777" w:rsidR="008E7D1A" w:rsidRPr="00AC7B39" w:rsidRDefault="008E7D1A" w:rsidP="00ED5A83">
      <w:pPr>
        <w:widowControl w:val="0"/>
        <w:jc w:val="both"/>
        <w:rPr>
          <w:b/>
          <w:i/>
          <w:szCs w:val="22"/>
          <w:lang w:val="sr-Latn-ME"/>
        </w:rPr>
      </w:pPr>
      <w:r w:rsidRPr="00AC7B39">
        <w:rPr>
          <w:i/>
          <w:szCs w:val="22"/>
          <w:lang w:val="sr-Latn-ME"/>
        </w:rPr>
        <w:t xml:space="preserve">Odrasli i adolescenti stariji od 10 godina: </w:t>
      </w:r>
      <w:r w:rsidRPr="00AC7B39">
        <w:rPr>
          <w:szCs w:val="22"/>
          <w:lang w:val="sr-Latn-ME"/>
        </w:rPr>
        <w:t>400 do 800 mg 3 puta dnevno tokom 5 do 10</w:t>
      </w:r>
      <w:r w:rsidRPr="00AC7B39">
        <w:rPr>
          <w:b/>
          <w:szCs w:val="22"/>
          <w:lang w:val="sr-Latn-ME"/>
        </w:rPr>
        <w:t xml:space="preserve"> </w:t>
      </w:r>
      <w:r w:rsidRPr="00AC7B39">
        <w:rPr>
          <w:szCs w:val="22"/>
          <w:lang w:val="sr-Latn-ME"/>
        </w:rPr>
        <w:t>dana</w:t>
      </w:r>
    </w:p>
    <w:p w14:paraId="4217A4D0" w14:textId="77777777" w:rsidR="008E7D1A" w:rsidRPr="00AC7B39" w:rsidRDefault="008E7D1A" w:rsidP="00ED5A83">
      <w:pPr>
        <w:widowControl w:val="0"/>
        <w:jc w:val="both"/>
        <w:rPr>
          <w:szCs w:val="22"/>
          <w:lang w:val="sr-Latn-ME"/>
        </w:rPr>
      </w:pPr>
      <w:r w:rsidRPr="00AC7B39">
        <w:rPr>
          <w:i/>
          <w:szCs w:val="22"/>
          <w:lang w:val="sr-Latn-ME"/>
        </w:rPr>
        <w:t xml:space="preserve">Djeca uzrasta 7 do 10 godina: </w:t>
      </w:r>
      <w:r w:rsidRPr="00AC7B39">
        <w:rPr>
          <w:szCs w:val="22"/>
          <w:lang w:val="sr-Latn-ME"/>
        </w:rPr>
        <w:t>200 do 400 mg 3 puta dnevno 5-10 dana</w:t>
      </w:r>
    </w:p>
    <w:p w14:paraId="201A8E64" w14:textId="77777777" w:rsidR="008E7D1A" w:rsidRPr="00AC7B39" w:rsidRDefault="008E7D1A" w:rsidP="00ED5A83">
      <w:pPr>
        <w:widowControl w:val="0"/>
        <w:jc w:val="both"/>
        <w:rPr>
          <w:szCs w:val="22"/>
          <w:lang w:val="sr-Latn-ME"/>
        </w:rPr>
      </w:pPr>
      <w:r w:rsidRPr="00AC7B39">
        <w:rPr>
          <w:i/>
          <w:szCs w:val="22"/>
          <w:lang w:val="sr-Latn-ME"/>
        </w:rPr>
        <w:t xml:space="preserve">Djeca uzrasta 3 do 7 godina: </w:t>
      </w:r>
      <w:r w:rsidRPr="00AC7B39">
        <w:rPr>
          <w:szCs w:val="22"/>
          <w:lang w:val="sr-Latn-ME"/>
        </w:rPr>
        <w:t>100 do 200 mg 4 puta dnevno 5-10 dana</w:t>
      </w:r>
    </w:p>
    <w:p w14:paraId="35D5491A" w14:textId="77777777" w:rsidR="008E7D1A" w:rsidRPr="00AC7B39" w:rsidRDefault="008E7D1A" w:rsidP="00ED5A83">
      <w:pPr>
        <w:widowControl w:val="0"/>
        <w:jc w:val="both"/>
        <w:rPr>
          <w:szCs w:val="22"/>
          <w:lang w:val="sr-Latn-ME"/>
        </w:rPr>
      </w:pPr>
      <w:r w:rsidRPr="00AC7B39">
        <w:rPr>
          <w:i/>
          <w:szCs w:val="22"/>
          <w:lang w:val="sr-Latn-ME"/>
        </w:rPr>
        <w:t xml:space="preserve">Djeca uzrasta 1 do 3 godine: </w:t>
      </w:r>
      <w:r w:rsidRPr="00AC7B39">
        <w:rPr>
          <w:szCs w:val="22"/>
          <w:lang w:val="sr-Latn-ME"/>
        </w:rPr>
        <w:t>100 do 200 mg 3 puta dnevno 5-10 dana</w:t>
      </w:r>
    </w:p>
    <w:p w14:paraId="6FA4E373" w14:textId="60905F5E" w:rsidR="00E66349" w:rsidRPr="00AC7B39" w:rsidRDefault="008E7D1A" w:rsidP="00ED5A83">
      <w:pPr>
        <w:jc w:val="both"/>
        <w:rPr>
          <w:szCs w:val="22"/>
          <w:lang w:val="sr-Latn-ME"/>
        </w:rPr>
      </w:pPr>
      <w:r w:rsidRPr="00AC7B39">
        <w:rPr>
          <w:i/>
          <w:szCs w:val="22"/>
          <w:lang w:val="sr-Latn-ME"/>
        </w:rPr>
        <w:t>Alternativno</w:t>
      </w:r>
      <w:r w:rsidR="00795AB4" w:rsidRPr="00AC7B39">
        <w:rPr>
          <w:i/>
          <w:szCs w:val="22"/>
          <w:lang w:val="sr-Latn-ME"/>
        </w:rPr>
        <w:t xml:space="preserve"> </w:t>
      </w:r>
      <w:r w:rsidR="00E66349" w:rsidRPr="00AC7B39">
        <w:rPr>
          <w:i/>
          <w:szCs w:val="22"/>
          <w:lang w:val="sr-Latn-ME"/>
        </w:rPr>
        <w:t>Djeci</w:t>
      </w:r>
      <w:r w:rsidR="00E66349" w:rsidRPr="00AC7B39">
        <w:rPr>
          <w:szCs w:val="22"/>
          <w:lang w:val="sr-Latn-ME"/>
        </w:rPr>
        <w:t xml:space="preserve"> bi trebalo davati dnevnu dozu od 35 do 50 mg metronidazola/kg tjelesne mase u 3 podijeljene doze </w:t>
      </w:r>
      <w:r w:rsidR="00795AB4" w:rsidRPr="00AC7B39">
        <w:rPr>
          <w:szCs w:val="22"/>
          <w:lang w:val="sr-Latn-ME"/>
        </w:rPr>
        <w:t xml:space="preserve">5  </w:t>
      </w:r>
      <w:r w:rsidRPr="00AC7B39">
        <w:rPr>
          <w:szCs w:val="22"/>
          <w:lang w:val="sr-Latn-ME"/>
        </w:rPr>
        <w:t>do</w:t>
      </w:r>
      <w:r w:rsidR="00795AB4" w:rsidRPr="00AC7B39">
        <w:rPr>
          <w:szCs w:val="22"/>
          <w:lang w:val="sr-Latn-ME"/>
        </w:rPr>
        <w:t xml:space="preserve"> 10 </w:t>
      </w:r>
      <w:r w:rsidRPr="00AC7B39">
        <w:rPr>
          <w:szCs w:val="22"/>
          <w:lang w:val="sr-Latn-ME"/>
        </w:rPr>
        <w:t>dana</w:t>
      </w:r>
      <w:r w:rsidR="00795AB4" w:rsidRPr="00AC7B39">
        <w:rPr>
          <w:szCs w:val="22"/>
          <w:lang w:val="sr-Latn-ME"/>
        </w:rPr>
        <w:t xml:space="preserve">, </w:t>
      </w:r>
      <w:r w:rsidRPr="00AC7B39">
        <w:rPr>
          <w:szCs w:val="22"/>
          <w:lang w:val="sr-Latn-ME"/>
        </w:rPr>
        <w:t xml:space="preserve">dnevna doza ne smije preći 2400 mg. </w:t>
      </w:r>
    </w:p>
    <w:p w14:paraId="23B69862" w14:textId="77777777" w:rsidR="00E66349" w:rsidRPr="00AC7B39" w:rsidRDefault="00E66349" w:rsidP="00ED5A83">
      <w:pPr>
        <w:jc w:val="both"/>
        <w:rPr>
          <w:szCs w:val="22"/>
          <w:lang w:val="sr-Latn-ME"/>
        </w:rPr>
      </w:pPr>
    </w:p>
    <w:p w14:paraId="2F00A6C4" w14:textId="77777777" w:rsidR="00E66349" w:rsidRPr="00AC7B39" w:rsidRDefault="00E66349" w:rsidP="00ED5A83">
      <w:pPr>
        <w:jc w:val="both"/>
        <w:rPr>
          <w:szCs w:val="22"/>
          <w:lang w:val="sr-Latn-ME"/>
        </w:rPr>
      </w:pPr>
      <w:r w:rsidRPr="00AC7B39">
        <w:rPr>
          <w:b/>
          <w:i/>
          <w:szCs w:val="22"/>
          <w:lang w:val="sr-Latn-ME"/>
        </w:rPr>
        <w:t>Apsces jetre i druge ekstraintestinalne forme amebijaze</w:t>
      </w:r>
      <w:r w:rsidRPr="00AC7B39">
        <w:rPr>
          <w:szCs w:val="22"/>
          <w:lang w:val="sr-Latn-ME"/>
        </w:rPr>
        <w:t xml:space="preserve"> se liječe tokom 7 do 10 dana istom dozom kao i intestinalne forme amebijaze.</w:t>
      </w:r>
    </w:p>
    <w:p w14:paraId="470A8BC3" w14:textId="77777777" w:rsidR="00E66349" w:rsidRPr="00AC7B39" w:rsidRDefault="00E66349" w:rsidP="00ED5A83">
      <w:pPr>
        <w:jc w:val="both"/>
        <w:rPr>
          <w:szCs w:val="22"/>
          <w:u w:val="single"/>
          <w:lang w:val="sr-Latn-ME"/>
        </w:rPr>
      </w:pPr>
    </w:p>
    <w:p w14:paraId="43C8518C" w14:textId="77777777" w:rsidR="00C53B87" w:rsidRPr="00AC7B39" w:rsidRDefault="00C53B87" w:rsidP="00ED5A83">
      <w:pPr>
        <w:widowControl w:val="0"/>
        <w:jc w:val="both"/>
        <w:rPr>
          <w:b/>
          <w:i/>
          <w:szCs w:val="22"/>
          <w:lang w:val="sr-Latn-ME"/>
        </w:rPr>
      </w:pPr>
      <w:r w:rsidRPr="00AC7B39">
        <w:rPr>
          <w:b/>
          <w:i/>
          <w:szCs w:val="22"/>
          <w:lang w:val="sr-Latn-ME"/>
        </w:rPr>
        <w:t>Eradikacija Helicobacter pylori kod djece:</w:t>
      </w:r>
    </w:p>
    <w:p w14:paraId="76ED321C" w14:textId="77777777" w:rsidR="00C53B87" w:rsidRPr="00AC7B39" w:rsidRDefault="00C53B87" w:rsidP="00ED5A83">
      <w:pPr>
        <w:widowControl w:val="0"/>
        <w:jc w:val="both"/>
        <w:rPr>
          <w:szCs w:val="22"/>
          <w:lang w:val="sr-Latn-ME"/>
        </w:rPr>
      </w:pPr>
      <w:r w:rsidRPr="00AC7B39">
        <w:rPr>
          <w:szCs w:val="22"/>
          <w:lang w:val="sr-Latn-ME"/>
        </w:rPr>
        <w:t>Kao dio kombinovane terapije, 20 mg/kg/dan, ali ne više od 500 mg dva puta dnevno 7 do 14 dana. Prije početka liječenja potrebno je provjeriti službene smjernice.</w:t>
      </w:r>
      <w:r w:rsidRPr="00AC7B39" w:rsidDel="00CA78B9">
        <w:rPr>
          <w:szCs w:val="22"/>
          <w:lang w:val="sr-Latn-ME"/>
        </w:rPr>
        <w:t xml:space="preserve"> </w:t>
      </w:r>
    </w:p>
    <w:p w14:paraId="04A85C9A" w14:textId="77777777" w:rsidR="00795AB4" w:rsidRPr="00AC7B39" w:rsidRDefault="00795AB4" w:rsidP="00ED5A83">
      <w:pPr>
        <w:widowControl w:val="0"/>
        <w:jc w:val="both"/>
        <w:rPr>
          <w:i/>
          <w:szCs w:val="22"/>
          <w:lang w:val="sr-Latn-ME"/>
        </w:rPr>
      </w:pPr>
    </w:p>
    <w:p w14:paraId="49F5404F" w14:textId="77777777" w:rsidR="00C53B87" w:rsidRPr="00AC7B39" w:rsidRDefault="00C53B87" w:rsidP="00ED5A83">
      <w:pPr>
        <w:widowControl w:val="0"/>
        <w:jc w:val="both"/>
        <w:rPr>
          <w:bCs/>
          <w:iCs/>
          <w:szCs w:val="22"/>
          <w:lang w:val="sr-Latn-ME"/>
        </w:rPr>
      </w:pPr>
      <w:r w:rsidRPr="00AC7B39">
        <w:rPr>
          <w:b/>
          <w:bCs/>
          <w:i/>
          <w:iCs/>
          <w:szCs w:val="22"/>
          <w:lang w:val="sr-Latn-ME"/>
        </w:rPr>
        <w:t>Starije osobe</w:t>
      </w:r>
      <w:r w:rsidRPr="00AC7B39">
        <w:rPr>
          <w:b/>
          <w:bCs/>
          <w:i/>
          <w:iCs/>
          <w:szCs w:val="22"/>
          <w:lang w:val="sr-Latn-ME"/>
        </w:rPr>
        <w:cr/>
      </w:r>
      <w:r w:rsidRPr="00AC7B39">
        <w:rPr>
          <w:bCs/>
          <w:iCs/>
          <w:szCs w:val="22"/>
          <w:lang w:val="sr-Latn-ME"/>
        </w:rPr>
        <w:t xml:space="preserve">Potreban je oprez kod primjene lijeka kod starijih osoba. </w:t>
      </w:r>
      <w:r w:rsidR="007D124C" w:rsidRPr="00AC7B39">
        <w:rPr>
          <w:bCs/>
          <w:iCs/>
          <w:szCs w:val="22"/>
          <w:lang w:val="sr-Latn-ME"/>
        </w:rPr>
        <w:t>D</w:t>
      </w:r>
      <w:r w:rsidRPr="00AC7B39">
        <w:rPr>
          <w:bCs/>
          <w:iCs/>
          <w:szCs w:val="22"/>
          <w:lang w:val="sr-Latn-ME"/>
        </w:rPr>
        <w:t xml:space="preserve">ostupni podaci o prilagođavanju doze </w:t>
      </w:r>
      <w:r w:rsidR="007D124C" w:rsidRPr="00AC7B39">
        <w:rPr>
          <w:bCs/>
          <w:iCs/>
          <w:szCs w:val="22"/>
          <w:lang w:val="sr-Latn-ME"/>
        </w:rPr>
        <w:t xml:space="preserve">su </w:t>
      </w:r>
      <w:r w:rsidRPr="00AC7B39">
        <w:rPr>
          <w:bCs/>
          <w:iCs/>
          <w:szCs w:val="22"/>
          <w:lang w:val="sr-Latn-ME"/>
        </w:rPr>
        <w:t>ograničeni.</w:t>
      </w:r>
      <w:r w:rsidRPr="00AC7B39" w:rsidDel="00F15293">
        <w:rPr>
          <w:bCs/>
          <w:iCs/>
          <w:szCs w:val="22"/>
          <w:lang w:val="sr-Latn-ME"/>
        </w:rPr>
        <w:t xml:space="preserve"> </w:t>
      </w:r>
    </w:p>
    <w:p w14:paraId="60B0F1A9" w14:textId="77777777" w:rsidR="00C53B87" w:rsidRPr="00AC7B39" w:rsidRDefault="00C53B87" w:rsidP="00ED5A83">
      <w:pPr>
        <w:jc w:val="both"/>
        <w:rPr>
          <w:b/>
          <w:bCs/>
          <w:i/>
          <w:iCs/>
          <w:szCs w:val="22"/>
          <w:lang w:val="sr-Latn-ME"/>
        </w:rPr>
      </w:pPr>
    </w:p>
    <w:p w14:paraId="7F33CDDC" w14:textId="77777777" w:rsidR="007D124C" w:rsidRPr="00AC7B39" w:rsidRDefault="007D124C" w:rsidP="00ED5A83">
      <w:pPr>
        <w:jc w:val="both"/>
        <w:rPr>
          <w:b/>
          <w:bCs/>
          <w:i/>
          <w:iCs/>
          <w:szCs w:val="22"/>
          <w:lang w:val="sr-Latn-ME"/>
        </w:rPr>
      </w:pPr>
      <w:r w:rsidRPr="00AC7B39">
        <w:rPr>
          <w:b/>
          <w:bCs/>
          <w:i/>
          <w:iCs/>
          <w:szCs w:val="22"/>
          <w:lang w:val="sr-Latn-ME"/>
        </w:rPr>
        <w:t xml:space="preserve">Oštećenje funkcije bubrega </w:t>
      </w:r>
    </w:p>
    <w:p w14:paraId="016D7F97" w14:textId="77777777" w:rsidR="007D124C" w:rsidRPr="00AC7B39" w:rsidRDefault="007D124C" w:rsidP="00ED5A83">
      <w:pPr>
        <w:widowControl w:val="0"/>
        <w:jc w:val="both"/>
        <w:rPr>
          <w:szCs w:val="22"/>
          <w:lang w:val="sr-Latn-ME"/>
        </w:rPr>
      </w:pPr>
      <w:r w:rsidRPr="00AC7B39">
        <w:rPr>
          <w:szCs w:val="22"/>
          <w:lang w:val="sr-Latn-ME"/>
        </w:rPr>
        <w:t xml:space="preserve">Prilagođavanje doze nije neophodno kod pacijenata sa oštećenom funkcijom bubrega. </w:t>
      </w:r>
    </w:p>
    <w:p w14:paraId="60C47156" w14:textId="77777777" w:rsidR="007D124C" w:rsidRPr="00AC7B39" w:rsidRDefault="007D124C" w:rsidP="00ED5A83">
      <w:pPr>
        <w:widowControl w:val="0"/>
        <w:jc w:val="both"/>
        <w:rPr>
          <w:szCs w:val="22"/>
          <w:lang w:val="sr-Latn-ME"/>
        </w:rPr>
      </w:pPr>
      <w:r w:rsidRPr="00AC7B39">
        <w:rPr>
          <w:szCs w:val="22"/>
          <w:lang w:val="sr-Latn-ME"/>
        </w:rPr>
        <w:t xml:space="preserve">Metronidazol se uklanja tokom hemodijalize i treba ga primjenjivati po završetku ove procedure. </w:t>
      </w:r>
    </w:p>
    <w:p w14:paraId="6B3CD3E5" w14:textId="77777777" w:rsidR="00795AB4" w:rsidRPr="00AC7B39" w:rsidRDefault="00795AB4" w:rsidP="00ED5A83">
      <w:pPr>
        <w:jc w:val="both"/>
        <w:rPr>
          <w:b/>
          <w:bCs/>
          <w:i/>
          <w:iCs/>
          <w:szCs w:val="22"/>
          <w:highlight w:val="yellow"/>
          <w:lang w:val="sr-Latn-ME"/>
        </w:rPr>
      </w:pPr>
    </w:p>
    <w:p w14:paraId="1799F3D3" w14:textId="77777777" w:rsidR="007D124C" w:rsidRPr="00AC7B39" w:rsidRDefault="007D124C" w:rsidP="00ED5A83">
      <w:pPr>
        <w:jc w:val="both"/>
        <w:rPr>
          <w:b/>
          <w:bCs/>
          <w:i/>
          <w:iCs/>
          <w:szCs w:val="22"/>
          <w:lang w:val="sr-Latn-ME"/>
        </w:rPr>
      </w:pPr>
      <w:r w:rsidRPr="00AC7B39">
        <w:rPr>
          <w:b/>
          <w:bCs/>
          <w:i/>
          <w:iCs/>
          <w:szCs w:val="22"/>
          <w:lang w:val="sr-Latn-ME"/>
        </w:rPr>
        <w:t xml:space="preserve">Ozbiljno oštećenje funkcije jetre </w:t>
      </w:r>
    </w:p>
    <w:p w14:paraId="082BB468" w14:textId="77777777" w:rsidR="007D124C" w:rsidRPr="00AC7B39" w:rsidRDefault="007D124C" w:rsidP="00ED5A83">
      <w:pPr>
        <w:jc w:val="both"/>
        <w:rPr>
          <w:szCs w:val="22"/>
          <w:lang w:val="sr-Latn-ME"/>
        </w:rPr>
      </w:pPr>
      <w:r w:rsidRPr="00AC7B39">
        <w:rPr>
          <w:szCs w:val="22"/>
          <w:lang w:val="sr-Latn-ME"/>
        </w:rPr>
        <w:t>Kod ovih pacijenata je potrebno smanjiti dozu uz praćenje nivoa seruma.</w:t>
      </w:r>
      <w:r w:rsidRPr="00AC7B39" w:rsidDel="007F0BEC">
        <w:rPr>
          <w:szCs w:val="22"/>
          <w:lang w:val="sr-Latn-ME"/>
        </w:rPr>
        <w:t xml:space="preserve"> </w:t>
      </w:r>
    </w:p>
    <w:p w14:paraId="0FB4A997" w14:textId="77777777" w:rsidR="00795AB4" w:rsidRPr="00AC7B39" w:rsidRDefault="00795AB4" w:rsidP="00ED5A83">
      <w:pPr>
        <w:jc w:val="both"/>
        <w:rPr>
          <w:szCs w:val="22"/>
          <w:u w:val="single"/>
          <w:lang w:val="sr-Latn-ME"/>
        </w:rPr>
      </w:pPr>
    </w:p>
    <w:p w14:paraId="7AA09A84" w14:textId="77777777" w:rsidR="00E66349" w:rsidRPr="00AC7B39" w:rsidRDefault="00E66349" w:rsidP="00ED5A83">
      <w:pPr>
        <w:jc w:val="both"/>
        <w:rPr>
          <w:szCs w:val="22"/>
          <w:u w:val="single"/>
          <w:lang w:val="sr-Latn-ME"/>
        </w:rPr>
      </w:pPr>
      <w:r w:rsidRPr="00AC7B39">
        <w:rPr>
          <w:szCs w:val="22"/>
          <w:u w:val="single"/>
          <w:lang w:val="sr-Latn-ME"/>
        </w:rPr>
        <w:t>Način primjene</w:t>
      </w:r>
    </w:p>
    <w:p w14:paraId="14BB3398" w14:textId="39475D7A" w:rsidR="00E66349" w:rsidRPr="00AC7B39" w:rsidRDefault="00E66349" w:rsidP="00ED5A83">
      <w:pPr>
        <w:jc w:val="both"/>
        <w:rPr>
          <w:szCs w:val="22"/>
          <w:lang w:val="sr-Latn-ME"/>
        </w:rPr>
      </w:pPr>
      <w:r w:rsidRPr="00AC7B39">
        <w:rPr>
          <w:szCs w:val="22"/>
          <w:lang w:val="sr-Latn-ME"/>
        </w:rPr>
        <w:t>Oralna upotreba</w:t>
      </w:r>
    </w:p>
    <w:p w14:paraId="6CB6FBFF" w14:textId="77777777" w:rsidR="00E66349" w:rsidRPr="00AC7B39" w:rsidRDefault="00E66349" w:rsidP="00E66349">
      <w:pPr>
        <w:suppressAutoHyphens/>
        <w:jc w:val="both"/>
        <w:rPr>
          <w:b/>
          <w:bCs/>
          <w:szCs w:val="22"/>
          <w:lang w:val="sr-Latn-ME" w:eastAsia="ar-SA"/>
        </w:rPr>
      </w:pPr>
    </w:p>
    <w:p w14:paraId="42EE652A"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4.3</w:t>
      </w:r>
      <w:r w:rsidRPr="00AC7B39">
        <w:rPr>
          <w:b/>
          <w:bCs/>
          <w:szCs w:val="22"/>
          <w:lang w:val="sr-Latn-ME" w:eastAsia="ar-SA"/>
        </w:rPr>
        <w:tab/>
        <w:t>Kontraindikacije</w:t>
      </w:r>
    </w:p>
    <w:p w14:paraId="4EABDC17" w14:textId="77777777" w:rsidR="00E66349" w:rsidRPr="00AC7B39" w:rsidRDefault="00E66349" w:rsidP="00E66349">
      <w:pPr>
        <w:suppressAutoHyphens/>
        <w:jc w:val="both"/>
        <w:rPr>
          <w:szCs w:val="22"/>
          <w:lang w:val="sr-Latn-ME" w:eastAsia="ar-SA"/>
        </w:rPr>
      </w:pPr>
    </w:p>
    <w:p w14:paraId="32274469" w14:textId="77777777" w:rsidR="00E66349" w:rsidRPr="00AC7B39" w:rsidRDefault="00E66349" w:rsidP="00E66349">
      <w:pPr>
        <w:suppressAutoHyphens/>
        <w:jc w:val="both"/>
        <w:rPr>
          <w:szCs w:val="22"/>
          <w:lang w:val="sr-Latn-ME"/>
        </w:rPr>
      </w:pPr>
      <w:r w:rsidRPr="00AC7B39">
        <w:rPr>
          <w:szCs w:val="22"/>
          <w:lang w:val="sr-Latn-ME" w:eastAsia="ar-SA"/>
        </w:rPr>
        <w:t>Preosjetljivost na metronidazol ili druge ljekove sa sličnom hemijskom strukturom (nitroimidazoli) ili na bilo koju pomoćnu supstancu.</w:t>
      </w:r>
    </w:p>
    <w:p w14:paraId="20DAB4FD" w14:textId="77777777" w:rsidR="00531542" w:rsidRPr="00AC7B39" w:rsidRDefault="00531542" w:rsidP="00E66349">
      <w:pPr>
        <w:jc w:val="both"/>
        <w:rPr>
          <w:szCs w:val="22"/>
          <w:lang w:val="sr-Latn-ME"/>
        </w:rPr>
      </w:pPr>
      <w:r w:rsidRPr="00AC7B39">
        <w:rPr>
          <w:szCs w:val="22"/>
          <w:lang w:val="sr-Latn-ME"/>
        </w:rPr>
        <w:t xml:space="preserve">Metronidazol treba primjenjivati sa oprezom kod pacijenata sa teškim akutnim ili hroničnim oboljenjem perifernog i centralnog nervnog sistema zbog rizika od neurološkog pogoršanja. </w:t>
      </w:r>
    </w:p>
    <w:p w14:paraId="277832C2" w14:textId="77777777" w:rsidR="00E66349" w:rsidRPr="00AC7B39" w:rsidRDefault="00E66349" w:rsidP="00E66349">
      <w:pPr>
        <w:jc w:val="both"/>
        <w:rPr>
          <w:szCs w:val="22"/>
          <w:lang w:val="sr-Latn-ME"/>
        </w:rPr>
      </w:pPr>
      <w:r w:rsidRPr="00AC7B39">
        <w:rPr>
          <w:szCs w:val="22"/>
          <w:lang w:val="sr-Latn-ME"/>
        </w:rPr>
        <w:t>Prvi trimester trudnoće.</w:t>
      </w:r>
    </w:p>
    <w:p w14:paraId="5C52CC1A" w14:textId="7E9DD0F6" w:rsidR="009D2E9C" w:rsidRPr="00AC7B39" w:rsidRDefault="00E66349" w:rsidP="00EC0E54">
      <w:pPr>
        <w:jc w:val="both"/>
        <w:rPr>
          <w:szCs w:val="22"/>
          <w:lang w:val="sr-Latn-ME" w:eastAsia="ar-SA"/>
        </w:rPr>
      </w:pPr>
      <w:r w:rsidRPr="00AC7B39">
        <w:rPr>
          <w:szCs w:val="22"/>
          <w:lang w:val="sr-Latn-ME"/>
        </w:rPr>
        <w:t>Dojenje.</w:t>
      </w:r>
    </w:p>
    <w:p w14:paraId="57807E4E" w14:textId="038FFE93" w:rsidR="00E66349" w:rsidRDefault="00E66349" w:rsidP="00E66349">
      <w:pPr>
        <w:suppressAutoHyphens/>
        <w:jc w:val="both"/>
        <w:rPr>
          <w:szCs w:val="22"/>
          <w:lang w:val="sr-Latn-ME" w:eastAsia="ar-SA"/>
        </w:rPr>
      </w:pPr>
    </w:p>
    <w:p w14:paraId="4625FA6F" w14:textId="5EA2BFBD" w:rsidR="00DE3AA9" w:rsidRDefault="00DE3AA9" w:rsidP="00E66349">
      <w:pPr>
        <w:suppressAutoHyphens/>
        <w:jc w:val="both"/>
        <w:rPr>
          <w:szCs w:val="22"/>
          <w:lang w:val="sr-Latn-ME" w:eastAsia="ar-SA"/>
        </w:rPr>
      </w:pPr>
    </w:p>
    <w:p w14:paraId="24A28D54" w14:textId="77777777" w:rsidR="00DE3AA9" w:rsidRPr="00AC7B39" w:rsidRDefault="00DE3AA9" w:rsidP="00E66349">
      <w:pPr>
        <w:suppressAutoHyphens/>
        <w:jc w:val="both"/>
        <w:rPr>
          <w:szCs w:val="22"/>
          <w:lang w:val="sr-Latn-ME" w:eastAsia="ar-SA"/>
        </w:rPr>
      </w:pPr>
    </w:p>
    <w:p w14:paraId="777A51F8"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lastRenderedPageBreak/>
        <w:t>4.4</w:t>
      </w:r>
      <w:r w:rsidRPr="00AC7B39">
        <w:rPr>
          <w:b/>
          <w:bCs/>
          <w:szCs w:val="22"/>
          <w:lang w:val="sr-Latn-ME" w:eastAsia="ar-SA"/>
        </w:rPr>
        <w:tab/>
        <w:t>Posebna upozorenja i mjere opreza pri upotrebi lijeka</w:t>
      </w:r>
    </w:p>
    <w:p w14:paraId="2AA79CEB" w14:textId="77777777" w:rsidR="00E66349" w:rsidRPr="00AC7B39" w:rsidRDefault="00E66349" w:rsidP="00E66349">
      <w:pPr>
        <w:rPr>
          <w:szCs w:val="22"/>
          <w:lang w:val="sr-Latn-ME"/>
        </w:rPr>
      </w:pPr>
    </w:p>
    <w:p w14:paraId="015E0B0E" w14:textId="77777777" w:rsidR="00531542" w:rsidRPr="00AC7B39" w:rsidRDefault="00531542" w:rsidP="00531542">
      <w:pPr>
        <w:jc w:val="both"/>
        <w:rPr>
          <w:szCs w:val="22"/>
          <w:u w:val="single"/>
          <w:lang w:val="sr-Latn-ME"/>
        </w:rPr>
      </w:pPr>
      <w:r w:rsidRPr="00AC7B39">
        <w:rPr>
          <w:szCs w:val="22"/>
          <w:u w:val="single"/>
          <w:lang w:val="sr-Latn-ME"/>
        </w:rPr>
        <w:t>Oštećenje jetre</w:t>
      </w:r>
    </w:p>
    <w:p w14:paraId="7B3BA6BA" w14:textId="7A10865F" w:rsidR="00E66349" w:rsidRPr="00AC7B39" w:rsidRDefault="00531542" w:rsidP="00E66349">
      <w:pPr>
        <w:jc w:val="both"/>
        <w:rPr>
          <w:szCs w:val="22"/>
          <w:lang w:val="sr-Latn-ME"/>
        </w:rPr>
      </w:pPr>
      <w:r w:rsidRPr="00AC7B39">
        <w:rPr>
          <w:szCs w:val="22"/>
          <w:lang w:val="sr-Latn-ME"/>
        </w:rPr>
        <w:t>Metronidazol se uglavnom metaboliše oksidacijom u jetri</w:t>
      </w:r>
      <w:r w:rsidRPr="00AC7B39" w:rsidDel="00531542">
        <w:rPr>
          <w:szCs w:val="22"/>
          <w:lang w:val="sr-Latn-ME"/>
        </w:rPr>
        <w:t xml:space="preserve"> </w:t>
      </w:r>
      <w:r w:rsidR="00E66349" w:rsidRPr="00AC7B39">
        <w:rPr>
          <w:szCs w:val="22"/>
          <w:lang w:val="sr-Latn-ME"/>
        </w:rPr>
        <w:t xml:space="preserve">Pacijentima sa teškim oštećenjem jetre metronidazol treba da se daje sa oprezom jer usporeni metabolizam dovodi do povećanja koncentracije metronidazola i njegovih metabolita u serumu. </w:t>
      </w:r>
    </w:p>
    <w:p w14:paraId="40261031" w14:textId="07665C91" w:rsidR="00E66349" w:rsidRPr="00AC7B39" w:rsidRDefault="00531542" w:rsidP="00531542">
      <w:pPr>
        <w:jc w:val="both"/>
        <w:rPr>
          <w:szCs w:val="22"/>
          <w:lang w:val="sr-Latn-ME"/>
        </w:rPr>
      </w:pPr>
      <w:r w:rsidRPr="00AC7B39">
        <w:rPr>
          <w:szCs w:val="22"/>
          <w:lang w:val="sr-Latn-ME"/>
        </w:rPr>
        <w:t>Visoke koncentracije metronidazola u plazmi mogu dovesti do pojave simptoma encefalopatije. Zbog toga, metronidazol treba primjenjivati oprezno kod pacijenata sa encefalopatijom. Dnevnu dozu treba smanjiti na jednu trećinu i može se davati jednom dnevno.</w:t>
      </w:r>
    </w:p>
    <w:p w14:paraId="0F480850" w14:textId="77777777" w:rsidR="006D663E" w:rsidRPr="00AC7B39" w:rsidRDefault="006D663E" w:rsidP="00E66349">
      <w:pPr>
        <w:jc w:val="both"/>
        <w:rPr>
          <w:szCs w:val="22"/>
          <w:lang w:val="sr-Latn-ME"/>
        </w:rPr>
      </w:pPr>
    </w:p>
    <w:p w14:paraId="3A783916" w14:textId="77777777" w:rsidR="00E66349" w:rsidRPr="00AC7B39" w:rsidRDefault="00E66349" w:rsidP="00E66349">
      <w:pPr>
        <w:jc w:val="both"/>
        <w:rPr>
          <w:szCs w:val="22"/>
          <w:lang w:val="sr-Latn-ME"/>
        </w:rPr>
      </w:pPr>
      <w:r w:rsidRPr="00AC7B39">
        <w:rPr>
          <w:szCs w:val="22"/>
          <w:lang w:val="sr-Latn-ME"/>
        </w:rPr>
        <w:t>Prijavljeni su slučajevi teške hepatotoksičnosti/akutnog zatajenja jetre, uključujući slučajeve sa smrtnim ishodom, sa vrlo brzim početkom nakon započinjanja liječenja proizvodima koji sadrže metronidazol za sistemsku primjenu kod pacijenata sa Cockayneovim sindromom. Kod ove populacije metronidazol stoga treba da se koristi nakon pažljive procjene koristi i rizika i samo ako nije dostupna alternativna terapija. Testovi funkcije jetre moraju da se obave neposredno prije početka terapije, tokom i nakon završetka liječenja sve dok funkcija jetre ne bude u normalnim granicama ili dok se ne postignu početne vrijednosti. Ako testovi funkcije jetre postanu značajno povišeni tokom liječenja, treba da se obustavi primjena lijeka.</w:t>
      </w:r>
    </w:p>
    <w:p w14:paraId="3132E339" w14:textId="77777777" w:rsidR="00E66349" w:rsidRPr="00AC7B39" w:rsidRDefault="00E66349" w:rsidP="00E66349">
      <w:pPr>
        <w:jc w:val="both"/>
        <w:rPr>
          <w:szCs w:val="22"/>
          <w:lang w:val="sr-Latn-ME"/>
        </w:rPr>
      </w:pPr>
      <w:r w:rsidRPr="00AC7B39">
        <w:rPr>
          <w:szCs w:val="22"/>
          <w:lang w:val="sr-Latn-ME"/>
        </w:rPr>
        <w:t>Pacijente sa Cockayneovim sindromom treba savjetovati da odmah prijave sve simptome mogućeg oštećenja jetre svom ljekaru i prestanu da uzimaju metronidazol (vidjeti dio 4.8).</w:t>
      </w:r>
    </w:p>
    <w:p w14:paraId="597396BD" w14:textId="77777777" w:rsidR="006D663E" w:rsidRPr="00AC7B39" w:rsidRDefault="006D663E" w:rsidP="00531542">
      <w:pPr>
        <w:jc w:val="both"/>
        <w:rPr>
          <w:szCs w:val="22"/>
          <w:lang w:val="sr-Latn-ME"/>
        </w:rPr>
      </w:pPr>
    </w:p>
    <w:p w14:paraId="426ABAE9" w14:textId="77777777" w:rsidR="00531542" w:rsidRPr="00AC7B39" w:rsidRDefault="00531542" w:rsidP="00531542">
      <w:pPr>
        <w:jc w:val="both"/>
        <w:rPr>
          <w:szCs w:val="22"/>
          <w:u w:val="single"/>
          <w:lang w:val="sr-Latn-ME"/>
        </w:rPr>
      </w:pPr>
      <w:r w:rsidRPr="00AC7B39">
        <w:rPr>
          <w:szCs w:val="22"/>
          <w:u w:val="single"/>
          <w:lang w:val="sr-Latn-ME"/>
        </w:rPr>
        <w:t>Oštećenje funkcije bubrega</w:t>
      </w:r>
    </w:p>
    <w:p w14:paraId="139145DA" w14:textId="77777777" w:rsidR="00441D03" w:rsidRPr="00AC7B39" w:rsidRDefault="00531542" w:rsidP="00531542">
      <w:pPr>
        <w:jc w:val="both"/>
        <w:rPr>
          <w:szCs w:val="22"/>
          <w:lang w:val="sr-Latn-ME"/>
        </w:rPr>
      </w:pPr>
      <w:r w:rsidRPr="00AC7B39">
        <w:rPr>
          <w:szCs w:val="22"/>
          <w:lang w:val="sr-Latn-ME"/>
        </w:rPr>
        <w:t xml:space="preserve">Izlučivanje metronidazola ostaje nepromijenjeno kod pacijenata sa oštećenjem bubrežne funkcije. Stoga se doza metronidazola ne mora smanjivati. Ipak, ovi pacijenti zadržavaju metabolite metronidazola. Klinički značaj ove pojave do sada nije razjašnjen. </w:t>
      </w:r>
    </w:p>
    <w:p w14:paraId="4731816E" w14:textId="77777777" w:rsidR="006D663E" w:rsidRPr="00AC7B39" w:rsidRDefault="00531542" w:rsidP="00531542">
      <w:pPr>
        <w:jc w:val="both"/>
        <w:rPr>
          <w:szCs w:val="22"/>
          <w:lang w:val="sr-Latn-ME"/>
        </w:rPr>
      </w:pPr>
      <w:r w:rsidRPr="00AC7B39">
        <w:rPr>
          <w:szCs w:val="22"/>
          <w:lang w:val="sr-Latn-ME"/>
        </w:rPr>
        <w:t>Kod pacijenata na hemodijalizi metronidazol i njegovi metaboliti efikasno se odstranjuju u toku osam sati dijalize. Zbog toga metronidazol odmah nakon dijalize treba ponovno primijeniti.</w:t>
      </w:r>
    </w:p>
    <w:p w14:paraId="513F2C81" w14:textId="77777777" w:rsidR="00531542" w:rsidRPr="00AC7B39" w:rsidRDefault="00531542" w:rsidP="00531542">
      <w:pPr>
        <w:jc w:val="both"/>
        <w:rPr>
          <w:szCs w:val="22"/>
          <w:lang w:val="sr-Latn-ME"/>
        </w:rPr>
      </w:pPr>
      <w:r w:rsidRPr="00AC7B39">
        <w:rPr>
          <w:szCs w:val="22"/>
          <w:lang w:val="sr-Latn-ME"/>
        </w:rPr>
        <w:t>Nema potrebe za rutinskim prilagođavanjem doze metronidazola kod pacijenata sa insuficijencijom bubrega na kojima se sprovodi intermitentna peritonealna dijaliza (IDP, engl. intermittent peritoneal dialysis) ili kontinuirana ambulantna peritonealna dijaliza (CAPD, engl. continuous ambulatory peritoneal dialysis).</w:t>
      </w:r>
    </w:p>
    <w:p w14:paraId="7F9B3F01" w14:textId="77777777" w:rsidR="006D663E" w:rsidRPr="00AC7B39" w:rsidRDefault="006D663E" w:rsidP="00E66349">
      <w:pPr>
        <w:jc w:val="both"/>
        <w:rPr>
          <w:szCs w:val="22"/>
          <w:lang w:val="sr-Latn-ME"/>
        </w:rPr>
      </w:pPr>
    </w:p>
    <w:p w14:paraId="2E52A75B" w14:textId="705305FA" w:rsidR="00BE0318" w:rsidRPr="00EC0E54" w:rsidRDefault="00BE0318" w:rsidP="00E66349">
      <w:pPr>
        <w:jc w:val="both"/>
        <w:rPr>
          <w:szCs w:val="22"/>
          <w:u w:val="single"/>
          <w:lang w:val="sr-Latn-ME"/>
        </w:rPr>
      </w:pPr>
      <w:r w:rsidRPr="00EC0E54">
        <w:rPr>
          <w:szCs w:val="22"/>
          <w:u w:val="single"/>
          <w:lang w:val="sr-Latn-ME"/>
        </w:rPr>
        <w:t>Oštećenje centralnog nervnog sistema</w:t>
      </w:r>
    </w:p>
    <w:p w14:paraId="0843E092" w14:textId="201059D3" w:rsidR="00E66349" w:rsidRPr="00AC7B39" w:rsidRDefault="00E66349" w:rsidP="00E66349">
      <w:pPr>
        <w:jc w:val="both"/>
        <w:rPr>
          <w:szCs w:val="22"/>
          <w:lang w:val="sr-Latn-ME"/>
        </w:rPr>
      </w:pPr>
      <w:r w:rsidRPr="00AC7B39">
        <w:rPr>
          <w:szCs w:val="22"/>
          <w:lang w:val="sr-Latn-ME"/>
        </w:rPr>
        <w:t xml:space="preserve">Metronidazol treba da se daje sa velikim oprezom kod pacijenata sa oštećenjem koštane srži i </w:t>
      </w:r>
      <w:r w:rsidR="00441D03" w:rsidRPr="00AC7B39">
        <w:rPr>
          <w:szCs w:val="22"/>
          <w:lang w:val="sr-Latn-ME"/>
        </w:rPr>
        <w:t xml:space="preserve">aktivnim ili hroničnim teškim oštećenjem perifernog i </w:t>
      </w:r>
      <w:r w:rsidRPr="00AC7B39">
        <w:rPr>
          <w:szCs w:val="22"/>
          <w:lang w:val="sr-Latn-ME"/>
        </w:rPr>
        <w:t xml:space="preserve">centralnog nervnog sistema, </w:t>
      </w:r>
      <w:r w:rsidR="00441D03" w:rsidRPr="00AC7B39">
        <w:rPr>
          <w:szCs w:val="22"/>
          <w:lang w:val="sr-Latn-ME"/>
        </w:rPr>
        <w:t>zbog rizika od neuroloških pogoršanja</w:t>
      </w:r>
      <w:r w:rsidRPr="00AC7B39">
        <w:rPr>
          <w:szCs w:val="22"/>
          <w:lang w:val="sr-Latn-ME"/>
        </w:rPr>
        <w:t xml:space="preserve"> i kod starijih pacijenata.</w:t>
      </w:r>
    </w:p>
    <w:p w14:paraId="2DB977F1" w14:textId="77777777" w:rsidR="00E66349" w:rsidRPr="00AC7B39" w:rsidRDefault="00E66349" w:rsidP="00E66349">
      <w:pPr>
        <w:jc w:val="both"/>
        <w:rPr>
          <w:szCs w:val="22"/>
          <w:lang w:val="sr-Latn-ME"/>
        </w:rPr>
      </w:pPr>
    </w:p>
    <w:p w14:paraId="3F3B158B" w14:textId="77777777" w:rsidR="006D663E" w:rsidRPr="00AC7B39" w:rsidRDefault="00441D03" w:rsidP="00E66349">
      <w:pPr>
        <w:jc w:val="both"/>
        <w:rPr>
          <w:szCs w:val="22"/>
          <w:u w:val="single"/>
          <w:lang w:val="sr-Latn-ME"/>
        </w:rPr>
      </w:pPr>
      <w:r w:rsidRPr="00AC7B39">
        <w:rPr>
          <w:szCs w:val="22"/>
          <w:u w:val="single"/>
          <w:lang w:val="sr-Latn-ME"/>
        </w:rPr>
        <w:t>Praćenje</w:t>
      </w:r>
    </w:p>
    <w:p w14:paraId="58B649CA" w14:textId="77777777" w:rsidR="00441D03" w:rsidRPr="00AC7B39" w:rsidRDefault="00E66349" w:rsidP="00441D03">
      <w:pPr>
        <w:jc w:val="both"/>
        <w:rPr>
          <w:szCs w:val="22"/>
          <w:lang w:val="sr-Latn-ME"/>
        </w:rPr>
      </w:pPr>
      <w:r w:rsidRPr="00AC7B39">
        <w:rPr>
          <w:szCs w:val="22"/>
          <w:lang w:val="sr-Latn-ME"/>
        </w:rPr>
        <w:t xml:space="preserve">Kod produžene terapije metronidazolom (više od 10 dana), potrebno je da se prati krvna slika i funkcija jetre. </w:t>
      </w:r>
      <w:r w:rsidR="00441D03" w:rsidRPr="00AC7B39">
        <w:rPr>
          <w:szCs w:val="22"/>
          <w:lang w:val="sr-Latn-ME"/>
        </w:rPr>
        <w:t>Ako je potrebna produžena terapija, ljekar treba da ima u vidu mogućnost periferne neuropatije ili leukopenije. Obije pojave su obično reverzibilne. Preporučuje se da se redovno sprovode hematološki testovi i da se pacijenti prate zbog neželjenih reakcija, kao što su periferna ili centralna neuropatija (kao što su parestezija, ataksija, vrtoglavica, konvulzivni napadi).</w:t>
      </w:r>
    </w:p>
    <w:p w14:paraId="6439B17B" w14:textId="77777777" w:rsidR="00441D03" w:rsidRPr="00AC7B39" w:rsidRDefault="00441D03" w:rsidP="00441D03">
      <w:pPr>
        <w:jc w:val="both"/>
        <w:rPr>
          <w:szCs w:val="22"/>
          <w:lang w:val="sr-Latn-ME"/>
        </w:rPr>
      </w:pPr>
      <w:r w:rsidRPr="00AC7B39">
        <w:rPr>
          <w:szCs w:val="22"/>
          <w:lang w:val="sr-Latn-ME"/>
        </w:rPr>
        <w:t>Režimi visokih doza su povezani sa prolaznim epileptiformnim napadima. Potreban je oprez kod pacijenata sa aktivnim oboljenjem centralnog nervnog sistema osim apscesa mozga.</w:t>
      </w:r>
    </w:p>
    <w:p w14:paraId="145AB97E" w14:textId="77777777" w:rsidR="00441D03" w:rsidRPr="00AC7B39" w:rsidRDefault="00441D03" w:rsidP="00441D03">
      <w:pPr>
        <w:jc w:val="both"/>
        <w:rPr>
          <w:szCs w:val="22"/>
          <w:lang w:val="sr-Latn-ME"/>
        </w:rPr>
      </w:pPr>
      <w:r w:rsidRPr="00AC7B39">
        <w:rPr>
          <w:szCs w:val="22"/>
          <w:lang w:val="sr-Latn-ME"/>
        </w:rPr>
        <w:t>Intenzivnu ili produženu terapiju metronidazolom treba sprovoditi samo pod strogim nadzorom kliničkih i bioloških efekata i po uputstvima specijaliste.</w:t>
      </w:r>
    </w:p>
    <w:p w14:paraId="778AC946" w14:textId="77777777" w:rsidR="006D663E" w:rsidRPr="00AC7B39" w:rsidRDefault="006D663E" w:rsidP="004341EE">
      <w:pPr>
        <w:jc w:val="both"/>
        <w:rPr>
          <w:szCs w:val="22"/>
          <w:lang w:val="sr-Latn-ME"/>
        </w:rPr>
      </w:pPr>
    </w:p>
    <w:p w14:paraId="22586C9B" w14:textId="77777777" w:rsidR="004341EE" w:rsidRPr="001C515E" w:rsidRDefault="004341EE" w:rsidP="004341EE">
      <w:pPr>
        <w:jc w:val="both"/>
        <w:rPr>
          <w:szCs w:val="22"/>
          <w:u w:val="single"/>
          <w:lang w:val="sr-Latn-ME"/>
        </w:rPr>
      </w:pPr>
      <w:r w:rsidRPr="001C515E">
        <w:rPr>
          <w:szCs w:val="22"/>
          <w:u w:val="single"/>
          <w:lang w:val="sr-Latn-ME"/>
        </w:rPr>
        <w:t>Kožne reakcije</w:t>
      </w:r>
    </w:p>
    <w:p w14:paraId="21C7FC16" w14:textId="7CF9C911" w:rsidR="006D663E" w:rsidRPr="00AC7B39" w:rsidRDefault="004341EE" w:rsidP="00ED5A83">
      <w:pPr>
        <w:jc w:val="both"/>
        <w:rPr>
          <w:szCs w:val="22"/>
          <w:lang w:val="sr-Latn-ME"/>
        </w:rPr>
      </w:pPr>
      <w:r w:rsidRPr="00AC7B39">
        <w:rPr>
          <w:szCs w:val="22"/>
          <w:lang w:val="sr-Latn-ME"/>
        </w:rPr>
        <w:t xml:space="preserve">Primjenom metronidazola zabilježeni su slučajevi teških buloznih kožnih reakcija, ponekad sa smrtnim ishodom, poput Stevens-Johnsonovog sindroma (SJS), toksične epidermalne nekrolize (TEN) ili akutne generalizovane egzantematozne pustuloze (AGEP) (vidjeti dio 4.8.). Većina prijavljenih slučajeva SJS dogodila se u toku 7 nedelja od početka liječenja metronidazolom. Pacijente treba upozoriti na znakove i simptome i pažljivo ih nadzirati zbog kožnih reakcija. Ako su prisutni simptomi SJS, TEN ili AGEP </w:t>
      </w:r>
      <w:r w:rsidRPr="00AC7B39">
        <w:rPr>
          <w:szCs w:val="22"/>
          <w:lang w:val="sr-Latn-ME"/>
        </w:rPr>
        <w:lastRenderedPageBreak/>
        <w:t>(ne primjer simptomi nalik gripi, progresivni kožni osip koji često ima mjehuriće ili oštećenja sluznice), liječenje treba odmah prekinuti (vidjeti dio 4.8 Neželjena dejstva).</w:t>
      </w:r>
    </w:p>
    <w:p w14:paraId="62EA9C1A" w14:textId="77777777" w:rsidR="00E83919" w:rsidRDefault="00E83919" w:rsidP="00ED5A83">
      <w:pPr>
        <w:jc w:val="both"/>
        <w:rPr>
          <w:szCs w:val="22"/>
          <w:u w:val="single"/>
          <w:lang w:val="sr-Latn-ME"/>
        </w:rPr>
      </w:pPr>
    </w:p>
    <w:p w14:paraId="101EA70B" w14:textId="31E2BFF3" w:rsidR="006D663E" w:rsidRPr="001C515E" w:rsidRDefault="006D663E" w:rsidP="00ED5A83">
      <w:pPr>
        <w:jc w:val="both"/>
        <w:rPr>
          <w:szCs w:val="22"/>
          <w:u w:val="single"/>
          <w:lang w:val="sr-Latn-ME"/>
        </w:rPr>
      </w:pPr>
      <w:r w:rsidRPr="001C515E">
        <w:rPr>
          <w:szCs w:val="22"/>
          <w:u w:val="single"/>
          <w:lang w:val="sr-Latn-ME"/>
        </w:rPr>
        <w:t>Al</w:t>
      </w:r>
      <w:r w:rsidR="004341EE" w:rsidRPr="001C515E">
        <w:rPr>
          <w:szCs w:val="22"/>
          <w:u w:val="single"/>
          <w:lang w:val="sr-Latn-ME"/>
        </w:rPr>
        <w:t>k</w:t>
      </w:r>
      <w:r w:rsidRPr="001C515E">
        <w:rPr>
          <w:szCs w:val="22"/>
          <w:u w:val="single"/>
          <w:lang w:val="sr-Latn-ME"/>
        </w:rPr>
        <w:t>ohol</w:t>
      </w:r>
    </w:p>
    <w:p w14:paraId="2F0AF2DE" w14:textId="7687DDDB" w:rsidR="00E66349" w:rsidRPr="00AC7B39" w:rsidRDefault="00E66349" w:rsidP="00ED5A83">
      <w:pPr>
        <w:jc w:val="both"/>
        <w:rPr>
          <w:szCs w:val="22"/>
          <w:lang w:val="sr-Latn-ME"/>
        </w:rPr>
      </w:pPr>
      <w:r w:rsidRPr="00AC7B39">
        <w:rPr>
          <w:szCs w:val="22"/>
          <w:lang w:val="sr-Latn-ME"/>
        </w:rPr>
        <w:t>Istovremena konzumacija alkohola može da izazove reakciju sličnu „disulfiramskom sindromu“; stoga pacijenti ne bi trebalo da piju alkoholna pića tokom liječenja i najmanje tri dana nakon liječenja metronidazolom. Budući da se u literaturi mogu pronaći podaci o mogućem kancerogenom dejstvu aktivne supstance lijeka, ne preporučuje se dugotrajno liječenje metronidazolom.</w:t>
      </w:r>
      <w:r w:rsidR="006D663E" w:rsidRPr="00AC7B39">
        <w:rPr>
          <w:szCs w:val="22"/>
          <w:lang w:val="sr-Latn-ME"/>
        </w:rPr>
        <w:t xml:space="preserve"> </w:t>
      </w:r>
      <w:r w:rsidR="004341EE" w:rsidRPr="00AC7B39">
        <w:rPr>
          <w:szCs w:val="22"/>
          <w:lang w:val="sr-Latn-ME"/>
        </w:rPr>
        <w:t>U nekim testovima na ćelijama organizama koji nijesu sisari pokazalo se da su metronidazol i metabolit mutageni.</w:t>
      </w:r>
    </w:p>
    <w:p w14:paraId="5556FF90" w14:textId="77777777" w:rsidR="00E66349" w:rsidRPr="00AC7B39" w:rsidRDefault="00E66349" w:rsidP="00E66349">
      <w:pPr>
        <w:jc w:val="both"/>
        <w:rPr>
          <w:szCs w:val="22"/>
          <w:lang w:val="sr-Latn-ME"/>
        </w:rPr>
      </w:pPr>
    </w:p>
    <w:p w14:paraId="0597228A" w14:textId="77777777" w:rsidR="004341EE" w:rsidRPr="00AC7B39" w:rsidRDefault="004341EE" w:rsidP="004341EE">
      <w:pPr>
        <w:jc w:val="both"/>
        <w:rPr>
          <w:szCs w:val="22"/>
          <w:lang w:val="sr-Latn-ME"/>
        </w:rPr>
      </w:pPr>
      <w:r w:rsidRPr="00AC7B39">
        <w:rPr>
          <w:szCs w:val="22"/>
          <w:lang w:val="sr-Latn-ME"/>
        </w:rPr>
        <w:t xml:space="preserve">Pacijente treba upozoriti da primjena metronidazola može kao posljedicu imati tamniju boju urina. </w:t>
      </w:r>
    </w:p>
    <w:p w14:paraId="1214B8D7" w14:textId="77777777" w:rsidR="004341EE" w:rsidRPr="00AC7B39" w:rsidRDefault="004341EE" w:rsidP="004341EE">
      <w:pPr>
        <w:rPr>
          <w:szCs w:val="22"/>
          <w:lang w:val="sr-Latn-ME"/>
        </w:rPr>
      </w:pPr>
    </w:p>
    <w:p w14:paraId="52140078" w14:textId="4003C621" w:rsidR="00E66349" w:rsidRPr="00AC7B39" w:rsidRDefault="004341EE" w:rsidP="00E66349">
      <w:pPr>
        <w:ind w:right="-1"/>
        <w:rPr>
          <w:szCs w:val="22"/>
          <w:lang w:val="sr-Latn-ME"/>
        </w:rPr>
      </w:pPr>
      <w:r w:rsidRPr="00AC7B39">
        <w:rPr>
          <w:szCs w:val="22"/>
          <w:lang w:val="sr-Latn-ME"/>
        </w:rPr>
        <w:t>Takođe treba izbjegavati upotrebu metronidazola kod pacijenata sa porfirijom.</w:t>
      </w:r>
    </w:p>
    <w:p w14:paraId="6462E2EB" w14:textId="77777777" w:rsidR="00E66349" w:rsidRPr="00AC7B39" w:rsidRDefault="00E66349" w:rsidP="00E66349">
      <w:pPr>
        <w:keepNext/>
        <w:suppressAutoHyphens/>
        <w:jc w:val="both"/>
        <w:rPr>
          <w:iCs/>
          <w:szCs w:val="22"/>
          <w:lang w:val="sr-Latn-ME" w:eastAsia="ar-SA"/>
        </w:rPr>
      </w:pPr>
      <w:r w:rsidRPr="00AC7B39">
        <w:rPr>
          <w:iCs/>
          <w:szCs w:val="22"/>
          <w:lang w:val="sr-Latn-ME" w:eastAsia="ar-SA"/>
        </w:rPr>
        <w:t>Laktoza</w:t>
      </w:r>
    </w:p>
    <w:p w14:paraId="40A83DB8" w14:textId="77777777" w:rsidR="00E66349" w:rsidRPr="00AC7B39" w:rsidRDefault="00E66349" w:rsidP="00E66349">
      <w:pPr>
        <w:suppressAutoHyphens/>
        <w:jc w:val="both"/>
        <w:rPr>
          <w:color w:val="00B050"/>
          <w:szCs w:val="22"/>
          <w:lang w:val="sr-Latn-ME" w:eastAsia="sl-SI"/>
        </w:rPr>
      </w:pPr>
      <w:r w:rsidRPr="00AC7B39">
        <w:rPr>
          <w:szCs w:val="22"/>
          <w:lang w:val="sr-Latn-ME" w:eastAsia="ar-SA"/>
        </w:rPr>
        <w:t>Lijek Efloran sadrži laktozu. Pacijenti sa rijetkom nasljednom intolerancijom na galaktozu, potpunim nedostatkom laktaze ili malapsorpcijom glukoze/galaktoze ne smiju uzimati ovaj lijek.</w:t>
      </w:r>
      <w:r w:rsidRPr="00AC7B39">
        <w:rPr>
          <w:color w:val="00B050"/>
          <w:szCs w:val="22"/>
          <w:lang w:val="sr-Latn-ME" w:eastAsia="sl-SI"/>
        </w:rPr>
        <w:t xml:space="preserve"> </w:t>
      </w:r>
    </w:p>
    <w:p w14:paraId="11548859" w14:textId="77777777" w:rsidR="00E66349" w:rsidRPr="00AC7B39" w:rsidRDefault="00E66349" w:rsidP="00E66349">
      <w:pPr>
        <w:suppressAutoHyphens/>
        <w:jc w:val="both"/>
        <w:rPr>
          <w:color w:val="00B050"/>
          <w:szCs w:val="22"/>
          <w:lang w:val="sr-Latn-ME" w:eastAsia="sl-SI"/>
        </w:rPr>
      </w:pPr>
    </w:p>
    <w:p w14:paraId="72FF8343" w14:textId="77777777" w:rsidR="00E66349" w:rsidRPr="00AC7B39" w:rsidRDefault="00E66349" w:rsidP="00E66349">
      <w:pPr>
        <w:suppressAutoHyphens/>
        <w:jc w:val="both"/>
        <w:rPr>
          <w:szCs w:val="22"/>
          <w:lang w:val="sr-Latn-ME" w:eastAsia="sl-SI"/>
        </w:rPr>
      </w:pPr>
      <w:r w:rsidRPr="00AC7B39">
        <w:rPr>
          <w:szCs w:val="22"/>
          <w:lang w:val="sr-Latn-ME" w:eastAsia="sl-SI"/>
        </w:rPr>
        <w:t>Natrijum</w:t>
      </w:r>
    </w:p>
    <w:p w14:paraId="4F5BA5BD" w14:textId="77777777" w:rsidR="00E66349" w:rsidRPr="00AC7B39" w:rsidRDefault="00E66349" w:rsidP="00E66349">
      <w:pPr>
        <w:suppressAutoHyphens/>
        <w:jc w:val="both"/>
        <w:rPr>
          <w:szCs w:val="22"/>
          <w:lang w:val="sr-Latn-ME" w:eastAsia="ar-SA"/>
        </w:rPr>
      </w:pPr>
      <w:r w:rsidRPr="00AC7B39">
        <w:rPr>
          <w:szCs w:val="22"/>
          <w:lang w:val="sr-Latn-ME" w:eastAsia="hr-HR"/>
        </w:rPr>
        <w:t>Ovaj lijek sadrži manje od 1 mmol natrijuma (23 mg) po tableti, odnosno suštinski je „bez natrijuma“.</w:t>
      </w:r>
    </w:p>
    <w:p w14:paraId="28290BC3" w14:textId="77777777" w:rsidR="00E66349" w:rsidRPr="00AC7B39" w:rsidRDefault="00E66349" w:rsidP="00E66349">
      <w:pPr>
        <w:suppressAutoHyphens/>
        <w:jc w:val="both"/>
        <w:rPr>
          <w:szCs w:val="22"/>
          <w:lang w:val="sr-Latn-ME" w:eastAsia="ar-SA"/>
        </w:rPr>
      </w:pPr>
    </w:p>
    <w:p w14:paraId="49B4F08F"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4.5</w:t>
      </w:r>
      <w:r w:rsidRPr="00AC7B39">
        <w:rPr>
          <w:b/>
          <w:bCs/>
          <w:szCs w:val="22"/>
          <w:lang w:val="sr-Latn-ME" w:eastAsia="ar-SA"/>
        </w:rPr>
        <w:tab/>
        <w:t>Interakcije sa drugim ljekovima i  druge vrste interakcija</w:t>
      </w:r>
    </w:p>
    <w:p w14:paraId="3D7D8B0C" w14:textId="77777777" w:rsidR="00E66349" w:rsidRPr="00AC7B39" w:rsidRDefault="00E66349" w:rsidP="00E66349">
      <w:pPr>
        <w:suppressAutoHyphens/>
        <w:jc w:val="both"/>
        <w:rPr>
          <w:b/>
          <w:bCs/>
          <w:szCs w:val="22"/>
          <w:lang w:val="sr-Latn-ME" w:eastAsia="ar-SA"/>
        </w:rPr>
      </w:pPr>
    </w:p>
    <w:p w14:paraId="6BD4B867" w14:textId="77777777" w:rsidR="00B3421E" w:rsidRPr="00AC7B39" w:rsidRDefault="00B3421E" w:rsidP="00B3421E">
      <w:pPr>
        <w:suppressAutoHyphens/>
        <w:jc w:val="both"/>
        <w:rPr>
          <w:szCs w:val="22"/>
          <w:u w:val="single"/>
          <w:lang w:val="sr-Latn-ME" w:eastAsia="ar-SA"/>
        </w:rPr>
      </w:pPr>
      <w:r w:rsidRPr="00AC7B39">
        <w:rPr>
          <w:szCs w:val="22"/>
          <w:u w:val="single"/>
          <w:lang w:val="sr-Latn-ME" w:eastAsia="ar-SA"/>
        </w:rPr>
        <w:t>Alkohol</w:t>
      </w:r>
    </w:p>
    <w:p w14:paraId="5AB32E25" w14:textId="77777777" w:rsidR="006D663E" w:rsidRPr="00AC7B39" w:rsidRDefault="00B3421E" w:rsidP="00E66349">
      <w:pPr>
        <w:suppressAutoHyphens/>
        <w:jc w:val="both"/>
        <w:rPr>
          <w:szCs w:val="22"/>
          <w:lang w:val="sr-Latn-ME" w:eastAsia="ar-SA"/>
        </w:rPr>
      </w:pPr>
      <w:r w:rsidRPr="00AC7B39">
        <w:rPr>
          <w:szCs w:val="22"/>
          <w:lang w:val="sr-Latn-ME" w:eastAsia="ar-SA"/>
        </w:rPr>
        <w:t>Tokom liječenja i još najmanje 48 sati nakon završenog liječenja metronidazolom pacijenti ne smiju konzumirati alkoholna pića, jer se mogu javiti reakcije slične reakcijama na primjenu disulfirama (antabusnom sindromu – naleti crvenila, povraćanje, tahikardija).</w:t>
      </w:r>
    </w:p>
    <w:p w14:paraId="26FE1C7B" w14:textId="77777777" w:rsidR="00E5698F" w:rsidRPr="00AC7B39" w:rsidRDefault="00E5698F" w:rsidP="00E66349">
      <w:pPr>
        <w:suppressAutoHyphens/>
        <w:jc w:val="both"/>
        <w:rPr>
          <w:b/>
          <w:bCs/>
          <w:szCs w:val="22"/>
          <w:lang w:val="sr-Latn-ME" w:eastAsia="ar-SA"/>
        </w:rPr>
      </w:pPr>
    </w:p>
    <w:p w14:paraId="41BC5168" w14:textId="77777777" w:rsidR="00AC7B39" w:rsidRPr="00AC7B39" w:rsidRDefault="00AC7B39" w:rsidP="00AC7B39">
      <w:pPr>
        <w:rPr>
          <w:szCs w:val="22"/>
          <w:u w:val="single"/>
          <w:lang w:val="sr-Latn-ME"/>
        </w:rPr>
      </w:pPr>
      <w:r w:rsidRPr="00AC7B39">
        <w:rPr>
          <w:szCs w:val="22"/>
          <w:u w:val="single"/>
          <w:lang w:val="sr-Latn-ME"/>
        </w:rPr>
        <w:t xml:space="preserve">Amjodaron </w:t>
      </w:r>
    </w:p>
    <w:p w14:paraId="4627BBCE" w14:textId="708BE0D0" w:rsidR="00AC7B39" w:rsidRPr="00EC0E54" w:rsidRDefault="00AC7B39" w:rsidP="001C515E">
      <w:pPr>
        <w:jc w:val="both"/>
        <w:rPr>
          <w:szCs w:val="22"/>
          <w:lang w:val="sr-Latn-ME"/>
        </w:rPr>
      </w:pPr>
      <w:r w:rsidRPr="00EC0E54">
        <w:rPr>
          <w:szCs w:val="22"/>
          <w:lang w:val="sr-Latn-ME"/>
        </w:rPr>
        <w:t>Kod istovremene primjene metronidazola i amjodarona zabilježeno je produženje QT intervala i torsade de pointes. Treba kontrolisati QT interval na EKG-u ako se amjodaron primjenjuje u kombinaciji sa metronidazolom. Pacijente koji se liječe ambulantno, potrebno je upozoriti da ako primijete simptome koji bi mogli ukazivati na torsade de pointes, poput vrtoglavice, palpitacija ili sinkope, potraže pomoć ljekara.</w:t>
      </w:r>
    </w:p>
    <w:p w14:paraId="50CD00E9" w14:textId="77777777" w:rsidR="00AC7B39" w:rsidRDefault="00AC7B39" w:rsidP="00B3421E">
      <w:pPr>
        <w:rPr>
          <w:szCs w:val="22"/>
          <w:u w:val="single"/>
          <w:lang w:val="sr-Latn-ME"/>
        </w:rPr>
      </w:pPr>
    </w:p>
    <w:p w14:paraId="7D9768C1" w14:textId="5EE6A175" w:rsidR="00B3421E" w:rsidRPr="00AC7B39" w:rsidRDefault="00B3421E" w:rsidP="00B3421E">
      <w:pPr>
        <w:rPr>
          <w:szCs w:val="22"/>
          <w:u w:val="single"/>
          <w:lang w:val="sr-Latn-ME"/>
        </w:rPr>
      </w:pPr>
      <w:r w:rsidRPr="00AC7B39">
        <w:rPr>
          <w:szCs w:val="22"/>
          <w:u w:val="single"/>
          <w:lang w:val="sr-Latn-ME"/>
        </w:rPr>
        <w:t>Varfarin i drugi kumarinski antikoagulansi</w:t>
      </w:r>
    </w:p>
    <w:p w14:paraId="144C10D2" w14:textId="349ABEA8" w:rsidR="00E66349" w:rsidRPr="00AC7B39" w:rsidRDefault="00E66349" w:rsidP="00E66349">
      <w:pPr>
        <w:jc w:val="both"/>
        <w:rPr>
          <w:szCs w:val="22"/>
          <w:lang w:val="sr-Latn-ME"/>
        </w:rPr>
      </w:pPr>
      <w:r w:rsidRPr="00AC7B39">
        <w:rPr>
          <w:szCs w:val="22"/>
          <w:lang w:val="sr-Latn-ME"/>
        </w:rPr>
        <w:t>Metronidazol pojačava dejstvo varfarina i drugih kumarinskih antikoagulanasa; stoga, dozu ovih ljekova treba adekvatno smanjiti tokom istovremene terapije.</w:t>
      </w:r>
      <w:r w:rsidR="006D663E" w:rsidRPr="00AC7B39">
        <w:rPr>
          <w:szCs w:val="22"/>
          <w:lang w:val="sr-Latn-ME"/>
        </w:rPr>
        <w:t xml:space="preserve"> </w:t>
      </w:r>
      <w:r w:rsidR="00B3421E" w:rsidRPr="00AC7B39">
        <w:rPr>
          <w:szCs w:val="22"/>
          <w:lang w:val="sr-Latn-ME"/>
        </w:rPr>
        <w:t>Treba pratiti protrombinsko vrijeme. Nema interakcije sa heparinom.</w:t>
      </w:r>
    </w:p>
    <w:p w14:paraId="2F910754" w14:textId="77777777" w:rsidR="006D663E" w:rsidRPr="00AC7B39" w:rsidRDefault="006D663E" w:rsidP="00B3421E">
      <w:pPr>
        <w:jc w:val="both"/>
        <w:rPr>
          <w:szCs w:val="22"/>
          <w:lang w:val="sr-Latn-ME"/>
        </w:rPr>
      </w:pPr>
    </w:p>
    <w:p w14:paraId="69D2E240" w14:textId="77777777" w:rsidR="00E5698F" w:rsidRPr="00AC7B39" w:rsidRDefault="00B3421E" w:rsidP="00E66349">
      <w:pPr>
        <w:jc w:val="both"/>
        <w:rPr>
          <w:szCs w:val="22"/>
          <w:u w:val="single"/>
          <w:lang w:val="sr-Latn-ME"/>
        </w:rPr>
      </w:pPr>
      <w:r w:rsidRPr="00AC7B39">
        <w:rPr>
          <w:szCs w:val="22"/>
          <w:u w:val="single"/>
          <w:lang w:val="sr-Latn-ME"/>
        </w:rPr>
        <w:t xml:space="preserve">Fenitoin i barbiturati </w:t>
      </w:r>
    </w:p>
    <w:p w14:paraId="452E0A60" w14:textId="77777777" w:rsidR="00E66349" w:rsidRPr="00AC7B39" w:rsidRDefault="00E66349" w:rsidP="00E66349">
      <w:pPr>
        <w:jc w:val="both"/>
        <w:rPr>
          <w:szCs w:val="22"/>
          <w:lang w:val="sr-Latn-ME"/>
        </w:rPr>
      </w:pPr>
      <w:r w:rsidRPr="00AC7B39">
        <w:rPr>
          <w:szCs w:val="22"/>
          <w:lang w:val="sr-Latn-ME"/>
        </w:rPr>
        <w:t>Fenitoin i barbiturati smanjuju efikasnost metronidazola; istovremeno se može i povećati efikasnost fenitoina i barbiturata.</w:t>
      </w:r>
    </w:p>
    <w:p w14:paraId="5A3EAF0E" w14:textId="77777777" w:rsidR="006D663E" w:rsidRPr="00AC7B39" w:rsidRDefault="006D663E" w:rsidP="00E66349">
      <w:pPr>
        <w:jc w:val="both"/>
        <w:rPr>
          <w:szCs w:val="22"/>
          <w:lang w:val="sr-Latn-ME"/>
        </w:rPr>
      </w:pPr>
    </w:p>
    <w:p w14:paraId="31CE84F4" w14:textId="77777777" w:rsidR="00B3421E" w:rsidRPr="00AC7B39" w:rsidRDefault="00B3421E" w:rsidP="00E5698F">
      <w:pPr>
        <w:jc w:val="both"/>
        <w:rPr>
          <w:szCs w:val="22"/>
          <w:u w:val="single"/>
          <w:lang w:val="sr-Latn-ME"/>
        </w:rPr>
      </w:pPr>
      <w:r w:rsidRPr="00AC7B39">
        <w:rPr>
          <w:szCs w:val="22"/>
          <w:u w:val="single"/>
          <w:lang w:val="sr-Latn-ME"/>
        </w:rPr>
        <w:t>Litijum</w:t>
      </w:r>
    </w:p>
    <w:p w14:paraId="5ACF4873" w14:textId="5DBF3188" w:rsidR="00B3421E" w:rsidRPr="00AC7B39" w:rsidRDefault="00B3421E" w:rsidP="00E5698F">
      <w:pPr>
        <w:jc w:val="both"/>
        <w:rPr>
          <w:szCs w:val="22"/>
          <w:lang w:val="sr-Latn-ME"/>
        </w:rPr>
      </w:pPr>
      <w:r w:rsidRPr="00AC7B39">
        <w:rPr>
          <w:szCs w:val="22"/>
          <w:lang w:val="sr-Latn-ME"/>
        </w:rPr>
        <w:t xml:space="preserve">Zadržavanje litijuma praćeno dokazima o mogućem oštećenju bubrega prijavljeno je kod pacijenata koji su istovremeno liječeni litijumom i metronidazolom. Metronidazol može </w:t>
      </w:r>
      <w:r w:rsidR="00AC7B39">
        <w:rPr>
          <w:szCs w:val="22"/>
          <w:lang w:val="sr-Latn-ME"/>
        </w:rPr>
        <w:t>p</w:t>
      </w:r>
      <w:r w:rsidRPr="00AC7B39">
        <w:rPr>
          <w:szCs w:val="22"/>
          <w:lang w:val="sr-Latn-ME"/>
        </w:rPr>
        <w:t>ovećati koncentraciju litijuma u plazmi. Liječenje litijumom treba smanjiti ili prekinuti prije primene metronidazola. Koncentracije litijuma, kreatinina i elektrolita u plazmi treba pratiti kod pacijenata koji su na terapiji litijumom dok primaju metronidazol.</w:t>
      </w:r>
    </w:p>
    <w:p w14:paraId="5D1B4C60" w14:textId="77777777" w:rsidR="006D663E" w:rsidRPr="00AC7B39" w:rsidRDefault="006D663E" w:rsidP="00E66349">
      <w:pPr>
        <w:jc w:val="both"/>
        <w:rPr>
          <w:szCs w:val="22"/>
          <w:lang w:val="sr-Latn-ME"/>
        </w:rPr>
      </w:pPr>
    </w:p>
    <w:p w14:paraId="7B4DEE97" w14:textId="77777777" w:rsidR="006D663E" w:rsidRPr="00AC7B39" w:rsidRDefault="006D663E" w:rsidP="006D663E">
      <w:pPr>
        <w:rPr>
          <w:szCs w:val="22"/>
          <w:u w:val="single"/>
          <w:lang w:val="sr-Latn-ME"/>
        </w:rPr>
      </w:pPr>
      <w:r w:rsidRPr="00AC7B39">
        <w:rPr>
          <w:szCs w:val="22"/>
          <w:u w:val="single"/>
          <w:lang w:val="sr-Latn-ME"/>
        </w:rPr>
        <w:t>Fluorouracil</w:t>
      </w:r>
    </w:p>
    <w:p w14:paraId="77C71063" w14:textId="77777777" w:rsidR="00E5698F" w:rsidRPr="00AC7B39" w:rsidRDefault="00E5698F" w:rsidP="00E5698F">
      <w:pPr>
        <w:jc w:val="both"/>
        <w:rPr>
          <w:szCs w:val="22"/>
          <w:lang w:val="sr-Latn-ME"/>
        </w:rPr>
      </w:pPr>
      <w:r w:rsidRPr="00AC7B39">
        <w:rPr>
          <w:szCs w:val="22"/>
          <w:lang w:val="sr-Latn-ME"/>
        </w:rPr>
        <w:t xml:space="preserve">Metronidazol smanjuje klirens 5 fluorouracila, što može uzrokovati njegovu povećanu toksičnost. </w:t>
      </w:r>
    </w:p>
    <w:p w14:paraId="2ACC97C8" w14:textId="73BE3F44" w:rsidR="006D663E" w:rsidRDefault="006D663E" w:rsidP="00E66349">
      <w:pPr>
        <w:jc w:val="both"/>
        <w:rPr>
          <w:szCs w:val="22"/>
          <w:lang w:val="sr-Latn-ME"/>
        </w:rPr>
      </w:pPr>
    </w:p>
    <w:p w14:paraId="648E0F68" w14:textId="77777777" w:rsidR="00DE3AA9" w:rsidRPr="00AC7B39" w:rsidRDefault="00DE3AA9" w:rsidP="00E66349">
      <w:pPr>
        <w:jc w:val="both"/>
        <w:rPr>
          <w:szCs w:val="22"/>
          <w:lang w:val="sr-Latn-ME"/>
        </w:rPr>
      </w:pPr>
    </w:p>
    <w:p w14:paraId="65C3C996" w14:textId="77777777" w:rsidR="00AC7B39" w:rsidRPr="00AC7B39" w:rsidRDefault="00AC7B39" w:rsidP="00AC7B39">
      <w:pPr>
        <w:jc w:val="both"/>
        <w:rPr>
          <w:szCs w:val="22"/>
          <w:u w:val="single"/>
          <w:lang w:val="sr-Latn-ME"/>
        </w:rPr>
      </w:pPr>
      <w:r w:rsidRPr="00AC7B39">
        <w:rPr>
          <w:szCs w:val="22"/>
          <w:u w:val="single"/>
          <w:lang w:val="sr-Latn-ME"/>
        </w:rPr>
        <w:lastRenderedPageBreak/>
        <w:t xml:space="preserve">Karbamazepin </w:t>
      </w:r>
    </w:p>
    <w:p w14:paraId="319A50FC" w14:textId="231972CF" w:rsidR="00AC7B39" w:rsidRPr="00EC0E54" w:rsidRDefault="00AC7B39" w:rsidP="00AC7B39">
      <w:pPr>
        <w:jc w:val="both"/>
        <w:rPr>
          <w:szCs w:val="22"/>
          <w:lang w:val="sr-Latn-ME"/>
        </w:rPr>
      </w:pPr>
      <w:r w:rsidRPr="00EC0E54">
        <w:rPr>
          <w:szCs w:val="22"/>
          <w:lang w:val="sr-Latn-ME"/>
        </w:rPr>
        <w:t>Metronidazol može inhibirati metabolizam karbamazepina i kao posljedicu povećati koncentraciju u plazmi.</w:t>
      </w:r>
    </w:p>
    <w:p w14:paraId="349C667F" w14:textId="77777777" w:rsidR="00AC7B39" w:rsidRDefault="00AC7B39" w:rsidP="00E66349">
      <w:pPr>
        <w:jc w:val="both"/>
        <w:rPr>
          <w:szCs w:val="22"/>
          <w:u w:val="single"/>
          <w:lang w:val="sr-Latn-ME"/>
        </w:rPr>
      </w:pPr>
    </w:p>
    <w:p w14:paraId="05E7AA34" w14:textId="167C2B78" w:rsidR="006D663E" w:rsidRPr="00AC7B39" w:rsidRDefault="006D663E" w:rsidP="00E66349">
      <w:pPr>
        <w:jc w:val="both"/>
        <w:rPr>
          <w:szCs w:val="22"/>
          <w:u w:val="single"/>
          <w:lang w:val="sr-Latn-ME"/>
        </w:rPr>
      </w:pPr>
      <w:r w:rsidRPr="00AC7B39">
        <w:rPr>
          <w:szCs w:val="22"/>
          <w:u w:val="single"/>
          <w:lang w:val="sr-Latn-ME"/>
        </w:rPr>
        <w:t>Cimetidin</w:t>
      </w:r>
    </w:p>
    <w:p w14:paraId="4B310AD8" w14:textId="15A37954" w:rsidR="00C76DE7" w:rsidRPr="00AC7B39" w:rsidRDefault="00E66349" w:rsidP="00E66349">
      <w:pPr>
        <w:jc w:val="both"/>
        <w:rPr>
          <w:szCs w:val="22"/>
          <w:lang w:val="sr-Latn-ME"/>
        </w:rPr>
      </w:pPr>
      <w:r w:rsidRPr="00AC7B39">
        <w:rPr>
          <w:szCs w:val="22"/>
          <w:lang w:val="sr-Latn-ME"/>
        </w:rPr>
        <w:t>Cimetidin produžava poluvrijeme eliminacije metronidazola.</w:t>
      </w:r>
    </w:p>
    <w:p w14:paraId="23793880" w14:textId="77777777" w:rsidR="006D663E" w:rsidRPr="00AC7B39" w:rsidRDefault="006D663E" w:rsidP="00E66349">
      <w:pPr>
        <w:jc w:val="both"/>
        <w:rPr>
          <w:szCs w:val="22"/>
          <w:lang w:val="sr-Latn-ME"/>
        </w:rPr>
      </w:pPr>
    </w:p>
    <w:p w14:paraId="3818D976" w14:textId="77777777" w:rsidR="00AC7B39" w:rsidRPr="00AC7B39" w:rsidRDefault="00AC7B39" w:rsidP="00AC7B39">
      <w:pPr>
        <w:jc w:val="both"/>
        <w:rPr>
          <w:szCs w:val="22"/>
          <w:u w:val="single"/>
          <w:lang w:val="sr-Latn-ME"/>
        </w:rPr>
      </w:pPr>
      <w:r w:rsidRPr="00AC7B39">
        <w:rPr>
          <w:szCs w:val="22"/>
          <w:u w:val="single"/>
          <w:lang w:val="sr-Latn-ME"/>
        </w:rPr>
        <w:t xml:space="preserve">Kontraceptivni ljekovi </w:t>
      </w:r>
    </w:p>
    <w:p w14:paraId="4FB6CBB4" w14:textId="2C5B4F2C" w:rsidR="00AC7B39" w:rsidRPr="00EC0E54" w:rsidRDefault="00AC7B39" w:rsidP="00AC7B39">
      <w:pPr>
        <w:jc w:val="both"/>
        <w:rPr>
          <w:szCs w:val="22"/>
          <w:lang w:val="sr-Latn-ME"/>
        </w:rPr>
      </w:pPr>
      <w:r w:rsidRPr="00EC0E54">
        <w:rPr>
          <w:szCs w:val="22"/>
          <w:lang w:val="sr-Latn-ME"/>
        </w:rPr>
        <w:t>Neki antibiotici mogu, u rijetkim slučajevima, smanjiti efekat kontracepcijske terapije, tako što interferiraju sa bakterijskom hidrolizom steroidnih konjugata u crijevima i tako smanjuju reapsorpciju nekonjugovanog steroida. Stoga se smanjuje koncentracija aktivnog steroida u plazmi. Ta neuobičajena interakcija može se dogoditi kod žena sa visokim stepenom izlučivanja konjugata steroida putem žuči. Postoje rijetki slučajevi neuspjeha oralne kontracepcije u kombinaciji s različitim antibioticima poput ampicilina, amoksicilina, tetraciklina kao i metronidazola.</w:t>
      </w:r>
    </w:p>
    <w:p w14:paraId="41DF6307" w14:textId="77777777" w:rsidR="00AC7B39" w:rsidRDefault="00AC7B39" w:rsidP="00E66349">
      <w:pPr>
        <w:jc w:val="both"/>
        <w:rPr>
          <w:szCs w:val="22"/>
          <w:u w:val="single"/>
          <w:lang w:val="sr-Latn-ME"/>
        </w:rPr>
      </w:pPr>
    </w:p>
    <w:p w14:paraId="7C795565" w14:textId="56DB9B3D" w:rsidR="006D663E" w:rsidRPr="00AC7B39" w:rsidRDefault="006D663E" w:rsidP="00E66349">
      <w:pPr>
        <w:jc w:val="both"/>
        <w:rPr>
          <w:szCs w:val="22"/>
          <w:lang w:val="sr-Latn-ME"/>
        </w:rPr>
      </w:pPr>
      <w:r w:rsidRPr="00AC7B39">
        <w:rPr>
          <w:szCs w:val="22"/>
          <w:u w:val="single"/>
          <w:lang w:val="sr-Latn-ME"/>
        </w:rPr>
        <w:t>Disulfiram</w:t>
      </w:r>
    </w:p>
    <w:p w14:paraId="52715DF8" w14:textId="77777777" w:rsidR="00E66349" w:rsidRPr="00AC7B39" w:rsidRDefault="00E66349" w:rsidP="00E66349">
      <w:pPr>
        <w:jc w:val="both"/>
        <w:rPr>
          <w:szCs w:val="22"/>
          <w:lang w:val="sr-Latn-ME"/>
        </w:rPr>
      </w:pPr>
      <w:r w:rsidRPr="00AC7B39">
        <w:rPr>
          <w:szCs w:val="22"/>
          <w:lang w:val="sr-Latn-ME"/>
        </w:rPr>
        <w:t>Istovremeno liječenje metronidazolom i disulfiramom uzrokuje akutne psihoze; stoga ono nije dozvoljeno. Pacijenti ne bi trebalo da uzimaju metronidazol dvije nedjelje nakon liječenja disulfiramom.</w:t>
      </w:r>
    </w:p>
    <w:p w14:paraId="622EC2AA" w14:textId="77777777" w:rsidR="00E66349" w:rsidRPr="00AC7B39" w:rsidRDefault="00E66349" w:rsidP="00E66349">
      <w:pPr>
        <w:suppressAutoHyphens/>
        <w:jc w:val="both"/>
        <w:rPr>
          <w:szCs w:val="22"/>
          <w:lang w:val="sr-Latn-ME" w:eastAsia="sl-SI"/>
        </w:rPr>
      </w:pPr>
    </w:p>
    <w:p w14:paraId="55CE0E28" w14:textId="77777777" w:rsidR="00E5698F" w:rsidRPr="00AC7B39" w:rsidRDefault="00E5698F" w:rsidP="00E5698F">
      <w:pPr>
        <w:rPr>
          <w:szCs w:val="22"/>
          <w:u w:val="single"/>
          <w:lang w:val="sr-Latn-ME"/>
        </w:rPr>
      </w:pPr>
      <w:r w:rsidRPr="00AC7B39">
        <w:rPr>
          <w:szCs w:val="22"/>
          <w:u w:val="single"/>
          <w:lang w:val="sr-Latn-ME"/>
        </w:rPr>
        <w:t>Ciklosporin</w:t>
      </w:r>
    </w:p>
    <w:p w14:paraId="5D020825" w14:textId="77777777" w:rsidR="00E5698F" w:rsidRPr="00AC7B39" w:rsidRDefault="00E5698F" w:rsidP="00E5698F">
      <w:pPr>
        <w:rPr>
          <w:szCs w:val="22"/>
          <w:lang w:val="sr-Latn-ME"/>
        </w:rPr>
      </w:pPr>
      <w:r w:rsidRPr="00AC7B39">
        <w:rPr>
          <w:szCs w:val="22"/>
          <w:lang w:val="sr-Latn-ME"/>
        </w:rPr>
        <w:t>Postoji rizik od povećanja nivoa ciklosporina u serumu. Serumski ciklosporin i kreatinin u serumu treba pažljivo pratiti kada je neophodna istovremena primjena.</w:t>
      </w:r>
    </w:p>
    <w:p w14:paraId="31FF57B2" w14:textId="0D201935" w:rsidR="006D663E" w:rsidRDefault="006D663E" w:rsidP="00E66349">
      <w:pPr>
        <w:suppressAutoHyphens/>
        <w:jc w:val="both"/>
        <w:rPr>
          <w:szCs w:val="22"/>
          <w:lang w:val="sr-Latn-ME" w:eastAsia="sl-SI"/>
        </w:rPr>
      </w:pPr>
    </w:p>
    <w:p w14:paraId="1BE08409" w14:textId="77777777" w:rsidR="00AC7B39" w:rsidRPr="00AC7B39" w:rsidRDefault="00AC7B39" w:rsidP="00AC7B39">
      <w:pPr>
        <w:suppressAutoHyphens/>
        <w:jc w:val="both"/>
        <w:rPr>
          <w:szCs w:val="22"/>
          <w:lang w:val="sr-Latn-ME" w:eastAsia="sl-SI"/>
        </w:rPr>
      </w:pPr>
      <w:r w:rsidRPr="00AC7B39">
        <w:rPr>
          <w:szCs w:val="22"/>
          <w:lang w:val="sr-Latn-ME" w:eastAsia="sl-SI"/>
        </w:rPr>
        <w:t xml:space="preserve">Mikofenolat mofetil </w:t>
      </w:r>
    </w:p>
    <w:p w14:paraId="0F361667" w14:textId="77777777" w:rsidR="00AC7B39" w:rsidRPr="00AC7B39" w:rsidRDefault="00AC7B39" w:rsidP="00AC7B39">
      <w:pPr>
        <w:suppressAutoHyphens/>
        <w:jc w:val="both"/>
        <w:rPr>
          <w:szCs w:val="22"/>
          <w:lang w:val="sr-Latn-ME" w:eastAsia="sl-SI"/>
        </w:rPr>
      </w:pPr>
      <w:r w:rsidRPr="00AC7B39">
        <w:rPr>
          <w:szCs w:val="22"/>
          <w:lang w:val="sr-Latn-ME" w:eastAsia="sl-SI"/>
        </w:rPr>
        <w:t>Aktivne supstance poput antibiotika koje mijenjaju gastrointestinalnu floru mogu smanjiti oralnu bioraspoloživost ljekova koji sadrže mikofenolnu kiselinu. Preporučuje se pažljiva klinička i laboratorijska kontrola radi utvrđivanja smanjenog imunosupresivnog dejstva mikofenolne kiseline u toku istovremenog liječenja s antiinfektivnim ljekovima.</w:t>
      </w:r>
    </w:p>
    <w:p w14:paraId="29062BAF" w14:textId="77777777" w:rsidR="00AC7B39" w:rsidRPr="00AC7B39" w:rsidRDefault="00AC7B39" w:rsidP="00AC7B39">
      <w:pPr>
        <w:suppressAutoHyphens/>
        <w:jc w:val="both"/>
        <w:rPr>
          <w:szCs w:val="22"/>
          <w:lang w:val="sr-Latn-ME" w:eastAsia="sl-SI"/>
        </w:rPr>
      </w:pPr>
    </w:p>
    <w:p w14:paraId="6CC6B03D" w14:textId="77777777" w:rsidR="00AC7B39" w:rsidRPr="00AC7B39" w:rsidRDefault="00AC7B39" w:rsidP="00AC7B39">
      <w:pPr>
        <w:suppressAutoHyphens/>
        <w:jc w:val="both"/>
        <w:rPr>
          <w:szCs w:val="22"/>
          <w:lang w:val="sr-Latn-ME" w:eastAsia="sl-SI"/>
        </w:rPr>
      </w:pPr>
      <w:r w:rsidRPr="00AC7B39">
        <w:rPr>
          <w:szCs w:val="22"/>
          <w:lang w:val="sr-Latn-ME" w:eastAsia="sl-SI"/>
        </w:rPr>
        <w:t xml:space="preserve">Busulfan </w:t>
      </w:r>
    </w:p>
    <w:p w14:paraId="1D6401EF" w14:textId="77777777" w:rsidR="00AC7B39" w:rsidRPr="00AC7B39" w:rsidRDefault="00AC7B39" w:rsidP="00AC7B39">
      <w:pPr>
        <w:suppressAutoHyphens/>
        <w:jc w:val="both"/>
        <w:rPr>
          <w:szCs w:val="22"/>
          <w:lang w:val="sr-Latn-ME" w:eastAsia="sl-SI"/>
        </w:rPr>
      </w:pPr>
      <w:r w:rsidRPr="00AC7B39">
        <w:rPr>
          <w:szCs w:val="22"/>
          <w:lang w:val="sr-Latn-ME" w:eastAsia="sl-SI"/>
        </w:rPr>
        <w:t>Koncentracije busulfana u plazmi mogu biti povećane pri istovremenoj primjeni metronidazola, što može dovesti do teške toksičnosti busulfana.</w:t>
      </w:r>
    </w:p>
    <w:p w14:paraId="20AAE559" w14:textId="77777777" w:rsidR="00AC7B39" w:rsidRPr="00AC7B39" w:rsidRDefault="00AC7B39" w:rsidP="00AC7B39">
      <w:pPr>
        <w:suppressAutoHyphens/>
        <w:jc w:val="both"/>
        <w:rPr>
          <w:szCs w:val="22"/>
          <w:lang w:val="sr-Latn-ME" w:eastAsia="sl-SI"/>
        </w:rPr>
      </w:pPr>
    </w:p>
    <w:p w14:paraId="572D51A9" w14:textId="77777777" w:rsidR="00AC7B39" w:rsidRPr="00AC7B39" w:rsidRDefault="00AC7B39" w:rsidP="00AC7B39">
      <w:pPr>
        <w:suppressAutoHyphens/>
        <w:jc w:val="both"/>
        <w:rPr>
          <w:szCs w:val="22"/>
          <w:lang w:val="sr-Latn-ME" w:eastAsia="sl-SI"/>
        </w:rPr>
      </w:pPr>
      <w:r w:rsidRPr="00AC7B39">
        <w:rPr>
          <w:szCs w:val="22"/>
          <w:lang w:val="sr-Latn-ME" w:eastAsia="sl-SI"/>
        </w:rPr>
        <w:t xml:space="preserve">Takrolimus </w:t>
      </w:r>
    </w:p>
    <w:p w14:paraId="2373B516" w14:textId="00A2A16E" w:rsidR="00AC7B39" w:rsidRPr="00AC7B39" w:rsidRDefault="00AC7B39" w:rsidP="00AC7B39">
      <w:pPr>
        <w:suppressAutoHyphens/>
        <w:jc w:val="both"/>
        <w:rPr>
          <w:szCs w:val="22"/>
          <w:lang w:val="sr-Latn-ME" w:eastAsia="sl-SI"/>
        </w:rPr>
      </w:pPr>
      <w:r w:rsidRPr="00AC7B39">
        <w:rPr>
          <w:szCs w:val="22"/>
          <w:lang w:val="sr-Latn-ME" w:eastAsia="sl-SI"/>
        </w:rPr>
        <w:t>Istovremena primjena sa metronidazolom može povećati koncentraciju takrolimusa u krvi. Pretpostavljeni mehanizam je inhibicija hepatičkog metabolizma takrolimusa putem CYP450 3A4. Potrebno je često kontrolisati koncentraciju takrolimusa u krvi i renalnu funkciju, i prilagođavanje doze lijeka u skladu sa nalazima, posebno nakon uvođenja ili prestanka liječenja metronidazolom kod pacijenata koji imaju stabilizovan režim primjene takrolimusa.</w:t>
      </w:r>
    </w:p>
    <w:p w14:paraId="36EEF037" w14:textId="77777777" w:rsidR="00E66349" w:rsidRPr="00AC7B39" w:rsidRDefault="00E66349" w:rsidP="00E66349">
      <w:pPr>
        <w:suppressAutoHyphens/>
        <w:jc w:val="both"/>
        <w:rPr>
          <w:szCs w:val="22"/>
          <w:lang w:val="sr-Latn-ME" w:eastAsia="ar-SA"/>
        </w:rPr>
      </w:pPr>
    </w:p>
    <w:p w14:paraId="07823C82"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4.6</w:t>
      </w:r>
      <w:r w:rsidRPr="00AC7B39">
        <w:rPr>
          <w:b/>
          <w:bCs/>
          <w:szCs w:val="22"/>
          <w:lang w:val="sr-Latn-ME" w:eastAsia="ar-SA"/>
        </w:rPr>
        <w:tab/>
        <w:t>Plodnost, trudnoća i dojenje</w:t>
      </w:r>
    </w:p>
    <w:p w14:paraId="2A58087E" w14:textId="77777777" w:rsidR="00E66349" w:rsidRPr="00AC7B39" w:rsidRDefault="00E66349" w:rsidP="00E66349">
      <w:pPr>
        <w:suppressAutoHyphens/>
        <w:jc w:val="both"/>
        <w:rPr>
          <w:szCs w:val="22"/>
          <w:lang w:val="sr-Latn-ME" w:eastAsia="ar-SA"/>
        </w:rPr>
      </w:pPr>
    </w:p>
    <w:p w14:paraId="0E4A8545" w14:textId="77777777" w:rsidR="00E66349" w:rsidRPr="00AC7B39" w:rsidRDefault="00E66349" w:rsidP="00E66349">
      <w:pPr>
        <w:suppressAutoHyphens/>
        <w:jc w:val="both"/>
        <w:rPr>
          <w:szCs w:val="22"/>
          <w:u w:val="single"/>
          <w:lang w:val="sr-Latn-ME" w:eastAsia="ar-SA"/>
        </w:rPr>
      </w:pPr>
      <w:r w:rsidRPr="00AC7B39">
        <w:rPr>
          <w:szCs w:val="22"/>
          <w:u w:val="single"/>
          <w:lang w:val="sr-Latn-ME" w:eastAsia="ar-SA"/>
        </w:rPr>
        <w:t>Trudnoća</w:t>
      </w:r>
    </w:p>
    <w:p w14:paraId="5BE76415" w14:textId="77777777" w:rsidR="00E66349" w:rsidRPr="00AC7B39" w:rsidRDefault="00E66349" w:rsidP="00E66349">
      <w:pPr>
        <w:jc w:val="both"/>
        <w:rPr>
          <w:szCs w:val="22"/>
          <w:lang w:val="sr-Latn-ME" w:eastAsia="hr-HR"/>
        </w:rPr>
      </w:pPr>
      <w:r w:rsidRPr="00AC7B39">
        <w:rPr>
          <w:szCs w:val="22"/>
          <w:lang w:val="sr-Latn-ME" w:eastAsia="hr-HR"/>
        </w:rPr>
        <w:t>Upotreba ovog lijeka je kontraindikovana u prva tri mjeseca trudnoće; kasnije se može upotrebljavati samo ako je korist za majku veća od rizika po plod.</w:t>
      </w:r>
    </w:p>
    <w:p w14:paraId="56F7666C" w14:textId="77777777" w:rsidR="00E66349" w:rsidRPr="00AC7B39" w:rsidRDefault="00E66349" w:rsidP="00E66349">
      <w:pPr>
        <w:suppressAutoHyphens/>
        <w:jc w:val="both"/>
        <w:rPr>
          <w:szCs w:val="22"/>
          <w:lang w:val="sr-Latn-ME" w:eastAsia="ar-SA"/>
        </w:rPr>
      </w:pPr>
    </w:p>
    <w:p w14:paraId="6C21338B" w14:textId="77777777" w:rsidR="00E66349" w:rsidRPr="00AC7B39" w:rsidRDefault="00E66349" w:rsidP="00E66349">
      <w:pPr>
        <w:jc w:val="both"/>
        <w:rPr>
          <w:szCs w:val="22"/>
          <w:lang w:val="sr-Latn-ME" w:eastAsia="hr-HR"/>
        </w:rPr>
      </w:pPr>
      <w:r w:rsidRPr="00AC7B39">
        <w:rPr>
          <w:szCs w:val="22"/>
          <w:u w:val="single"/>
          <w:lang w:val="sr-Latn-ME"/>
        </w:rPr>
        <w:t>Dojenje</w:t>
      </w:r>
    </w:p>
    <w:p w14:paraId="50C3546E" w14:textId="77777777" w:rsidR="00E66349" w:rsidRPr="00AC7B39" w:rsidRDefault="00E66349" w:rsidP="00E66349">
      <w:pPr>
        <w:suppressAutoHyphens/>
        <w:jc w:val="both"/>
        <w:rPr>
          <w:szCs w:val="22"/>
          <w:lang w:val="sr-Latn-ME" w:eastAsia="hr-HR"/>
        </w:rPr>
      </w:pPr>
      <w:r w:rsidRPr="00AC7B39">
        <w:rPr>
          <w:szCs w:val="22"/>
          <w:lang w:val="sr-Latn-ME" w:eastAsia="hr-HR"/>
        </w:rPr>
        <w:t>Potrebno je obustaviti dojenje za vrijeme liječenja metronidazolom.</w:t>
      </w:r>
    </w:p>
    <w:p w14:paraId="708AE064" w14:textId="77777777" w:rsidR="00E66349" w:rsidRPr="00AC7B39" w:rsidRDefault="00E66349" w:rsidP="00E66349">
      <w:pPr>
        <w:suppressAutoHyphens/>
        <w:jc w:val="both"/>
        <w:rPr>
          <w:szCs w:val="22"/>
          <w:lang w:val="sr-Latn-ME" w:eastAsia="ar-SA"/>
        </w:rPr>
      </w:pPr>
    </w:p>
    <w:p w14:paraId="1ACF53C4"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4.7</w:t>
      </w:r>
      <w:r w:rsidRPr="00AC7B39">
        <w:rPr>
          <w:b/>
          <w:bCs/>
          <w:szCs w:val="22"/>
          <w:lang w:val="sr-Latn-ME" w:eastAsia="ar-SA"/>
        </w:rPr>
        <w:tab/>
        <w:t>Uticaj na sposobnost upravljanja vozilima i rukovanje mašinama</w:t>
      </w:r>
    </w:p>
    <w:p w14:paraId="1ECD4E5D" w14:textId="77777777" w:rsidR="00E66349" w:rsidRPr="00AC7B39" w:rsidRDefault="00E66349" w:rsidP="00E66349">
      <w:pPr>
        <w:suppressAutoHyphens/>
        <w:jc w:val="both"/>
        <w:rPr>
          <w:szCs w:val="22"/>
          <w:lang w:val="sr-Latn-ME" w:eastAsia="ar-SA"/>
        </w:rPr>
      </w:pPr>
    </w:p>
    <w:p w14:paraId="4543F630" w14:textId="77777777" w:rsidR="00E66349" w:rsidRPr="00AC7B39" w:rsidRDefault="00E66349" w:rsidP="00ED5A83">
      <w:pPr>
        <w:jc w:val="both"/>
        <w:rPr>
          <w:szCs w:val="22"/>
          <w:lang w:val="sr-Latn-ME"/>
        </w:rPr>
      </w:pPr>
      <w:r w:rsidRPr="00AC7B39">
        <w:rPr>
          <w:szCs w:val="22"/>
          <w:lang w:val="sr-Latn-ME"/>
        </w:rPr>
        <w:t xml:space="preserve">Lijek Efloran može da ima mali ili umjereni uticaj na sposobnost upravljanja vozilima i rada sa mašinama. Mogu se javiti pospanost, vrtoglavica, konfuzija, halucinacije, konvulzije, prolazni </w:t>
      </w:r>
      <w:r w:rsidRPr="00AC7B39">
        <w:rPr>
          <w:szCs w:val="22"/>
          <w:lang w:val="sr-Latn-ME"/>
        </w:rPr>
        <w:lastRenderedPageBreak/>
        <w:t>poremećaji vida koji utiču na psihofizičke performanse, posebno ako se tokom liječenja konzumira alkohol.</w:t>
      </w:r>
    </w:p>
    <w:p w14:paraId="5B487650" w14:textId="77777777" w:rsidR="00E66349" w:rsidRPr="00AC7B39" w:rsidRDefault="00E66349" w:rsidP="00ED5A83">
      <w:pPr>
        <w:jc w:val="both"/>
        <w:rPr>
          <w:szCs w:val="22"/>
          <w:lang w:val="sr-Latn-ME"/>
        </w:rPr>
      </w:pPr>
      <w:r w:rsidRPr="00AC7B39">
        <w:rPr>
          <w:szCs w:val="22"/>
          <w:lang w:val="sr-Latn-ME"/>
        </w:rPr>
        <w:t>Ako se jave ovi simptomi, pacijent ne bi trebalo da vozi niti rukuje mašinama.</w:t>
      </w:r>
    </w:p>
    <w:p w14:paraId="035B94DD" w14:textId="2BB047E0" w:rsidR="00D20360" w:rsidRPr="00AC7B39" w:rsidRDefault="00E66349" w:rsidP="00ED5A83">
      <w:pPr>
        <w:jc w:val="both"/>
        <w:rPr>
          <w:szCs w:val="22"/>
          <w:lang w:val="sr-Latn-ME" w:eastAsia="ar-SA"/>
        </w:rPr>
      </w:pPr>
      <w:r w:rsidRPr="00AC7B39">
        <w:rPr>
          <w:szCs w:val="22"/>
          <w:lang w:val="sr-Latn-ME"/>
        </w:rPr>
        <w:t>Ljekari i farmaceuti bi trebalo da obavijeste svoje pacijente o tome</w:t>
      </w:r>
      <w:r w:rsidR="00C76DE7">
        <w:rPr>
          <w:szCs w:val="22"/>
          <w:lang w:val="sr-Latn-ME"/>
        </w:rPr>
        <w:t>.</w:t>
      </w:r>
    </w:p>
    <w:p w14:paraId="083A4546" w14:textId="77777777" w:rsidR="00E66349" w:rsidRPr="00AC7B39" w:rsidRDefault="00E66349" w:rsidP="00ED5A83">
      <w:pPr>
        <w:suppressAutoHyphens/>
        <w:jc w:val="both"/>
        <w:rPr>
          <w:szCs w:val="22"/>
          <w:lang w:val="sr-Latn-ME" w:eastAsia="ar-SA"/>
        </w:rPr>
      </w:pPr>
    </w:p>
    <w:p w14:paraId="3E8034DE" w14:textId="77777777" w:rsidR="00E66349" w:rsidRPr="00AC7B39" w:rsidRDefault="00E66349" w:rsidP="00ED5A83">
      <w:pPr>
        <w:suppressAutoHyphens/>
        <w:jc w:val="both"/>
        <w:rPr>
          <w:b/>
          <w:bCs/>
          <w:szCs w:val="22"/>
          <w:lang w:val="sr-Latn-ME" w:eastAsia="ar-SA"/>
        </w:rPr>
      </w:pPr>
      <w:r w:rsidRPr="00AC7B39">
        <w:rPr>
          <w:b/>
          <w:bCs/>
          <w:szCs w:val="22"/>
          <w:lang w:val="sr-Latn-ME" w:eastAsia="ar-SA"/>
        </w:rPr>
        <w:t>4.8</w:t>
      </w:r>
      <w:r w:rsidRPr="00AC7B39">
        <w:rPr>
          <w:b/>
          <w:bCs/>
          <w:szCs w:val="22"/>
          <w:lang w:val="sr-Latn-ME" w:eastAsia="ar-SA"/>
        </w:rPr>
        <w:tab/>
        <w:t>Neželjena dejstva</w:t>
      </w:r>
    </w:p>
    <w:p w14:paraId="57790974" w14:textId="77777777" w:rsidR="00E66349" w:rsidRPr="00AC7B39" w:rsidRDefault="00E66349" w:rsidP="00ED5A83">
      <w:pPr>
        <w:suppressAutoHyphens/>
        <w:jc w:val="both"/>
        <w:rPr>
          <w:b/>
          <w:bCs/>
          <w:szCs w:val="22"/>
          <w:lang w:val="sr-Latn-ME" w:eastAsia="ar-SA"/>
        </w:rPr>
      </w:pPr>
    </w:p>
    <w:p w14:paraId="596C9B0E" w14:textId="77777777" w:rsidR="00E66349" w:rsidRPr="00AC7B39" w:rsidRDefault="00E66349" w:rsidP="00ED5A83">
      <w:pPr>
        <w:widowControl w:val="0"/>
        <w:spacing w:line="276" w:lineRule="auto"/>
        <w:jc w:val="both"/>
        <w:rPr>
          <w:szCs w:val="22"/>
          <w:lang w:val="sr-Latn-ME"/>
        </w:rPr>
      </w:pPr>
      <w:r w:rsidRPr="00AC7B39">
        <w:rPr>
          <w:szCs w:val="22"/>
          <w:lang w:val="sr-Latn-ME"/>
        </w:rPr>
        <w:t>Učestalost neželjenih dejstava nakon primjene lijeka Efloran, definisana je prema sljedećim pravilima:</w:t>
      </w:r>
    </w:p>
    <w:p w14:paraId="368541DA" w14:textId="77777777" w:rsidR="00E66349" w:rsidRPr="00AC7B39" w:rsidRDefault="00E66349" w:rsidP="00ED5A83">
      <w:pPr>
        <w:widowControl w:val="0"/>
        <w:numPr>
          <w:ilvl w:val="0"/>
          <w:numId w:val="28"/>
        </w:numPr>
        <w:tabs>
          <w:tab w:val="clear" w:pos="567"/>
        </w:tabs>
        <w:spacing w:line="276" w:lineRule="auto"/>
        <w:jc w:val="both"/>
        <w:rPr>
          <w:szCs w:val="22"/>
          <w:lang w:val="sr-Latn-ME"/>
        </w:rPr>
      </w:pPr>
      <w:r w:rsidRPr="00AC7B39">
        <w:rPr>
          <w:szCs w:val="22"/>
          <w:lang w:val="sr-Latn-ME"/>
        </w:rPr>
        <w:t>veoma česta (≥ 1/10)</w:t>
      </w:r>
    </w:p>
    <w:p w14:paraId="313C12E6" w14:textId="77777777" w:rsidR="00E66349" w:rsidRPr="00AC7B39" w:rsidRDefault="00E66349" w:rsidP="00ED5A83">
      <w:pPr>
        <w:widowControl w:val="0"/>
        <w:numPr>
          <w:ilvl w:val="0"/>
          <w:numId w:val="28"/>
        </w:numPr>
        <w:tabs>
          <w:tab w:val="clear" w:pos="567"/>
        </w:tabs>
        <w:spacing w:line="276" w:lineRule="auto"/>
        <w:jc w:val="both"/>
        <w:rPr>
          <w:szCs w:val="22"/>
          <w:lang w:val="sr-Latn-ME"/>
        </w:rPr>
      </w:pPr>
      <w:r w:rsidRPr="00AC7B39">
        <w:rPr>
          <w:szCs w:val="22"/>
          <w:lang w:val="sr-Latn-ME"/>
        </w:rPr>
        <w:t>česta (≥ 1/100,  &lt; 1/10)</w:t>
      </w:r>
    </w:p>
    <w:p w14:paraId="68ADDF10" w14:textId="77777777" w:rsidR="00E66349" w:rsidRPr="00AC7B39" w:rsidRDefault="00E66349" w:rsidP="00ED5A83">
      <w:pPr>
        <w:widowControl w:val="0"/>
        <w:numPr>
          <w:ilvl w:val="0"/>
          <w:numId w:val="28"/>
        </w:numPr>
        <w:tabs>
          <w:tab w:val="clear" w:pos="567"/>
        </w:tabs>
        <w:spacing w:line="276" w:lineRule="auto"/>
        <w:jc w:val="both"/>
        <w:rPr>
          <w:szCs w:val="22"/>
          <w:lang w:val="sr-Latn-ME"/>
        </w:rPr>
      </w:pPr>
      <w:r w:rsidRPr="00AC7B39">
        <w:rPr>
          <w:szCs w:val="22"/>
          <w:lang w:val="sr-Latn-ME"/>
        </w:rPr>
        <w:t>povremena (≥ 1/1000,  &lt; 100)</w:t>
      </w:r>
    </w:p>
    <w:p w14:paraId="71535D06" w14:textId="77777777" w:rsidR="00E66349" w:rsidRPr="00AC7B39" w:rsidRDefault="00E66349" w:rsidP="00ED5A83">
      <w:pPr>
        <w:widowControl w:val="0"/>
        <w:numPr>
          <w:ilvl w:val="0"/>
          <w:numId w:val="28"/>
        </w:numPr>
        <w:tabs>
          <w:tab w:val="clear" w:pos="567"/>
        </w:tabs>
        <w:spacing w:line="276" w:lineRule="auto"/>
        <w:jc w:val="both"/>
        <w:rPr>
          <w:szCs w:val="22"/>
          <w:lang w:val="sr-Latn-ME"/>
        </w:rPr>
      </w:pPr>
      <w:r w:rsidRPr="00AC7B39">
        <w:rPr>
          <w:szCs w:val="22"/>
          <w:lang w:val="sr-Latn-ME"/>
        </w:rPr>
        <w:t>rijetka (≥ 1/10.000, &lt; 1000)</w:t>
      </w:r>
    </w:p>
    <w:p w14:paraId="2624A4D2" w14:textId="77777777" w:rsidR="00E66349" w:rsidRPr="00AC7B39" w:rsidRDefault="00E66349" w:rsidP="00ED5A83">
      <w:pPr>
        <w:widowControl w:val="0"/>
        <w:numPr>
          <w:ilvl w:val="0"/>
          <w:numId w:val="28"/>
        </w:numPr>
        <w:tabs>
          <w:tab w:val="clear" w:pos="567"/>
        </w:tabs>
        <w:spacing w:line="276" w:lineRule="auto"/>
        <w:jc w:val="both"/>
        <w:rPr>
          <w:szCs w:val="22"/>
          <w:lang w:val="sr-Latn-ME"/>
        </w:rPr>
      </w:pPr>
      <w:r w:rsidRPr="00AC7B39">
        <w:rPr>
          <w:szCs w:val="22"/>
          <w:lang w:val="sr-Latn-ME"/>
        </w:rPr>
        <w:t>veoma rijetka (&lt; 1/10.000)</w:t>
      </w:r>
    </w:p>
    <w:p w14:paraId="66D3C6A8" w14:textId="77777777" w:rsidR="00E66349" w:rsidRPr="00AC7B39" w:rsidRDefault="00E66349" w:rsidP="00ED5A83">
      <w:pPr>
        <w:widowControl w:val="0"/>
        <w:numPr>
          <w:ilvl w:val="0"/>
          <w:numId w:val="28"/>
        </w:numPr>
        <w:tabs>
          <w:tab w:val="clear" w:pos="567"/>
        </w:tabs>
        <w:spacing w:line="276" w:lineRule="auto"/>
        <w:jc w:val="both"/>
        <w:rPr>
          <w:szCs w:val="22"/>
          <w:lang w:val="sr-Latn-ME"/>
        </w:rPr>
      </w:pPr>
      <w:r w:rsidRPr="00AC7B39">
        <w:rPr>
          <w:szCs w:val="22"/>
          <w:lang w:val="sr-Latn-ME"/>
        </w:rPr>
        <w:t>nepoznata učestalost (nije moguće procijeniti iz raspoloživih podataka)</w:t>
      </w:r>
    </w:p>
    <w:p w14:paraId="657907FA" w14:textId="77777777" w:rsidR="00E66349" w:rsidRPr="00AC7B39" w:rsidRDefault="00E66349" w:rsidP="00ED5A83">
      <w:pPr>
        <w:jc w:val="both"/>
        <w:rPr>
          <w:szCs w:val="22"/>
          <w:lang w:val="sr-Latn-ME"/>
        </w:rPr>
      </w:pPr>
      <w:r w:rsidRPr="00AC7B39">
        <w:rPr>
          <w:szCs w:val="22"/>
          <w:lang w:val="sr-Latn-ME"/>
        </w:rPr>
        <w:t>U okviru svake grupe učestalosti, neželjena dejstva su prikazana u opadajućem nizu po ozbiljnosti.</w:t>
      </w:r>
    </w:p>
    <w:p w14:paraId="6F33DFB4" w14:textId="77777777" w:rsidR="00E66349" w:rsidRPr="00AC7B39" w:rsidRDefault="00E66349" w:rsidP="00ED5A83">
      <w:pPr>
        <w:jc w:val="both"/>
        <w:rPr>
          <w:szCs w:val="22"/>
          <w:lang w:val="sr-Latn-ME"/>
        </w:rPr>
      </w:pPr>
    </w:p>
    <w:p w14:paraId="3419ED15" w14:textId="77777777" w:rsidR="00E66349" w:rsidRPr="00AC7B39" w:rsidRDefault="00E66349" w:rsidP="00ED5A83">
      <w:pPr>
        <w:jc w:val="both"/>
        <w:rPr>
          <w:szCs w:val="22"/>
          <w:lang w:val="sr-Latn-ME"/>
        </w:rPr>
      </w:pPr>
      <w:r w:rsidRPr="00AC7B39">
        <w:rPr>
          <w:szCs w:val="22"/>
          <w:lang w:val="sr-Latn-ME"/>
        </w:rPr>
        <w:t>Učestalost neželjenih dejstava je prikazana na osnovu sistemskih organa:</w:t>
      </w:r>
    </w:p>
    <w:p w14:paraId="2BD422DA" w14:textId="77777777" w:rsidR="006D663E" w:rsidRPr="00AC7B39" w:rsidRDefault="006D663E" w:rsidP="00ED5A83">
      <w:pPr>
        <w:jc w:val="both"/>
        <w:rPr>
          <w:i/>
          <w:szCs w:val="22"/>
          <w:lang w:val="sr-Latn-ME"/>
        </w:rPr>
      </w:pPr>
    </w:p>
    <w:p w14:paraId="0449E136" w14:textId="77777777" w:rsidR="003F33BF" w:rsidRPr="00AC7B39" w:rsidRDefault="003F33BF" w:rsidP="00ED5A83">
      <w:pPr>
        <w:jc w:val="both"/>
        <w:rPr>
          <w:i/>
          <w:szCs w:val="22"/>
          <w:lang w:val="sr-Latn-ME"/>
        </w:rPr>
      </w:pPr>
      <w:r w:rsidRPr="00AC7B39">
        <w:rPr>
          <w:i/>
          <w:szCs w:val="22"/>
          <w:lang w:val="sr-Latn-ME"/>
        </w:rPr>
        <w:t>Psihijatrijski poremećaji:</w:t>
      </w:r>
    </w:p>
    <w:p w14:paraId="21518A31" w14:textId="77777777" w:rsidR="003F33BF" w:rsidRPr="00AC7B39" w:rsidRDefault="003F33BF" w:rsidP="00ED5A83">
      <w:pPr>
        <w:numPr>
          <w:ilvl w:val="0"/>
          <w:numId w:val="29"/>
        </w:numPr>
        <w:jc w:val="both"/>
        <w:rPr>
          <w:szCs w:val="22"/>
          <w:lang w:val="sr-Latn-ME"/>
        </w:rPr>
      </w:pPr>
      <w:r w:rsidRPr="00AC7B39">
        <w:rPr>
          <w:szCs w:val="22"/>
          <w:lang w:val="sr-Latn-ME"/>
        </w:rPr>
        <w:t>veoma rijetka: psihički poremećaji, uključujući zbunjenost i halucinacije</w:t>
      </w:r>
    </w:p>
    <w:p w14:paraId="502F4EC5" w14:textId="77777777" w:rsidR="003F33BF" w:rsidRPr="00AC7B39" w:rsidRDefault="003F33BF" w:rsidP="00ED5A83">
      <w:pPr>
        <w:numPr>
          <w:ilvl w:val="0"/>
          <w:numId w:val="29"/>
        </w:numPr>
        <w:jc w:val="both"/>
        <w:rPr>
          <w:szCs w:val="22"/>
          <w:lang w:val="sr-Latn-ME"/>
        </w:rPr>
      </w:pPr>
      <w:r w:rsidRPr="00AC7B39">
        <w:rPr>
          <w:szCs w:val="22"/>
          <w:lang w:val="sr-Latn-ME"/>
        </w:rPr>
        <w:t>nepoznata: depresivno raspoloženje</w:t>
      </w:r>
    </w:p>
    <w:p w14:paraId="41EDB4A8" w14:textId="77777777" w:rsidR="006D663E" w:rsidRPr="00AC7B39" w:rsidRDefault="006D663E" w:rsidP="00ED5A83">
      <w:pPr>
        <w:jc w:val="both"/>
        <w:rPr>
          <w:szCs w:val="22"/>
          <w:lang w:val="sr-Latn-ME"/>
        </w:rPr>
      </w:pPr>
    </w:p>
    <w:p w14:paraId="61A91FA9" w14:textId="77777777" w:rsidR="00E66349" w:rsidRPr="00AC7B39" w:rsidRDefault="00E66349" w:rsidP="00ED5A83">
      <w:pPr>
        <w:jc w:val="both"/>
        <w:rPr>
          <w:szCs w:val="22"/>
          <w:lang w:val="sr-Latn-ME"/>
        </w:rPr>
      </w:pPr>
      <w:r w:rsidRPr="00AC7B39">
        <w:rPr>
          <w:i/>
          <w:szCs w:val="22"/>
          <w:lang w:val="sr-Latn-ME"/>
        </w:rPr>
        <w:t>Poremećaji nervnog sistema</w:t>
      </w:r>
    </w:p>
    <w:p w14:paraId="303078DA" w14:textId="24C21D31" w:rsidR="00E66349" w:rsidRPr="00AC7B39" w:rsidRDefault="00E66349" w:rsidP="00ED5A83">
      <w:pPr>
        <w:numPr>
          <w:ilvl w:val="0"/>
          <w:numId w:val="29"/>
        </w:numPr>
        <w:jc w:val="both"/>
        <w:rPr>
          <w:szCs w:val="22"/>
          <w:lang w:val="sr-Latn-ME"/>
        </w:rPr>
      </w:pPr>
      <w:r w:rsidRPr="00AC7B39">
        <w:rPr>
          <w:szCs w:val="22"/>
          <w:lang w:val="sr-Latn-ME"/>
        </w:rPr>
        <w:t>povremena: glavobolja, vrtoglavica, vertigo, povišena tjelesna temperatura, suva usta</w:t>
      </w:r>
    </w:p>
    <w:p w14:paraId="4E991098" w14:textId="4F4F49D0" w:rsidR="00E66349" w:rsidRPr="00AC7B39" w:rsidRDefault="00E66349" w:rsidP="00ED5A83">
      <w:pPr>
        <w:numPr>
          <w:ilvl w:val="0"/>
          <w:numId w:val="29"/>
        </w:numPr>
        <w:jc w:val="both"/>
        <w:rPr>
          <w:szCs w:val="22"/>
          <w:lang w:val="sr-Latn-ME"/>
        </w:rPr>
      </w:pPr>
      <w:r w:rsidRPr="00AC7B39">
        <w:rPr>
          <w:szCs w:val="22"/>
          <w:lang w:val="sr-Latn-ME"/>
        </w:rPr>
        <w:t xml:space="preserve">rijetka: periferna </w:t>
      </w:r>
      <w:r w:rsidR="003F33BF" w:rsidRPr="00AC7B39">
        <w:rPr>
          <w:szCs w:val="22"/>
          <w:lang w:val="sr-Latn-ME"/>
        </w:rPr>
        <w:t>senzorna</w:t>
      </w:r>
      <w:r w:rsidR="00BE5168" w:rsidRPr="00AC7B39">
        <w:rPr>
          <w:szCs w:val="22"/>
          <w:lang w:val="sr-Latn-ME"/>
        </w:rPr>
        <w:t xml:space="preserve"> </w:t>
      </w:r>
      <w:r w:rsidRPr="00AC7B39">
        <w:rPr>
          <w:szCs w:val="22"/>
          <w:lang w:val="sr-Latn-ME"/>
        </w:rPr>
        <w:t>neuropatija</w:t>
      </w:r>
    </w:p>
    <w:p w14:paraId="2A3DA0A0" w14:textId="45E698D9" w:rsidR="003F33BF" w:rsidRPr="00C82651" w:rsidRDefault="003F33BF" w:rsidP="00ED5A83">
      <w:pPr>
        <w:numPr>
          <w:ilvl w:val="0"/>
          <w:numId w:val="29"/>
        </w:numPr>
        <w:jc w:val="both"/>
        <w:rPr>
          <w:szCs w:val="22"/>
          <w:lang w:val="sr-Latn-ME"/>
        </w:rPr>
      </w:pPr>
      <w:r w:rsidRPr="00C76DE7">
        <w:rPr>
          <w:szCs w:val="22"/>
          <w:lang w:val="sr-Latn-ME"/>
        </w:rPr>
        <w:t>veoma rijetka: encefalopatija (npr. zbunjenost) i subakutni cerebelarni sindrom (npr. ataksija, dizartrija, poremećaj kretnji, nistagmus i tremor) koji se mogu povući prekidanjem primjene lijeka</w:t>
      </w:r>
    </w:p>
    <w:p w14:paraId="1947E49B" w14:textId="77777777" w:rsidR="003F33BF" w:rsidRPr="00EC0E54" w:rsidRDefault="003F33BF" w:rsidP="00ED5A83">
      <w:pPr>
        <w:numPr>
          <w:ilvl w:val="0"/>
          <w:numId w:val="29"/>
        </w:numPr>
        <w:jc w:val="both"/>
        <w:rPr>
          <w:szCs w:val="22"/>
          <w:lang w:val="sr-Latn-ME"/>
        </w:rPr>
      </w:pPr>
      <w:r w:rsidRPr="00EC0E54">
        <w:rPr>
          <w:szCs w:val="22"/>
          <w:lang w:val="sr-Latn-ME"/>
        </w:rPr>
        <w:t>nepoznato: prolazni epileptiformni napadi, aseptični meningitis</w:t>
      </w:r>
    </w:p>
    <w:p w14:paraId="611E8968" w14:textId="77777777" w:rsidR="00E66349" w:rsidRPr="00AC7B39" w:rsidRDefault="00E66349" w:rsidP="00ED5A83">
      <w:pPr>
        <w:jc w:val="both"/>
        <w:rPr>
          <w:szCs w:val="22"/>
          <w:lang w:val="sr-Latn-ME"/>
        </w:rPr>
      </w:pPr>
      <w:r w:rsidRPr="00AC7B39">
        <w:rPr>
          <w:szCs w:val="22"/>
          <w:lang w:val="sr-Latn-ME"/>
        </w:rPr>
        <w:t>Ukoliko se jave CNS neželjena dejstva, npr. konvulzije, dezorjentacija, agitacija, ataksija i slično, pacijent treba da odmah obustavi primjenu lijeka i konsultuje se sa ljekarom.</w:t>
      </w:r>
    </w:p>
    <w:p w14:paraId="7619D6E9" w14:textId="77777777" w:rsidR="00D12D4F" w:rsidRPr="00AC7B39" w:rsidRDefault="00D12D4F" w:rsidP="00ED5A83">
      <w:pPr>
        <w:jc w:val="both"/>
        <w:rPr>
          <w:i/>
          <w:szCs w:val="22"/>
          <w:lang w:val="sr-Latn-ME"/>
        </w:rPr>
      </w:pPr>
    </w:p>
    <w:p w14:paraId="5856A938" w14:textId="77777777" w:rsidR="00923FF9" w:rsidRPr="00AC7B39" w:rsidRDefault="00923FF9" w:rsidP="00ED5A83">
      <w:pPr>
        <w:autoSpaceDE w:val="0"/>
        <w:autoSpaceDN w:val="0"/>
        <w:adjustRightInd w:val="0"/>
        <w:jc w:val="both"/>
        <w:rPr>
          <w:i/>
          <w:szCs w:val="22"/>
          <w:lang w:val="sr-Latn-ME"/>
        </w:rPr>
      </w:pPr>
      <w:r w:rsidRPr="00AC7B39">
        <w:rPr>
          <w:i/>
          <w:szCs w:val="22"/>
          <w:lang w:val="sr-Latn-ME"/>
        </w:rPr>
        <w:t>Poremećaji oka:</w:t>
      </w:r>
    </w:p>
    <w:p w14:paraId="0FA6BDDC" w14:textId="3A829194" w:rsidR="00923FF9" w:rsidRPr="00AC7B39" w:rsidRDefault="00923FF9" w:rsidP="00ED5A83">
      <w:pPr>
        <w:numPr>
          <w:ilvl w:val="0"/>
          <w:numId w:val="29"/>
        </w:numPr>
        <w:autoSpaceDE w:val="0"/>
        <w:autoSpaceDN w:val="0"/>
        <w:adjustRightInd w:val="0"/>
        <w:jc w:val="both"/>
        <w:rPr>
          <w:szCs w:val="22"/>
          <w:lang w:val="sr-Latn-ME"/>
        </w:rPr>
      </w:pPr>
      <w:r w:rsidRPr="00AC7B39">
        <w:rPr>
          <w:szCs w:val="22"/>
          <w:lang w:val="sr-Latn-ME"/>
        </w:rPr>
        <w:t>vema rijetka: poremećaji vida kao što su diplopija i miopija, koje su u većini slučajeva prolazne</w:t>
      </w:r>
    </w:p>
    <w:p w14:paraId="0ACE65B6" w14:textId="77777777" w:rsidR="00923FF9" w:rsidRPr="00AC7B39" w:rsidRDefault="00923FF9" w:rsidP="00ED5A83">
      <w:pPr>
        <w:numPr>
          <w:ilvl w:val="0"/>
          <w:numId w:val="29"/>
        </w:numPr>
        <w:autoSpaceDE w:val="0"/>
        <w:autoSpaceDN w:val="0"/>
        <w:adjustRightInd w:val="0"/>
        <w:jc w:val="both"/>
        <w:rPr>
          <w:szCs w:val="22"/>
          <w:lang w:val="sr-Latn-ME"/>
        </w:rPr>
      </w:pPr>
      <w:r w:rsidRPr="00AC7B39">
        <w:rPr>
          <w:szCs w:val="22"/>
          <w:lang w:val="sr-Latn-ME"/>
        </w:rPr>
        <w:t>nepoznata: optička neuropatija/neuritis</w:t>
      </w:r>
      <w:r w:rsidRPr="00AC7B39" w:rsidDel="000366EE">
        <w:rPr>
          <w:szCs w:val="22"/>
          <w:lang w:val="sr-Latn-ME"/>
        </w:rPr>
        <w:t xml:space="preserve"> </w:t>
      </w:r>
    </w:p>
    <w:p w14:paraId="2B20A0DB" w14:textId="77777777" w:rsidR="00D12D4F" w:rsidRPr="00AC7B39" w:rsidRDefault="00D12D4F" w:rsidP="00ED5A83">
      <w:pPr>
        <w:autoSpaceDE w:val="0"/>
        <w:autoSpaceDN w:val="0"/>
        <w:adjustRightInd w:val="0"/>
        <w:jc w:val="both"/>
        <w:rPr>
          <w:szCs w:val="22"/>
          <w:lang w:val="sr-Latn-ME"/>
        </w:rPr>
      </w:pPr>
    </w:p>
    <w:p w14:paraId="1DC7ABB5" w14:textId="77777777" w:rsidR="001B2239" w:rsidRPr="00AC7B39" w:rsidRDefault="001B2239" w:rsidP="00ED5A83">
      <w:pPr>
        <w:autoSpaceDE w:val="0"/>
        <w:autoSpaceDN w:val="0"/>
        <w:adjustRightInd w:val="0"/>
        <w:jc w:val="both"/>
        <w:rPr>
          <w:i/>
          <w:szCs w:val="22"/>
          <w:lang w:val="sr-Latn-ME"/>
        </w:rPr>
      </w:pPr>
      <w:r w:rsidRPr="00AC7B39">
        <w:rPr>
          <w:i/>
          <w:szCs w:val="22"/>
          <w:lang w:val="sr-Latn-ME"/>
        </w:rPr>
        <w:t>Poremećaji uha i labirinta</w:t>
      </w:r>
      <w:r w:rsidRPr="00AC7B39" w:rsidDel="000366EE">
        <w:rPr>
          <w:i/>
          <w:szCs w:val="22"/>
          <w:lang w:val="sr-Latn-ME"/>
        </w:rPr>
        <w:t xml:space="preserve"> </w:t>
      </w:r>
    </w:p>
    <w:p w14:paraId="1012F06F" w14:textId="77777777" w:rsidR="00D12D4F" w:rsidRPr="00AC7B39" w:rsidRDefault="001B2239" w:rsidP="00ED5A83">
      <w:pPr>
        <w:numPr>
          <w:ilvl w:val="0"/>
          <w:numId w:val="29"/>
        </w:numPr>
        <w:jc w:val="both"/>
        <w:rPr>
          <w:i/>
          <w:szCs w:val="22"/>
          <w:lang w:val="sr-Latn-ME"/>
        </w:rPr>
      </w:pPr>
      <w:r w:rsidRPr="00AC7B39">
        <w:rPr>
          <w:szCs w:val="22"/>
          <w:lang w:val="sr-Latn-ME"/>
        </w:rPr>
        <w:t xml:space="preserve">nepoznata: oštećen sluh/gubitak sluha (uključujući senzorineuralno), tinitus </w:t>
      </w:r>
    </w:p>
    <w:p w14:paraId="419E9636" w14:textId="77777777" w:rsidR="001B2239" w:rsidRPr="00AC7B39" w:rsidRDefault="001B2239" w:rsidP="00ED5A83">
      <w:pPr>
        <w:ind w:left="720"/>
        <w:jc w:val="both"/>
        <w:rPr>
          <w:i/>
          <w:szCs w:val="22"/>
          <w:lang w:val="sr-Latn-ME"/>
        </w:rPr>
      </w:pPr>
    </w:p>
    <w:p w14:paraId="6B8A5416" w14:textId="77777777" w:rsidR="00E66349" w:rsidRPr="00AC7B39" w:rsidRDefault="00E66349" w:rsidP="00ED5A83">
      <w:pPr>
        <w:jc w:val="both"/>
        <w:rPr>
          <w:szCs w:val="22"/>
          <w:lang w:val="sr-Latn-ME"/>
        </w:rPr>
      </w:pPr>
      <w:r w:rsidRPr="00AC7B39">
        <w:rPr>
          <w:i/>
          <w:szCs w:val="22"/>
          <w:lang w:val="sr-Latn-ME"/>
        </w:rPr>
        <w:t>Gastrointestinalni poremećaji</w:t>
      </w:r>
    </w:p>
    <w:p w14:paraId="34C8D31E" w14:textId="3E179EF3" w:rsidR="00E66349" w:rsidRPr="00AC7B39" w:rsidRDefault="00E66349" w:rsidP="00ED5A83">
      <w:pPr>
        <w:numPr>
          <w:ilvl w:val="0"/>
          <w:numId w:val="29"/>
        </w:numPr>
        <w:jc w:val="both"/>
        <w:rPr>
          <w:szCs w:val="22"/>
          <w:lang w:val="sr-Latn-ME"/>
        </w:rPr>
      </w:pPr>
      <w:r w:rsidRPr="00AC7B39">
        <w:rPr>
          <w:szCs w:val="22"/>
          <w:lang w:val="sr-Latn-ME"/>
        </w:rPr>
        <w:t>rijetka: mučnina, abdominalni bol, metalni ukus, anoreksija</w:t>
      </w:r>
    </w:p>
    <w:p w14:paraId="1757FAF2" w14:textId="2B39B55B" w:rsidR="00E66349" w:rsidRPr="00AC7B39" w:rsidRDefault="00E66349" w:rsidP="00ED5A83">
      <w:pPr>
        <w:numPr>
          <w:ilvl w:val="0"/>
          <w:numId w:val="29"/>
        </w:numPr>
        <w:jc w:val="both"/>
        <w:rPr>
          <w:szCs w:val="22"/>
          <w:lang w:val="sr-Latn-ME"/>
        </w:rPr>
      </w:pPr>
      <w:r w:rsidRPr="00AC7B39">
        <w:rPr>
          <w:szCs w:val="22"/>
          <w:lang w:val="sr-Latn-ME"/>
        </w:rPr>
        <w:t>veoma rijetka: povraćanje, dijareja, pankreatitis</w:t>
      </w:r>
    </w:p>
    <w:p w14:paraId="7363898F" w14:textId="77777777" w:rsidR="00C76DE7" w:rsidRDefault="00C76DE7" w:rsidP="00ED5A83">
      <w:pPr>
        <w:jc w:val="both"/>
        <w:rPr>
          <w:i/>
          <w:szCs w:val="22"/>
          <w:lang w:val="sr-Latn-ME"/>
        </w:rPr>
      </w:pPr>
    </w:p>
    <w:p w14:paraId="2542CF9C" w14:textId="16A92E57" w:rsidR="00E66349" w:rsidRPr="00AC7B39" w:rsidRDefault="00E66349" w:rsidP="00ED5A83">
      <w:pPr>
        <w:jc w:val="both"/>
        <w:rPr>
          <w:szCs w:val="22"/>
          <w:lang w:val="sr-Latn-ME"/>
        </w:rPr>
      </w:pPr>
      <w:r w:rsidRPr="00AC7B39">
        <w:rPr>
          <w:i/>
          <w:szCs w:val="22"/>
          <w:lang w:val="sr-Latn-ME"/>
        </w:rPr>
        <w:t>Poremećaji imunog sistema</w:t>
      </w:r>
    </w:p>
    <w:p w14:paraId="0F236845" w14:textId="5FEF3F2B" w:rsidR="00E66349" w:rsidRPr="00AC7B39" w:rsidRDefault="00E66349" w:rsidP="00ED5A83">
      <w:pPr>
        <w:numPr>
          <w:ilvl w:val="0"/>
          <w:numId w:val="29"/>
        </w:numPr>
        <w:ind w:left="567" w:hanging="283"/>
        <w:jc w:val="both"/>
        <w:rPr>
          <w:szCs w:val="22"/>
          <w:lang w:val="sr-Latn-ME"/>
        </w:rPr>
      </w:pPr>
      <w:r w:rsidRPr="00AC7B39">
        <w:rPr>
          <w:szCs w:val="22"/>
          <w:lang w:val="sr-Latn-ME"/>
        </w:rPr>
        <w:t>rijetka: reakcije preosjetljivosti (osip, utrikarija, anafilaktičke reakcije, angioedem), Herxheimerova reakcija</w:t>
      </w:r>
    </w:p>
    <w:p w14:paraId="45B10DA0" w14:textId="77777777" w:rsidR="00C76DE7" w:rsidRDefault="00C76DE7" w:rsidP="00ED5A83">
      <w:pPr>
        <w:jc w:val="both"/>
        <w:rPr>
          <w:i/>
          <w:szCs w:val="22"/>
          <w:lang w:val="sr-Latn-ME"/>
        </w:rPr>
      </w:pPr>
    </w:p>
    <w:p w14:paraId="5C63D550" w14:textId="3022E4D2" w:rsidR="00E66349" w:rsidRPr="00AC7B39" w:rsidRDefault="00E66349" w:rsidP="00ED5A83">
      <w:pPr>
        <w:jc w:val="both"/>
        <w:rPr>
          <w:szCs w:val="22"/>
          <w:lang w:val="sr-Latn-ME"/>
        </w:rPr>
      </w:pPr>
      <w:r w:rsidRPr="00AC7B39">
        <w:rPr>
          <w:i/>
          <w:szCs w:val="22"/>
          <w:lang w:val="sr-Latn-ME"/>
        </w:rPr>
        <w:t>Infekcije i infestacije</w:t>
      </w:r>
    </w:p>
    <w:p w14:paraId="7CFB4B61" w14:textId="78575006" w:rsidR="00E66349" w:rsidRPr="00AC7B39" w:rsidRDefault="00E66349" w:rsidP="00ED5A83">
      <w:pPr>
        <w:numPr>
          <w:ilvl w:val="0"/>
          <w:numId w:val="29"/>
        </w:numPr>
        <w:ind w:left="567" w:hanging="283"/>
        <w:jc w:val="both"/>
        <w:rPr>
          <w:szCs w:val="22"/>
          <w:lang w:val="sr-Latn-ME"/>
        </w:rPr>
      </w:pPr>
      <w:r w:rsidRPr="00AC7B39">
        <w:rPr>
          <w:szCs w:val="22"/>
          <w:lang w:val="sr-Latn-ME"/>
        </w:rPr>
        <w:t>povremena: oralna ili vaginalna kandidijaza</w:t>
      </w:r>
    </w:p>
    <w:p w14:paraId="0D3BA262" w14:textId="77777777" w:rsidR="00C76DE7" w:rsidRDefault="00C76DE7" w:rsidP="00ED5A83">
      <w:pPr>
        <w:jc w:val="both"/>
        <w:rPr>
          <w:i/>
          <w:szCs w:val="22"/>
          <w:lang w:val="sr-Latn-ME"/>
        </w:rPr>
      </w:pPr>
    </w:p>
    <w:p w14:paraId="4F87C8F7" w14:textId="1DE249F3" w:rsidR="00E66349" w:rsidRPr="00AC7B39" w:rsidRDefault="00E66349" w:rsidP="00ED5A83">
      <w:pPr>
        <w:jc w:val="both"/>
        <w:rPr>
          <w:szCs w:val="22"/>
          <w:lang w:val="sr-Latn-ME"/>
        </w:rPr>
      </w:pPr>
      <w:r w:rsidRPr="00AC7B39">
        <w:rPr>
          <w:i/>
          <w:szCs w:val="22"/>
          <w:lang w:val="sr-Latn-ME"/>
        </w:rPr>
        <w:t>Poremećaji bubrega i urinarnog trakta</w:t>
      </w:r>
    </w:p>
    <w:p w14:paraId="273587F8" w14:textId="48A5FC9A" w:rsidR="00E66349" w:rsidRPr="00AC7B39" w:rsidRDefault="00E66349" w:rsidP="00ED5A83">
      <w:pPr>
        <w:numPr>
          <w:ilvl w:val="0"/>
          <w:numId w:val="29"/>
        </w:numPr>
        <w:ind w:left="567" w:hanging="283"/>
        <w:jc w:val="both"/>
        <w:rPr>
          <w:szCs w:val="22"/>
          <w:lang w:val="sr-Latn-ME"/>
        </w:rPr>
      </w:pPr>
      <w:r w:rsidRPr="00AC7B39">
        <w:rPr>
          <w:szCs w:val="22"/>
          <w:lang w:val="sr-Latn-ME"/>
        </w:rPr>
        <w:t>rijetka: urin tamne ili crveno-smeđe boje, peckanje u uretri ili vagini</w:t>
      </w:r>
    </w:p>
    <w:p w14:paraId="70844D0C" w14:textId="77777777" w:rsidR="00C76DE7" w:rsidRDefault="00C76DE7" w:rsidP="00E66349">
      <w:pPr>
        <w:rPr>
          <w:i/>
          <w:szCs w:val="22"/>
          <w:lang w:val="sr-Latn-ME"/>
        </w:rPr>
      </w:pPr>
    </w:p>
    <w:p w14:paraId="4BADFF92" w14:textId="45051F08" w:rsidR="00E66349" w:rsidRPr="00AC7B39" w:rsidRDefault="00E66349" w:rsidP="00E66349">
      <w:pPr>
        <w:rPr>
          <w:szCs w:val="22"/>
          <w:lang w:val="sr-Latn-ME"/>
        </w:rPr>
      </w:pPr>
      <w:r w:rsidRPr="00AC7B39">
        <w:rPr>
          <w:i/>
          <w:szCs w:val="22"/>
          <w:lang w:val="sr-Latn-ME"/>
        </w:rPr>
        <w:lastRenderedPageBreak/>
        <w:t>Hepatobilijarni poremećaji</w:t>
      </w:r>
    </w:p>
    <w:p w14:paraId="3BA2E07B" w14:textId="22D874B1" w:rsidR="005F7C2F" w:rsidRPr="00AC7B39" w:rsidRDefault="00E66349" w:rsidP="00EC0E54">
      <w:pPr>
        <w:numPr>
          <w:ilvl w:val="0"/>
          <w:numId w:val="29"/>
        </w:numPr>
        <w:ind w:left="567" w:hanging="283"/>
        <w:jc w:val="both"/>
        <w:rPr>
          <w:szCs w:val="22"/>
          <w:lang w:val="sr-Latn-ME"/>
        </w:rPr>
      </w:pPr>
      <w:r w:rsidRPr="00AC7B39">
        <w:rPr>
          <w:szCs w:val="22"/>
          <w:lang w:val="sr-Latn-ME"/>
        </w:rPr>
        <w:t>rijetka: oštećenje jetre</w:t>
      </w:r>
    </w:p>
    <w:p w14:paraId="7BF55ED2" w14:textId="77777777" w:rsidR="001B2239" w:rsidRPr="00C76DE7" w:rsidRDefault="001B2239" w:rsidP="00EC0E54">
      <w:pPr>
        <w:numPr>
          <w:ilvl w:val="0"/>
          <w:numId w:val="29"/>
        </w:numPr>
        <w:ind w:left="567" w:hanging="283"/>
        <w:jc w:val="both"/>
        <w:rPr>
          <w:szCs w:val="22"/>
          <w:lang w:val="sr-Latn-ME"/>
        </w:rPr>
      </w:pPr>
      <w:r w:rsidRPr="00C76DE7">
        <w:rPr>
          <w:szCs w:val="22"/>
          <w:lang w:val="sr-Latn-ME"/>
        </w:rPr>
        <w:t>veoma rijetka: povišeni enzimi jetre (AST, ALT, alkalna fosfataza), holestatski ili pomiješani hepatitis i hepatocelularna povreda jetre, žutica.</w:t>
      </w:r>
    </w:p>
    <w:p w14:paraId="0F4389E4" w14:textId="77777777" w:rsidR="00D12D4F" w:rsidRPr="00AC7B39" w:rsidRDefault="00D12D4F" w:rsidP="00D12D4F">
      <w:pPr>
        <w:pStyle w:val="ListParagraph"/>
        <w:ind w:left="0"/>
        <w:rPr>
          <w:sz w:val="22"/>
          <w:szCs w:val="22"/>
          <w:lang w:val="sr-Latn-ME"/>
        </w:rPr>
      </w:pPr>
    </w:p>
    <w:p w14:paraId="7E4D43DE" w14:textId="65016E7C" w:rsidR="00816320" w:rsidRDefault="001B2239" w:rsidP="001B2239">
      <w:pPr>
        <w:autoSpaceDE w:val="0"/>
        <w:autoSpaceDN w:val="0"/>
        <w:adjustRightInd w:val="0"/>
        <w:jc w:val="both"/>
        <w:rPr>
          <w:szCs w:val="22"/>
          <w:lang w:val="sr-Latn-ME"/>
        </w:rPr>
      </w:pPr>
      <w:r w:rsidRPr="00AC7B39">
        <w:rPr>
          <w:szCs w:val="22"/>
          <w:lang w:val="sr-Latn-ME"/>
        </w:rPr>
        <w:t>Prijavljeni su slučajevi zatajenja jetre koji zahtijevaju transplantaciju jetre kod pacijenata koji su liječeni metronidazolom uglavnom kada se koriste u kombinaciji sa drugim antibiotskim ljekovima.</w:t>
      </w:r>
    </w:p>
    <w:p w14:paraId="71AB74B7" w14:textId="77777777" w:rsidR="00AB07F9" w:rsidRPr="00AC7B39" w:rsidRDefault="00AB07F9" w:rsidP="001B2239">
      <w:pPr>
        <w:autoSpaceDE w:val="0"/>
        <w:autoSpaceDN w:val="0"/>
        <w:adjustRightInd w:val="0"/>
        <w:jc w:val="both"/>
        <w:rPr>
          <w:szCs w:val="22"/>
          <w:lang w:val="sr-Latn-ME"/>
        </w:rPr>
      </w:pPr>
    </w:p>
    <w:p w14:paraId="75319C4C" w14:textId="77777777" w:rsidR="00816320" w:rsidRPr="00AC7B39" w:rsidRDefault="00C152EA" w:rsidP="00816320">
      <w:pPr>
        <w:pStyle w:val="ListParagraph"/>
        <w:ind w:left="0"/>
        <w:rPr>
          <w:rFonts w:ascii="Times New Roman" w:hAnsi="Times New Roman"/>
          <w:sz w:val="22"/>
          <w:szCs w:val="22"/>
          <w:lang w:val="sr-Latn-ME"/>
        </w:rPr>
      </w:pPr>
      <w:r w:rsidRPr="00AC7B39">
        <w:rPr>
          <w:rFonts w:ascii="Times New Roman" w:hAnsi="Times New Roman"/>
          <w:i/>
          <w:sz w:val="22"/>
          <w:szCs w:val="22"/>
          <w:lang w:val="sr-Latn-ME"/>
        </w:rPr>
        <w:t>Poremećaji kože i potkožnog tkiva</w:t>
      </w:r>
    </w:p>
    <w:p w14:paraId="0B460B2B" w14:textId="02F87021" w:rsidR="00C152EA" w:rsidRPr="00AC7B39" w:rsidRDefault="00C152EA" w:rsidP="00EC0E54">
      <w:pPr>
        <w:numPr>
          <w:ilvl w:val="0"/>
          <w:numId w:val="29"/>
        </w:numPr>
        <w:ind w:left="567" w:hanging="283"/>
        <w:jc w:val="both"/>
        <w:rPr>
          <w:szCs w:val="22"/>
          <w:lang w:val="sr-Latn-ME"/>
        </w:rPr>
      </w:pPr>
      <w:r w:rsidRPr="00AC7B39">
        <w:rPr>
          <w:szCs w:val="22"/>
          <w:lang w:val="sr-Latn-ME"/>
        </w:rPr>
        <w:t xml:space="preserve">veoma rijetka: osip, pustularne erupcije, akutna generalizovana </w:t>
      </w:r>
    </w:p>
    <w:p w14:paraId="19273855" w14:textId="0FF256BE" w:rsidR="00C152EA" w:rsidRPr="00AC7B39" w:rsidRDefault="00C152EA" w:rsidP="00EC0E54">
      <w:pPr>
        <w:numPr>
          <w:ilvl w:val="0"/>
          <w:numId w:val="29"/>
        </w:numPr>
        <w:ind w:left="567" w:hanging="283"/>
        <w:jc w:val="both"/>
        <w:rPr>
          <w:szCs w:val="22"/>
          <w:lang w:val="sr-Latn-ME"/>
        </w:rPr>
      </w:pPr>
      <w:r w:rsidRPr="00AC7B39">
        <w:rPr>
          <w:szCs w:val="22"/>
          <w:lang w:val="sr-Latn-ME"/>
        </w:rPr>
        <w:t xml:space="preserve">egzantematozna pustuloza, svrab, crvenilo, </w:t>
      </w:r>
    </w:p>
    <w:p w14:paraId="10A8C1D7" w14:textId="5EF665B4" w:rsidR="00C152EA" w:rsidRPr="00AC7B39" w:rsidRDefault="00C152EA" w:rsidP="00EC0E54">
      <w:pPr>
        <w:numPr>
          <w:ilvl w:val="0"/>
          <w:numId w:val="29"/>
        </w:numPr>
        <w:ind w:left="567" w:hanging="283"/>
        <w:jc w:val="both"/>
        <w:rPr>
          <w:szCs w:val="22"/>
          <w:lang w:val="sr-Latn-ME"/>
        </w:rPr>
      </w:pPr>
      <w:r w:rsidRPr="00AC7B39">
        <w:rPr>
          <w:szCs w:val="22"/>
          <w:lang w:val="sr-Latn-ME"/>
        </w:rPr>
        <w:t>nepoznata:</w:t>
      </w:r>
      <w:r w:rsidR="00EC3BBA" w:rsidRPr="00AC7B39">
        <w:rPr>
          <w:szCs w:val="22"/>
          <w:lang w:val="sr-Latn-ME"/>
        </w:rPr>
        <w:t xml:space="preserve"> erithema multiforme, </w:t>
      </w:r>
      <w:r w:rsidRPr="00AC7B39">
        <w:rPr>
          <w:szCs w:val="22"/>
          <w:lang w:val="sr-Latn-ME"/>
        </w:rPr>
        <w:t>Stevens-Johnson sindrom ili toksična epidermalna nekroliza (TEN), izbijanje kožnih promjena uzrokovano lijekom</w:t>
      </w:r>
    </w:p>
    <w:p w14:paraId="352107FC" w14:textId="77777777" w:rsidR="00D12D4F" w:rsidRPr="00AC7B39" w:rsidRDefault="00D12D4F" w:rsidP="00D12D4F">
      <w:pPr>
        <w:pStyle w:val="ListParagraph"/>
        <w:ind w:left="0"/>
        <w:rPr>
          <w:rFonts w:ascii="Times New Roman" w:hAnsi="Times New Roman"/>
          <w:sz w:val="22"/>
          <w:szCs w:val="22"/>
          <w:lang w:val="sr-Latn-ME"/>
        </w:rPr>
      </w:pPr>
    </w:p>
    <w:p w14:paraId="4F3C0ED6" w14:textId="2DA8A174" w:rsidR="00816320" w:rsidRPr="00AC7B39" w:rsidRDefault="00816320" w:rsidP="00816320">
      <w:pPr>
        <w:autoSpaceDE w:val="0"/>
        <w:autoSpaceDN w:val="0"/>
        <w:adjustRightInd w:val="0"/>
        <w:rPr>
          <w:i/>
          <w:szCs w:val="22"/>
          <w:lang w:val="sr-Latn-ME"/>
        </w:rPr>
      </w:pPr>
      <w:r w:rsidRPr="00AC7B39">
        <w:rPr>
          <w:i/>
          <w:szCs w:val="22"/>
          <w:lang w:val="sr-Latn-ME"/>
        </w:rPr>
        <w:t xml:space="preserve">Poremećaji mišićno-koštanog sistema i vezivnog tkiva </w:t>
      </w:r>
    </w:p>
    <w:p w14:paraId="22F34CE4" w14:textId="38E12022" w:rsidR="00D12D4F" w:rsidRPr="00ED5A83" w:rsidRDefault="00816320" w:rsidP="00ED5A83">
      <w:pPr>
        <w:pStyle w:val="ListParagraph"/>
        <w:numPr>
          <w:ilvl w:val="0"/>
          <w:numId w:val="40"/>
        </w:numPr>
        <w:autoSpaceDE w:val="0"/>
        <w:autoSpaceDN w:val="0"/>
        <w:adjustRightInd w:val="0"/>
        <w:jc w:val="both"/>
        <w:rPr>
          <w:lang w:val="sr-Latn-ME"/>
        </w:rPr>
      </w:pPr>
      <w:r w:rsidRPr="00ED5A83">
        <w:rPr>
          <w:szCs w:val="22"/>
          <w:lang w:val="sr-Latn-ME"/>
        </w:rPr>
        <w:t>veoma rijetka: mialgija, artralgija</w:t>
      </w:r>
    </w:p>
    <w:p w14:paraId="2AE66645" w14:textId="77777777" w:rsidR="00C76DE7" w:rsidRDefault="00C76DE7" w:rsidP="00E66349">
      <w:pPr>
        <w:rPr>
          <w:i/>
          <w:szCs w:val="22"/>
          <w:lang w:val="sr-Latn-ME"/>
        </w:rPr>
      </w:pPr>
    </w:p>
    <w:p w14:paraId="4372EDF1" w14:textId="56879831" w:rsidR="00E66349" w:rsidRPr="00AC7B39" w:rsidRDefault="00E66349" w:rsidP="00E66349">
      <w:pPr>
        <w:rPr>
          <w:szCs w:val="22"/>
          <w:lang w:val="sr-Latn-ME"/>
        </w:rPr>
      </w:pPr>
      <w:r w:rsidRPr="00AC7B39">
        <w:rPr>
          <w:i/>
          <w:szCs w:val="22"/>
          <w:lang w:val="sr-Latn-ME"/>
        </w:rPr>
        <w:t>Vaskularni poremećaji</w:t>
      </w:r>
    </w:p>
    <w:p w14:paraId="2B1F04B4" w14:textId="28A917D5" w:rsidR="00E66349" w:rsidRPr="00ED5A83" w:rsidRDefault="00E66349" w:rsidP="00ED5A83">
      <w:pPr>
        <w:pStyle w:val="ListParagraph"/>
        <w:numPr>
          <w:ilvl w:val="0"/>
          <w:numId w:val="41"/>
        </w:numPr>
        <w:rPr>
          <w:szCs w:val="22"/>
          <w:lang w:val="sr-Latn-ME"/>
        </w:rPr>
      </w:pPr>
      <w:r w:rsidRPr="00ED5A83">
        <w:rPr>
          <w:szCs w:val="22"/>
          <w:lang w:val="sr-Latn-ME"/>
        </w:rPr>
        <w:t>rijetka: tromboflebitis</w:t>
      </w:r>
    </w:p>
    <w:p w14:paraId="314464F9" w14:textId="77777777" w:rsidR="00C76DE7" w:rsidRDefault="00C76DE7" w:rsidP="00E66349">
      <w:pPr>
        <w:rPr>
          <w:i/>
          <w:szCs w:val="22"/>
          <w:lang w:val="sr-Latn-ME"/>
        </w:rPr>
      </w:pPr>
    </w:p>
    <w:p w14:paraId="6004322C" w14:textId="3F0155C6" w:rsidR="00E66349" w:rsidRPr="00AC7B39" w:rsidRDefault="00E66349" w:rsidP="00E66349">
      <w:pPr>
        <w:rPr>
          <w:szCs w:val="22"/>
          <w:lang w:val="sr-Latn-ME"/>
        </w:rPr>
      </w:pPr>
      <w:r w:rsidRPr="00AC7B39">
        <w:rPr>
          <w:i/>
          <w:szCs w:val="22"/>
          <w:lang w:val="sr-Latn-ME"/>
        </w:rPr>
        <w:t>Srčani poremećaji</w:t>
      </w:r>
    </w:p>
    <w:p w14:paraId="1C05B873" w14:textId="7A0419C5" w:rsidR="00E66349" w:rsidRPr="00ED5A83" w:rsidRDefault="00E66349" w:rsidP="00ED5A83">
      <w:pPr>
        <w:pStyle w:val="ListParagraph"/>
        <w:numPr>
          <w:ilvl w:val="0"/>
          <w:numId w:val="42"/>
        </w:numPr>
        <w:rPr>
          <w:szCs w:val="22"/>
          <w:lang w:val="sr-Latn-ME"/>
        </w:rPr>
      </w:pPr>
      <w:r w:rsidRPr="00ED5A83">
        <w:rPr>
          <w:szCs w:val="22"/>
          <w:lang w:val="sr-Latn-ME"/>
        </w:rPr>
        <w:t>rijetka: promjene na EKG-u</w:t>
      </w:r>
    </w:p>
    <w:p w14:paraId="15BBE5FA" w14:textId="77777777" w:rsidR="00C76DE7" w:rsidRDefault="00C76DE7" w:rsidP="00E66349">
      <w:pPr>
        <w:rPr>
          <w:i/>
          <w:szCs w:val="22"/>
          <w:lang w:val="sr-Latn-ME"/>
        </w:rPr>
      </w:pPr>
    </w:p>
    <w:p w14:paraId="2281CDEC" w14:textId="22FE6D82" w:rsidR="00E66349" w:rsidRPr="00AC7B39" w:rsidRDefault="00E66349" w:rsidP="00E66349">
      <w:pPr>
        <w:rPr>
          <w:szCs w:val="22"/>
          <w:lang w:val="sr-Latn-ME"/>
        </w:rPr>
      </w:pPr>
      <w:r w:rsidRPr="00AC7B39">
        <w:rPr>
          <w:i/>
          <w:szCs w:val="22"/>
          <w:lang w:val="sr-Latn-ME"/>
        </w:rPr>
        <w:t>Poremećaji krvi i limfnog sistema</w:t>
      </w:r>
    </w:p>
    <w:p w14:paraId="68C5AEC6" w14:textId="0A5DA124" w:rsidR="00E66349" w:rsidRPr="00581F43" w:rsidRDefault="00A912C2" w:rsidP="00581F43">
      <w:pPr>
        <w:pStyle w:val="ListParagraph"/>
        <w:numPr>
          <w:ilvl w:val="0"/>
          <w:numId w:val="43"/>
        </w:numPr>
        <w:rPr>
          <w:rFonts w:ascii="Times New Roman" w:hAnsi="Times New Roman"/>
          <w:sz w:val="22"/>
          <w:szCs w:val="22"/>
          <w:lang w:val="sr-Latn-ME"/>
        </w:rPr>
      </w:pPr>
      <w:r w:rsidRPr="00581F43">
        <w:rPr>
          <w:szCs w:val="22"/>
          <w:lang w:val="sr-Latn-ME"/>
        </w:rPr>
        <w:t xml:space="preserve">veoma </w:t>
      </w:r>
      <w:r w:rsidR="00E66349" w:rsidRPr="00581F43">
        <w:rPr>
          <w:rFonts w:ascii="Times New Roman" w:hAnsi="Times New Roman"/>
          <w:sz w:val="22"/>
          <w:szCs w:val="22"/>
          <w:lang w:val="sr-Latn-ME"/>
        </w:rPr>
        <w:t xml:space="preserve">rijetka: </w:t>
      </w:r>
      <w:r w:rsidRPr="00581F43">
        <w:rPr>
          <w:szCs w:val="22"/>
          <w:lang w:val="sr-Latn-ME"/>
        </w:rPr>
        <w:t xml:space="preserve">agranulocitoza, </w:t>
      </w:r>
      <w:r w:rsidR="00E66349" w:rsidRPr="00581F43">
        <w:rPr>
          <w:rFonts w:ascii="Times New Roman" w:hAnsi="Times New Roman"/>
          <w:sz w:val="22"/>
          <w:szCs w:val="22"/>
          <w:lang w:val="sr-Latn-ME"/>
        </w:rPr>
        <w:t>prolazna neutropenija</w:t>
      </w:r>
      <w:r w:rsidRPr="00581F43">
        <w:rPr>
          <w:szCs w:val="22"/>
          <w:lang w:val="sr-Latn-ME"/>
        </w:rPr>
        <w:t>, trombocitopenija, pancitopenija</w:t>
      </w:r>
    </w:p>
    <w:p w14:paraId="71919447" w14:textId="77777777" w:rsidR="00C76DE7" w:rsidRDefault="00C76DE7" w:rsidP="00E66349">
      <w:pPr>
        <w:rPr>
          <w:i/>
          <w:szCs w:val="22"/>
          <w:lang w:val="sr-Latn-ME"/>
        </w:rPr>
      </w:pPr>
    </w:p>
    <w:p w14:paraId="02CECC2F" w14:textId="4501CFE6" w:rsidR="00E66349" w:rsidRPr="00AC7B39" w:rsidRDefault="00E66349" w:rsidP="00E66349">
      <w:pPr>
        <w:rPr>
          <w:szCs w:val="22"/>
          <w:lang w:val="sr-Latn-ME"/>
        </w:rPr>
      </w:pPr>
      <w:r w:rsidRPr="00AC7B39">
        <w:rPr>
          <w:i/>
          <w:szCs w:val="22"/>
          <w:lang w:val="sr-Latn-ME"/>
        </w:rPr>
        <w:t>Poremećaji reproduktivnog sistema i dojki</w:t>
      </w:r>
    </w:p>
    <w:p w14:paraId="527BC9EA" w14:textId="77777777" w:rsidR="00E66349" w:rsidRPr="00581F43" w:rsidRDefault="00E66349" w:rsidP="00581F43">
      <w:pPr>
        <w:pStyle w:val="ListParagraph"/>
        <w:numPr>
          <w:ilvl w:val="0"/>
          <w:numId w:val="44"/>
        </w:numPr>
        <w:rPr>
          <w:szCs w:val="22"/>
          <w:lang w:val="sr-Latn-ME"/>
        </w:rPr>
      </w:pPr>
      <w:r w:rsidRPr="00581F43">
        <w:rPr>
          <w:szCs w:val="22"/>
          <w:lang w:val="sr-Latn-ME"/>
        </w:rPr>
        <w:t>rijetka: ginekomastija.</w:t>
      </w:r>
    </w:p>
    <w:p w14:paraId="71FE019B" w14:textId="77777777" w:rsidR="00E66349" w:rsidRPr="00AC7B39" w:rsidRDefault="00E66349" w:rsidP="00E66349">
      <w:pPr>
        <w:rPr>
          <w:szCs w:val="22"/>
          <w:lang w:val="sr-Latn-ME"/>
        </w:rPr>
      </w:pPr>
    </w:p>
    <w:p w14:paraId="389081DB" w14:textId="77777777" w:rsidR="00E66349" w:rsidRPr="00AC7B39" w:rsidRDefault="00E66349" w:rsidP="00E66349">
      <w:pPr>
        <w:widowControl w:val="0"/>
        <w:jc w:val="both"/>
        <w:rPr>
          <w:szCs w:val="22"/>
          <w:lang w:val="sr-Latn-ME"/>
        </w:rPr>
      </w:pPr>
      <w:r w:rsidRPr="00AC7B39">
        <w:rPr>
          <w:szCs w:val="22"/>
          <w:lang w:val="sr-Latn-ME"/>
        </w:rPr>
        <w:t>Prijavljeni su slučajevi teške ireverzibilne hepatotoksičnosti/akutnog zatajenja jetre, uključujući slučajeve sa smrtnim ishodom, sa vrlo brzim početkom nakon započinjanja sistemske primjene metronidazola kod pacijenata sa Cockayneovim sindromom (vidjeti dio 4.4).</w:t>
      </w:r>
    </w:p>
    <w:p w14:paraId="1AD293CA" w14:textId="77777777" w:rsidR="00E66349" w:rsidRPr="00AC7B39" w:rsidRDefault="00E66349" w:rsidP="00E66349">
      <w:pPr>
        <w:rPr>
          <w:i/>
          <w:szCs w:val="22"/>
          <w:lang w:val="sr-Latn-ME"/>
        </w:rPr>
      </w:pPr>
    </w:p>
    <w:p w14:paraId="365434FC" w14:textId="77777777" w:rsidR="00A912C2" w:rsidRPr="00AC7B39" w:rsidRDefault="00A912C2" w:rsidP="00A912C2">
      <w:pPr>
        <w:rPr>
          <w:szCs w:val="22"/>
          <w:lang w:val="sr-Latn-ME"/>
        </w:rPr>
      </w:pPr>
      <w:r w:rsidRPr="00AC7B39">
        <w:rPr>
          <w:szCs w:val="22"/>
          <w:lang w:val="sr-Latn-ME"/>
        </w:rPr>
        <w:t>Učestalost, vrsta i težina neželjenih reakcija kod djece su isti kao i kod odraslih.</w:t>
      </w:r>
    </w:p>
    <w:p w14:paraId="57818787" w14:textId="77777777" w:rsidR="00A912C2" w:rsidRPr="00AC7B39" w:rsidRDefault="00A912C2" w:rsidP="00E66349">
      <w:pPr>
        <w:suppressAutoHyphens/>
        <w:rPr>
          <w:szCs w:val="22"/>
          <w:lang w:val="sr-Latn-ME" w:eastAsia="ar-SA"/>
        </w:rPr>
      </w:pPr>
    </w:p>
    <w:p w14:paraId="1B7C6F12" w14:textId="0378128D" w:rsidR="00E66349" w:rsidRPr="00AC7B39" w:rsidRDefault="00A912C2" w:rsidP="00E66349">
      <w:pPr>
        <w:suppressAutoHyphens/>
        <w:rPr>
          <w:szCs w:val="22"/>
          <w:lang w:val="sr-Latn-ME" w:eastAsia="ar-SA"/>
        </w:rPr>
      </w:pPr>
      <w:r w:rsidRPr="00AC7B39">
        <w:rPr>
          <w:szCs w:val="22"/>
          <w:lang w:val="sr-Latn-ME" w:eastAsia="ar-SA"/>
        </w:rPr>
        <w:t>Ukoliko dođe</w:t>
      </w:r>
      <w:r w:rsidR="00E66349" w:rsidRPr="00AC7B39">
        <w:rPr>
          <w:szCs w:val="22"/>
          <w:lang w:val="sr-Latn-ME" w:eastAsia="ar-SA"/>
        </w:rPr>
        <w:t xml:space="preserve"> do </w:t>
      </w:r>
      <w:r w:rsidRPr="00AC7B39">
        <w:rPr>
          <w:szCs w:val="22"/>
          <w:lang w:val="sr-Latn-ME" w:eastAsia="ar-SA"/>
        </w:rPr>
        <w:t>pojave teških</w:t>
      </w:r>
      <w:r w:rsidR="00E66349" w:rsidRPr="00AC7B39">
        <w:rPr>
          <w:szCs w:val="22"/>
          <w:lang w:val="sr-Latn-ME" w:eastAsia="ar-SA"/>
        </w:rPr>
        <w:t xml:space="preserve"> neželjenih dejstava liječenje treba prekinuti. </w:t>
      </w:r>
    </w:p>
    <w:p w14:paraId="0FBDD258" w14:textId="77777777" w:rsidR="00E66349" w:rsidRPr="00AC7B39" w:rsidRDefault="00E66349" w:rsidP="00E66349">
      <w:pPr>
        <w:suppressAutoHyphens/>
        <w:jc w:val="both"/>
        <w:rPr>
          <w:szCs w:val="22"/>
          <w:lang w:val="sr-Latn-ME" w:eastAsia="ar-SA"/>
        </w:rPr>
      </w:pPr>
    </w:p>
    <w:p w14:paraId="003B346B" w14:textId="77777777" w:rsidR="00E66349" w:rsidRPr="00AC7B39" w:rsidRDefault="00E66349" w:rsidP="00E66349">
      <w:pPr>
        <w:jc w:val="both"/>
        <w:rPr>
          <w:rFonts w:eastAsia="Calibri"/>
          <w:szCs w:val="22"/>
          <w:u w:val="single"/>
          <w:lang w:val="sr-Latn-ME"/>
        </w:rPr>
      </w:pPr>
      <w:r w:rsidRPr="00AC7B39">
        <w:rPr>
          <w:rFonts w:eastAsia="Calibri"/>
          <w:szCs w:val="22"/>
          <w:u w:val="single"/>
          <w:lang w:val="sr-Latn-ME"/>
        </w:rPr>
        <w:t>Prijavljivanje sumnji na neželjena dejstva</w:t>
      </w:r>
    </w:p>
    <w:p w14:paraId="7A56940E" w14:textId="77777777" w:rsidR="00E66349" w:rsidRPr="00AC7B39" w:rsidRDefault="00E66349" w:rsidP="00E66349">
      <w:pPr>
        <w:jc w:val="both"/>
        <w:rPr>
          <w:rFonts w:eastAsia="Calibri"/>
          <w:szCs w:val="22"/>
          <w:lang w:val="sr-Latn-ME"/>
        </w:rPr>
      </w:pPr>
    </w:p>
    <w:p w14:paraId="667ADD36" w14:textId="77777777" w:rsidR="00E66349" w:rsidRPr="00AC7B39" w:rsidRDefault="00E66349" w:rsidP="00E66349">
      <w:pPr>
        <w:jc w:val="both"/>
        <w:rPr>
          <w:rFonts w:eastAsia="Calibri"/>
          <w:szCs w:val="22"/>
          <w:lang w:val="sr-Latn-ME"/>
        </w:rPr>
      </w:pPr>
      <w:r w:rsidRPr="00AC7B39">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2856013" w14:textId="77777777" w:rsidR="00E66349" w:rsidRPr="00AC7B39" w:rsidRDefault="00E66349" w:rsidP="00E66349">
      <w:pPr>
        <w:jc w:val="both"/>
        <w:rPr>
          <w:rFonts w:eastAsia="Calibri"/>
          <w:szCs w:val="22"/>
          <w:lang w:val="sr-Latn-ME"/>
        </w:rPr>
      </w:pPr>
    </w:p>
    <w:p w14:paraId="21C36B42" w14:textId="77777777" w:rsidR="00E66349" w:rsidRPr="00AC7B39" w:rsidRDefault="00E66349" w:rsidP="00E66349">
      <w:pPr>
        <w:jc w:val="both"/>
        <w:rPr>
          <w:rFonts w:eastAsia="Calibri"/>
          <w:szCs w:val="22"/>
          <w:lang w:val="sr-Latn-ME"/>
        </w:rPr>
      </w:pPr>
      <w:r w:rsidRPr="00AC7B39">
        <w:rPr>
          <w:rFonts w:eastAsia="Calibri"/>
          <w:szCs w:val="22"/>
          <w:lang w:val="sr-Latn-ME"/>
        </w:rPr>
        <w:t>Institut za ljekove i medicinska sredstva</w:t>
      </w:r>
    </w:p>
    <w:p w14:paraId="60F678D9" w14:textId="77777777" w:rsidR="00E66349" w:rsidRPr="00AC7B39" w:rsidRDefault="00E66349" w:rsidP="00E66349">
      <w:pPr>
        <w:jc w:val="both"/>
        <w:rPr>
          <w:rFonts w:eastAsia="Calibri"/>
          <w:szCs w:val="22"/>
          <w:lang w:val="sr-Latn-ME"/>
        </w:rPr>
      </w:pPr>
      <w:r w:rsidRPr="00AC7B39">
        <w:rPr>
          <w:rFonts w:eastAsia="Calibri"/>
          <w:szCs w:val="22"/>
          <w:lang w:val="sr-Latn-ME"/>
        </w:rPr>
        <w:t>Odjeljenje za farmakovigilancu</w:t>
      </w:r>
    </w:p>
    <w:p w14:paraId="6A870DAC" w14:textId="77777777" w:rsidR="00E66349" w:rsidRPr="00AC7B39" w:rsidRDefault="00E66349" w:rsidP="00E66349">
      <w:pPr>
        <w:jc w:val="both"/>
        <w:rPr>
          <w:rFonts w:eastAsia="Calibri"/>
          <w:szCs w:val="22"/>
          <w:lang w:val="sr-Latn-ME"/>
        </w:rPr>
      </w:pPr>
      <w:r w:rsidRPr="00AC7B39">
        <w:rPr>
          <w:rFonts w:eastAsia="Calibri"/>
          <w:szCs w:val="22"/>
          <w:lang w:val="sr-Latn-ME"/>
        </w:rPr>
        <w:t>Bulevar Ivana Crnojevića 64a, 81000 Podgorica</w:t>
      </w:r>
    </w:p>
    <w:p w14:paraId="5A246E74" w14:textId="77777777" w:rsidR="00E66349" w:rsidRPr="00AC7B39" w:rsidRDefault="00E66349" w:rsidP="00E66349">
      <w:pPr>
        <w:jc w:val="both"/>
        <w:rPr>
          <w:rFonts w:eastAsia="Calibri"/>
          <w:szCs w:val="22"/>
          <w:lang w:val="sr-Latn-ME"/>
        </w:rPr>
      </w:pPr>
    </w:p>
    <w:p w14:paraId="42AE325B" w14:textId="77777777" w:rsidR="00E66349" w:rsidRPr="00AC7B39" w:rsidRDefault="00E66349" w:rsidP="00E66349">
      <w:pPr>
        <w:jc w:val="both"/>
        <w:rPr>
          <w:rFonts w:eastAsia="Calibri"/>
          <w:szCs w:val="22"/>
          <w:lang w:val="sr-Latn-ME"/>
        </w:rPr>
      </w:pPr>
      <w:r w:rsidRPr="00AC7B39">
        <w:rPr>
          <w:rFonts w:eastAsia="Calibri"/>
          <w:szCs w:val="22"/>
          <w:lang w:val="sr-Latn-ME"/>
        </w:rPr>
        <w:t>tel: +382 (0) 20 310 280</w:t>
      </w:r>
    </w:p>
    <w:p w14:paraId="2FCE9B36" w14:textId="77777777" w:rsidR="00E66349" w:rsidRPr="00AC7B39" w:rsidRDefault="00E66349" w:rsidP="00E66349">
      <w:pPr>
        <w:jc w:val="both"/>
        <w:rPr>
          <w:rFonts w:eastAsia="Calibri"/>
          <w:szCs w:val="22"/>
          <w:lang w:val="sr-Latn-ME"/>
        </w:rPr>
      </w:pPr>
      <w:r w:rsidRPr="00AC7B39">
        <w:rPr>
          <w:rFonts w:eastAsia="Calibri"/>
          <w:szCs w:val="22"/>
          <w:lang w:val="sr-Latn-ME"/>
        </w:rPr>
        <w:t>fax: +382 (0) 20 310 581</w:t>
      </w:r>
    </w:p>
    <w:p w14:paraId="24252B67" w14:textId="77777777" w:rsidR="00E66349" w:rsidRPr="00AC7B39" w:rsidRDefault="00137809" w:rsidP="00E66349">
      <w:pPr>
        <w:jc w:val="both"/>
        <w:rPr>
          <w:rFonts w:eastAsia="Calibri"/>
          <w:szCs w:val="22"/>
          <w:lang w:val="sr-Latn-ME"/>
        </w:rPr>
      </w:pPr>
      <w:hyperlink r:id="rId7" w:history="1">
        <w:r w:rsidR="00E66349" w:rsidRPr="00AC7B39">
          <w:rPr>
            <w:rStyle w:val="Hyperlink"/>
            <w:rFonts w:eastAsia="Calibri"/>
            <w:szCs w:val="22"/>
            <w:lang w:val="sr-Latn-ME"/>
          </w:rPr>
          <w:t>www.cinmed.me</w:t>
        </w:r>
      </w:hyperlink>
    </w:p>
    <w:p w14:paraId="40FEDE84" w14:textId="77777777" w:rsidR="00E66349" w:rsidRPr="00AC7B39" w:rsidRDefault="00137809" w:rsidP="00E66349">
      <w:pPr>
        <w:jc w:val="both"/>
        <w:rPr>
          <w:rFonts w:eastAsia="Calibri"/>
          <w:color w:val="0000FF"/>
          <w:szCs w:val="22"/>
          <w:u w:val="single"/>
          <w:lang w:val="sr-Latn-ME"/>
        </w:rPr>
      </w:pPr>
      <w:hyperlink r:id="rId8" w:history="1">
        <w:r w:rsidR="00E66349" w:rsidRPr="00AC7B39">
          <w:rPr>
            <w:rStyle w:val="Hyperlink"/>
            <w:rFonts w:eastAsia="Calibri"/>
            <w:szCs w:val="22"/>
            <w:lang w:val="sr-Latn-ME"/>
          </w:rPr>
          <w:t>nezeljenadejstva@cinmed.me</w:t>
        </w:r>
      </w:hyperlink>
    </w:p>
    <w:p w14:paraId="0CAB4E77" w14:textId="37818BF8" w:rsidR="00E66349" w:rsidRDefault="00E66349" w:rsidP="00E66349">
      <w:pPr>
        <w:jc w:val="both"/>
        <w:rPr>
          <w:rFonts w:eastAsia="Calibri"/>
          <w:szCs w:val="22"/>
          <w:lang w:val="sr-Latn-ME"/>
        </w:rPr>
      </w:pPr>
      <w:r w:rsidRPr="00AC7B39">
        <w:rPr>
          <w:rFonts w:eastAsia="Calibri"/>
          <w:szCs w:val="22"/>
          <w:lang w:val="sr-Latn-ME"/>
        </w:rPr>
        <w:t>putem IS zdravstvene zaštite</w:t>
      </w:r>
    </w:p>
    <w:p w14:paraId="7FE37990" w14:textId="17576611" w:rsidR="00DE3AA9" w:rsidRDefault="00DE3AA9" w:rsidP="00E66349">
      <w:pPr>
        <w:jc w:val="both"/>
        <w:rPr>
          <w:rFonts w:eastAsia="Calibri"/>
          <w:szCs w:val="22"/>
          <w:lang w:val="sr-Latn-ME"/>
        </w:rPr>
      </w:pPr>
    </w:p>
    <w:p w14:paraId="0EF35719" w14:textId="77777777" w:rsidR="00DE3AA9" w:rsidRPr="00AC7B39" w:rsidRDefault="00DE3AA9" w:rsidP="00E66349">
      <w:pPr>
        <w:jc w:val="both"/>
        <w:rPr>
          <w:rFonts w:eastAsia="Calibri"/>
          <w:szCs w:val="22"/>
          <w:lang w:val="sr-Latn-ME"/>
        </w:rPr>
      </w:pPr>
    </w:p>
    <w:p w14:paraId="22EDDCE9" w14:textId="77777777" w:rsidR="00E66349" w:rsidRPr="00AC7B39" w:rsidRDefault="00E66349" w:rsidP="00E66349">
      <w:pPr>
        <w:tabs>
          <w:tab w:val="clear" w:pos="567"/>
        </w:tabs>
        <w:spacing w:line="240" w:lineRule="auto"/>
        <w:jc w:val="both"/>
        <w:rPr>
          <w:rFonts w:eastAsia="Calibri"/>
          <w:szCs w:val="22"/>
          <w:lang w:val="sr-Latn-ME"/>
        </w:rPr>
      </w:pPr>
      <w:r w:rsidRPr="00AC7B39">
        <w:rPr>
          <w:rFonts w:eastAsia="Calibri"/>
          <w:szCs w:val="22"/>
          <w:lang w:val="sr-Latn-ME"/>
        </w:rPr>
        <w:lastRenderedPageBreak/>
        <w:t>QR kod za online prijavu sumnje na neželjeno dejstvo lijeka:</w:t>
      </w:r>
    </w:p>
    <w:p w14:paraId="1A409A88" w14:textId="77777777" w:rsidR="00E66349" w:rsidRPr="00AC7B39" w:rsidRDefault="00E66349" w:rsidP="00E66349">
      <w:pPr>
        <w:tabs>
          <w:tab w:val="clear" w:pos="567"/>
        </w:tabs>
        <w:spacing w:line="240" w:lineRule="auto"/>
        <w:jc w:val="both"/>
        <w:rPr>
          <w:rFonts w:eastAsia="Calibri"/>
          <w:szCs w:val="22"/>
          <w:lang w:val="sr-Latn-ME"/>
        </w:rPr>
      </w:pPr>
    </w:p>
    <w:p w14:paraId="53293738" w14:textId="03F2AB43" w:rsidR="00095BAC" w:rsidRDefault="00AC7B39" w:rsidP="00EC0E54">
      <w:pPr>
        <w:tabs>
          <w:tab w:val="clear" w:pos="567"/>
        </w:tabs>
        <w:spacing w:line="240" w:lineRule="auto"/>
        <w:rPr>
          <w:szCs w:val="22"/>
          <w:lang w:val="sr-Latn-ME" w:eastAsia="ar-SA"/>
        </w:rPr>
      </w:pPr>
      <w:r w:rsidRPr="00AC7B39">
        <w:rPr>
          <w:noProof/>
          <w:sz w:val="24"/>
          <w:szCs w:val="24"/>
          <w:lang w:val="en-US"/>
        </w:rPr>
        <w:drawing>
          <wp:inline distT="0" distB="0" distL="0" distR="0" wp14:anchorId="30A839E7" wp14:editId="73DC27EE">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5293342" w14:textId="77777777" w:rsidR="00095BAC" w:rsidRPr="00AC7B39" w:rsidRDefault="00095BAC" w:rsidP="00E66349">
      <w:pPr>
        <w:suppressAutoHyphens/>
        <w:jc w:val="both"/>
        <w:rPr>
          <w:szCs w:val="22"/>
          <w:lang w:val="sr-Latn-ME" w:eastAsia="ar-SA"/>
        </w:rPr>
      </w:pPr>
    </w:p>
    <w:p w14:paraId="242CADF1" w14:textId="77777777" w:rsidR="00A91600" w:rsidRDefault="00A91600" w:rsidP="00E66349">
      <w:pPr>
        <w:suppressAutoHyphens/>
        <w:jc w:val="both"/>
        <w:rPr>
          <w:b/>
          <w:bCs/>
          <w:szCs w:val="22"/>
          <w:lang w:val="sr-Latn-ME" w:eastAsia="ar-SA"/>
        </w:rPr>
      </w:pPr>
    </w:p>
    <w:p w14:paraId="6D8FC8D0" w14:textId="2BE2503B" w:rsidR="00E66349" w:rsidRPr="00AC7B39" w:rsidRDefault="00E66349" w:rsidP="00E66349">
      <w:pPr>
        <w:suppressAutoHyphens/>
        <w:jc w:val="both"/>
        <w:rPr>
          <w:b/>
          <w:bCs/>
          <w:szCs w:val="22"/>
          <w:lang w:val="sr-Latn-ME" w:eastAsia="ar-SA"/>
        </w:rPr>
      </w:pPr>
      <w:r w:rsidRPr="00AC7B39">
        <w:rPr>
          <w:b/>
          <w:bCs/>
          <w:szCs w:val="22"/>
          <w:lang w:val="sr-Latn-ME" w:eastAsia="ar-SA"/>
        </w:rPr>
        <w:t>4.9</w:t>
      </w:r>
      <w:r w:rsidRPr="00AC7B39">
        <w:rPr>
          <w:b/>
          <w:bCs/>
          <w:szCs w:val="22"/>
          <w:lang w:val="sr-Latn-ME" w:eastAsia="ar-SA"/>
        </w:rPr>
        <w:tab/>
        <w:t>Predoziranje</w:t>
      </w:r>
    </w:p>
    <w:p w14:paraId="4017D437" w14:textId="77777777" w:rsidR="00E66349" w:rsidRPr="00AC7B39" w:rsidRDefault="00E66349" w:rsidP="00E66349">
      <w:pPr>
        <w:suppressAutoHyphens/>
        <w:jc w:val="both"/>
        <w:rPr>
          <w:b/>
          <w:bCs/>
          <w:szCs w:val="22"/>
          <w:lang w:val="sr-Latn-ME" w:eastAsia="ar-SA"/>
        </w:rPr>
      </w:pPr>
    </w:p>
    <w:p w14:paraId="6D35172C" w14:textId="77777777" w:rsidR="00E66349" w:rsidRPr="00AC7B39" w:rsidRDefault="00E66349" w:rsidP="00E66349">
      <w:pPr>
        <w:jc w:val="both"/>
        <w:rPr>
          <w:szCs w:val="22"/>
          <w:lang w:val="sr-Latn-ME"/>
        </w:rPr>
      </w:pPr>
      <w:r w:rsidRPr="00AC7B39">
        <w:rPr>
          <w:szCs w:val="22"/>
          <w:lang w:val="sr-Latn-ME"/>
        </w:rPr>
        <w:t>Predoziranje uzrokuje uglavnom mučninu, povraćanje i vrtoglavicu, a u težim slučajevima i ataksiju, parestezije i konvulzije.</w:t>
      </w:r>
    </w:p>
    <w:p w14:paraId="2AB999B2" w14:textId="7487206E" w:rsidR="009D2E9C" w:rsidRDefault="00E66349" w:rsidP="00EC0E54">
      <w:pPr>
        <w:jc w:val="both"/>
        <w:rPr>
          <w:szCs w:val="22"/>
          <w:lang w:val="sr-Latn-ME" w:eastAsia="ar-SA"/>
        </w:rPr>
      </w:pPr>
      <w:r w:rsidRPr="00AC7B39">
        <w:rPr>
          <w:szCs w:val="22"/>
          <w:lang w:val="sr-Latn-ME"/>
        </w:rPr>
        <w:t>Ne postoji specifičan antidot. Liječenje je simptomatsko.</w:t>
      </w:r>
    </w:p>
    <w:p w14:paraId="6D2B0C29" w14:textId="4E3D5E11" w:rsidR="009D2E9C" w:rsidRDefault="009D2E9C" w:rsidP="00E66349">
      <w:pPr>
        <w:suppressAutoHyphens/>
        <w:jc w:val="both"/>
        <w:rPr>
          <w:szCs w:val="22"/>
          <w:lang w:val="sr-Latn-ME" w:eastAsia="ar-SA"/>
        </w:rPr>
      </w:pPr>
    </w:p>
    <w:p w14:paraId="234E8BA4" w14:textId="77777777" w:rsidR="009D2E9C" w:rsidRPr="00AC7B39" w:rsidRDefault="009D2E9C" w:rsidP="00E66349">
      <w:pPr>
        <w:suppressAutoHyphens/>
        <w:jc w:val="both"/>
        <w:rPr>
          <w:szCs w:val="22"/>
          <w:lang w:val="sr-Latn-ME" w:eastAsia="ar-SA"/>
        </w:rPr>
      </w:pPr>
    </w:p>
    <w:p w14:paraId="1F2D5A6B"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5.</w:t>
      </w:r>
      <w:r w:rsidRPr="00AC7B39">
        <w:rPr>
          <w:b/>
          <w:bCs/>
          <w:szCs w:val="22"/>
          <w:lang w:val="sr-Latn-ME" w:eastAsia="ar-SA"/>
        </w:rPr>
        <w:tab/>
        <w:t>FARMAKOLOŠKI PODACI</w:t>
      </w:r>
      <w:r w:rsidRPr="00AC7B39" w:rsidDel="00D435F1">
        <w:rPr>
          <w:b/>
          <w:bCs/>
          <w:szCs w:val="22"/>
          <w:lang w:val="sr-Latn-ME" w:eastAsia="ar-SA"/>
        </w:rPr>
        <w:t xml:space="preserve"> </w:t>
      </w:r>
    </w:p>
    <w:p w14:paraId="29F27A0A" w14:textId="77777777" w:rsidR="00E66349" w:rsidRPr="00AC7B39" w:rsidRDefault="00E66349" w:rsidP="00E66349">
      <w:pPr>
        <w:suppressAutoHyphens/>
        <w:jc w:val="both"/>
        <w:rPr>
          <w:b/>
          <w:bCs/>
          <w:szCs w:val="22"/>
          <w:lang w:val="sr-Latn-ME" w:eastAsia="ar-SA"/>
        </w:rPr>
      </w:pPr>
    </w:p>
    <w:p w14:paraId="564089D4"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5.1</w:t>
      </w:r>
      <w:r w:rsidRPr="00AC7B39">
        <w:rPr>
          <w:b/>
          <w:bCs/>
          <w:szCs w:val="22"/>
          <w:lang w:val="sr-Latn-ME" w:eastAsia="ar-SA"/>
        </w:rPr>
        <w:tab/>
        <w:t>Farmakodinamski podaci</w:t>
      </w:r>
    </w:p>
    <w:p w14:paraId="04F46CB3" w14:textId="77777777" w:rsidR="00E66349" w:rsidRPr="00AC7B39" w:rsidRDefault="00E66349" w:rsidP="00E66349">
      <w:pPr>
        <w:suppressAutoHyphens/>
        <w:ind w:left="360"/>
        <w:jc w:val="both"/>
        <w:rPr>
          <w:szCs w:val="22"/>
          <w:lang w:val="sr-Latn-ME" w:eastAsia="ar-SA"/>
        </w:rPr>
      </w:pPr>
    </w:p>
    <w:p w14:paraId="2FFACAF9" w14:textId="77777777" w:rsidR="00E66349" w:rsidRPr="00AC7B39" w:rsidRDefault="00E66349" w:rsidP="00E66349">
      <w:pPr>
        <w:suppressAutoHyphens/>
        <w:jc w:val="both"/>
        <w:rPr>
          <w:szCs w:val="22"/>
          <w:lang w:val="sr-Latn-ME" w:eastAsia="ar-SA"/>
        </w:rPr>
      </w:pPr>
      <w:r w:rsidRPr="00AC7B39">
        <w:rPr>
          <w:szCs w:val="22"/>
          <w:lang w:val="sr-Latn-ME" w:eastAsia="ar-SA"/>
        </w:rPr>
        <w:t>Farmakoterapijska grupa: antiprotozoici, derivati nitroimidazola, ATC kod: P01AB01</w:t>
      </w:r>
    </w:p>
    <w:p w14:paraId="434971EC" w14:textId="77777777" w:rsidR="00E66349" w:rsidRPr="00AC7B39" w:rsidRDefault="00E66349" w:rsidP="00E66349">
      <w:pPr>
        <w:suppressAutoHyphens/>
        <w:jc w:val="both"/>
        <w:rPr>
          <w:szCs w:val="22"/>
          <w:lang w:val="sr-Latn-ME" w:eastAsia="ar-SA"/>
        </w:rPr>
      </w:pPr>
    </w:p>
    <w:p w14:paraId="73A43ECD" w14:textId="77777777" w:rsidR="00E66349" w:rsidRPr="00AC7B39" w:rsidRDefault="00E66349" w:rsidP="00E66349">
      <w:pPr>
        <w:suppressAutoHyphens/>
        <w:jc w:val="both"/>
        <w:rPr>
          <w:szCs w:val="22"/>
          <w:u w:val="single"/>
          <w:lang w:val="sr-Latn-ME" w:eastAsia="ar-SA"/>
        </w:rPr>
      </w:pPr>
      <w:r w:rsidRPr="00AC7B39">
        <w:rPr>
          <w:szCs w:val="22"/>
          <w:u w:val="single"/>
          <w:lang w:val="sr-Latn-ME" w:eastAsia="ar-SA"/>
        </w:rPr>
        <w:t>Mehanizam dejstva</w:t>
      </w:r>
    </w:p>
    <w:p w14:paraId="7F0A3707" w14:textId="77777777" w:rsidR="00E66349" w:rsidRPr="00AC7B39" w:rsidRDefault="00E66349" w:rsidP="00E66349">
      <w:pPr>
        <w:jc w:val="both"/>
        <w:rPr>
          <w:szCs w:val="22"/>
          <w:lang w:val="sr-Latn-ME"/>
        </w:rPr>
      </w:pPr>
      <w:r w:rsidRPr="00AC7B39">
        <w:rPr>
          <w:szCs w:val="22"/>
          <w:lang w:val="sr-Latn-ME"/>
        </w:rPr>
        <w:t>Metronidazol je sintetski antimikrobni agens iz grupe nitroimidazola koji je aktivan uglavnom protiv obligatorno anaerobnih mikroorganizama – gram-negativnih i gram-pozitivnih bakterija. Takođe liječi i neke parazitske infekcije; ima snažno izraženo trihomonacidno i lambicidno dejstvo.</w:t>
      </w:r>
    </w:p>
    <w:p w14:paraId="45EE11C9" w14:textId="77777777" w:rsidR="00E66349" w:rsidRPr="00AC7B39" w:rsidRDefault="00E66349" w:rsidP="00E66349">
      <w:pPr>
        <w:rPr>
          <w:szCs w:val="22"/>
          <w:lang w:val="sr-Latn-ME"/>
        </w:rPr>
      </w:pPr>
    </w:p>
    <w:p w14:paraId="592D2ACD" w14:textId="77777777" w:rsidR="00E66349" w:rsidRPr="00AC7B39" w:rsidRDefault="00E66349" w:rsidP="00E66349">
      <w:pPr>
        <w:rPr>
          <w:szCs w:val="22"/>
          <w:u w:val="single"/>
          <w:lang w:val="sr-Latn-ME"/>
        </w:rPr>
      </w:pPr>
      <w:r w:rsidRPr="00AC7B39">
        <w:rPr>
          <w:szCs w:val="22"/>
          <w:u w:val="single"/>
          <w:lang w:val="sr-Latn-ME"/>
        </w:rPr>
        <w:t>Farmakodinamski efekti</w:t>
      </w:r>
    </w:p>
    <w:p w14:paraId="34CFF20F" w14:textId="77777777" w:rsidR="00E66349" w:rsidRPr="00AC7B39" w:rsidRDefault="00E66349" w:rsidP="00E66349">
      <w:pPr>
        <w:jc w:val="both"/>
        <w:rPr>
          <w:szCs w:val="22"/>
          <w:lang w:val="sr-Latn-ME"/>
        </w:rPr>
      </w:pPr>
      <w:r w:rsidRPr="00AC7B39">
        <w:rPr>
          <w:szCs w:val="22"/>
          <w:lang w:val="sr-Latn-ME"/>
        </w:rPr>
        <w:t>Metronidazol djeluje u nekoliko koraka: ulazi u bakterijsku ćeliju gdje se 5-nitro grupa metronidazola redukuje i tako se transformiše u kratkotrajne aktivne metabolite ili slobodne radikale sa inhibitornim ili smrtonosnim dejstvom na bakterijsku DNK i druge makromolekule. Zatim se citotoksični metaboliti raspadaju u netoksične i neaktivne krajnje metabolite.</w:t>
      </w:r>
    </w:p>
    <w:p w14:paraId="2885FF65" w14:textId="1C4917F9" w:rsidR="00E66349" w:rsidRDefault="00E66349" w:rsidP="00E66349">
      <w:pPr>
        <w:suppressAutoHyphens/>
        <w:jc w:val="both"/>
        <w:rPr>
          <w:szCs w:val="22"/>
          <w:lang w:val="sr-Latn-ME" w:eastAsia="ar-SA"/>
        </w:rPr>
      </w:pPr>
    </w:p>
    <w:p w14:paraId="0D5916A9" w14:textId="77777777" w:rsidR="00AC7B39" w:rsidRPr="00895522" w:rsidRDefault="00AC7B39" w:rsidP="00AC7B39">
      <w:pPr>
        <w:jc w:val="both"/>
        <w:rPr>
          <w:lang w:val="sr-Latn-ME"/>
        </w:rPr>
      </w:pPr>
      <w:r w:rsidRPr="00AB0A24">
        <w:rPr>
          <w:u w:val="single"/>
          <w:lang w:val="sr-Latn-ME"/>
        </w:rPr>
        <w:t>Osjetljivost</w:t>
      </w:r>
      <w:r w:rsidRPr="00895522">
        <w:rPr>
          <w:lang w:val="sr-Latn-ME"/>
        </w:rPr>
        <w:t xml:space="preserve"> </w:t>
      </w:r>
    </w:p>
    <w:p w14:paraId="2DC70373" w14:textId="77777777" w:rsidR="00AC7B39" w:rsidRPr="00895522" w:rsidRDefault="00AC7B39" w:rsidP="00AC7B39">
      <w:pPr>
        <w:jc w:val="both"/>
        <w:rPr>
          <w:lang w:val="sr-Latn-ME"/>
        </w:rPr>
      </w:pPr>
      <w:r w:rsidRPr="00895522">
        <w:rPr>
          <w:lang w:val="sr-Latn-ME"/>
        </w:rPr>
        <w:t>Prevalencija stečene rezistencije određenih vrsta mikroorganizama može se razlikovati od jednog do drugog geografskog područja i može se vr</w:t>
      </w:r>
      <w:r>
        <w:rPr>
          <w:lang w:val="sr-Latn-ME"/>
        </w:rPr>
        <w:t>ij</w:t>
      </w:r>
      <w:r w:rsidRPr="00895522">
        <w:rPr>
          <w:lang w:val="sr-Latn-ME"/>
        </w:rPr>
        <w:t>emenom mijenjati, tako da je poželjno raspolagati lokalnim podacima o rezistenciji, posebno tokom liječenja ozbiljnih infekcija. Ako je potrebno, mora se potražiti savjet stručnjaka kada je lokalna prevalencija rezistencije takva da je primjena lijeka makar za neke vrste infekcija upitna.</w:t>
      </w:r>
    </w:p>
    <w:p w14:paraId="46DC1324" w14:textId="77777777" w:rsidR="00AC7B39" w:rsidRPr="00895522" w:rsidRDefault="00AC7B39" w:rsidP="00AC7B39">
      <w:pPr>
        <w:jc w:val="both"/>
        <w:rPr>
          <w:lang w:val="sr-Latn-ME"/>
        </w:rPr>
      </w:pPr>
    </w:p>
    <w:p w14:paraId="03D7270C" w14:textId="77777777" w:rsidR="00AC7B39" w:rsidRPr="00895522" w:rsidRDefault="00AC7B39" w:rsidP="00AC7B39">
      <w:pPr>
        <w:jc w:val="both"/>
        <w:rPr>
          <w:lang w:val="sr-Latn-ME"/>
        </w:rPr>
      </w:pPr>
      <w:r w:rsidRPr="00895522">
        <w:rPr>
          <w:lang w:val="sr-Latn-ME"/>
        </w:rPr>
        <w:t>Tabela osjetljivosti</w:t>
      </w:r>
    </w:p>
    <w:p w14:paraId="7001981A" w14:textId="77777777" w:rsidR="00AC7B39" w:rsidRPr="00895522" w:rsidRDefault="00AC7B39" w:rsidP="00AC7B39">
      <w:pPr>
        <w:jc w:val="both"/>
        <w:rPr>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C7B39" w:rsidRPr="00895522" w14:paraId="752A443B" w14:textId="77777777" w:rsidTr="002E6757">
        <w:tc>
          <w:tcPr>
            <w:tcW w:w="9211" w:type="dxa"/>
            <w:shd w:val="clear" w:color="auto" w:fill="auto"/>
          </w:tcPr>
          <w:p w14:paraId="083505C0" w14:textId="77777777" w:rsidR="00AC7B39" w:rsidRPr="00895522" w:rsidRDefault="00AC7B39" w:rsidP="002E6757">
            <w:pPr>
              <w:jc w:val="both"/>
              <w:rPr>
                <w:b/>
                <w:bCs/>
                <w:lang w:val="sr-Latn-ME"/>
              </w:rPr>
            </w:pPr>
            <w:r w:rsidRPr="00895522">
              <w:rPr>
                <w:b/>
                <w:bCs/>
                <w:lang w:val="sr-Latn-ME"/>
              </w:rPr>
              <w:t>Uobičajeno osjetljive vrste</w:t>
            </w:r>
          </w:p>
        </w:tc>
      </w:tr>
      <w:tr w:rsidR="00AC7B39" w:rsidRPr="00895522" w14:paraId="07F8AE55" w14:textId="77777777" w:rsidTr="002E6757">
        <w:tc>
          <w:tcPr>
            <w:tcW w:w="9211" w:type="dxa"/>
            <w:shd w:val="clear" w:color="auto" w:fill="auto"/>
          </w:tcPr>
          <w:p w14:paraId="71886F16" w14:textId="77777777" w:rsidR="00AC7B39" w:rsidRPr="00895522" w:rsidRDefault="00AC7B39" w:rsidP="002E6757">
            <w:pPr>
              <w:jc w:val="both"/>
              <w:rPr>
                <w:b/>
                <w:bCs/>
                <w:lang w:val="sr-Latn-ME"/>
              </w:rPr>
            </w:pPr>
            <w:r w:rsidRPr="00895522">
              <w:rPr>
                <w:b/>
                <w:bCs/>
                <w:lang w:val="sr-Latn-ME"/>
              </w:rPr>
              <w:t xml:space="preserve">Gram-negativni aerobi </w:t>
            </w:r>
          </w:p>
          <w:p w14:paraId="1A1A8F50" w14:textId="77777777" w:rsidR="00AC7B39" w:rsidRPr="00895522" w:rsidRDefault="00AC7B39" w:rsidP="002E6757">
            <w:pPr>
              <w:jc w:val="both"/>
              <w:rPr>
                <w:b/>
                <w:bCs/>
                <w:i/>
                <w:iCs/>
                <w:lang w:val="sr-Latn-ME"/>
              </w:rPr>
            </w:pPr>
            <w:r w:rsidRPr="00895522">
              <w:rPr>
                <w:i/>
                <w:iCs/>
                <w:lang w:val="sr-Latn-ME"/>
              </w:rPr>
              <w:t>Helicobacter pylori</w:t>
            </w:r>
          </w:p>
        </w:tc>
      </w:tr>
      <w:tr w:rsidR="00AC7B39" w:rsidRPr="00895522" w14:paraId="4BAE3551" w14:textId="77777777" w:rsidTr="002E6757">
        <w:tc>
          <w:tcPr>
            <w:tcW w:w="9211" w:type="dxa"/>
            <w:shd w:val="clear" w:color="auto" w:fill="auto"/>
          </w:tcPr>
          <w:p w14:paraId="6A44A42E" w14:textId="77777777" w:rsidR="00AC7B39" w:rsidRPr="00895522" w:rsidRDefault="00AC7B39" w:rsidP="002E6757">
            <w:pPr>
              <w:jc w:val="both"/>
              <w:rPr>
                <w:b/>
                <w:bCs/>
                <w:lang w:val="sr-Latn-ME"/>
              </w:rPr>
            </w:pPr>
            <w:r w:rsidRPr="00895522">
              <w:rPr>
                <w:b/>
                <w:bCs/>
                <w:lang w:val="sr-Latn-ME"/>
              </w:rPr>
              <w:t>Anaerobi</w:t>
            </w:r>
          </w:p>
          <w:p w14:paraId="665B667B" w14:textId="77777777" w:rsidR="00AC7B39" w:rsidRPr="00895522" w:rsidRDefault="00AC7B39" w:rsidP="002E6757">
            <w:pPr>
              <w:jc w:val="both"/>
              <w:rPr>
                <w:i/>
                <w:iCs/>
                <w:lang w:val="sr-Latn-ME"/>
              </w:rPr>
            </w:pPr>
            <w:r w:rsidRPr="00895522">
              <w:rPr>
                <w:i/>
                <w:iCs/>
                <w:lang w:val="sr-Latn-ME"/>
              </w:rPr>
              <w:t xml:space="preserve">Bacteroides fragilis </w:t>
            </w:r>
          </w:p>
          <w:p w14:paraId="5B775A7E" w14:textId="77777777" w:rsidR="00AC7B39" w:rsidRPr="00895522" w:rsidRDefault="00AC7B39" w:rsidP="002E6757">
            <w:pPr>
              <w:jc w:val="both"/>
              <w:rPr>
                <w:i/>
                <w:iCs/>
                <w:lang w:val="sr-Latn-ME"/>
              </w:rPr>
            </w:pPr>
            <w:r w:rsidRPr="00895522">
              <w:rPr>
                <w:i/>
                <w:iCs/>
                <w:lang w:val="sr-Latn-ME"/>
              </w:rPr>
              <w:t xml:space="preserve">Bifidobacterium </w:t>
            </w:r>
          </w:p>
          <w:p w14:paraId="0CD77D80" w14:textId="77777777" w:rsidR="00AC7B39" w:rsidRPr="00895522" w:rsidRDefault="00AC7B39" w:rsidP="002E6757">
            <w:pPr>
              <w:jc w:val="both"/>
              <w:rPr>
                <w:i/>
                <w:iCs/>
                <w:lang w:val="sr-Latn-ME"/>
              </w:rPr>
            </w:pPr>
            <w:r w:rsidRPr="00895522">
              <w:rPr>
                <w:i/>
                <w:iCs/>
                <w:lang w:val="sr-Latn-ME"/>
              </w:rPr>
              <w:t xml:space="preserve">Bilophila </w:t>
            </w:r>
          </w:p>
          <w:p w14:paraId="41F6564A" w14:textId="77777777" w:rsidR="00AC7B39" w:rsidRPr="00895522" w:rsidRDefault="00AC7B39" w:rsidP="002E6757">
            <w:pPr>
              <w:jc w:val="both"/>
              <w:rPr>
                <w:i/>
                <w:iCs/>
                <w:lang w:val="sr-Latn-ME"/>
              </w:rPr>
            </w:pPr>
            <w:r w:rsidRPr="00895522">
              <w:rPr>
                <w:i/>
                <w:iCs/>
                <w:lang w:val="sr-Latn-ME"/>
              </w:rPr>
              <w:t xml:space="preserve">Clostridium </w:t>
            </w:r>
          </w:p>
          <w:p w14:paraId="225936F7" w14:textId="77777777" w:rsidR="00AC7B39" w:rsidRPr="00895522" w:rsidRDefault="00AC7B39" w:rsidP="002E6757">
            <w:pPr>
              <w:jc w:val="both"/>
              <w:rPr>
                <w:i/>
                <w:iCs/>
                <w:lang w:val="sr-Latn-ME"/>
              </w:rPr>
            </w:pPr>
            <w:r w:rsidRPr="00895522">
              <w:rPr>
                <w:i/>
                <w:iCs/>
                <w:lang w:val="sr-Latn-ME"/>
              </w:rPr>
              <w:t xml:space="preserve">Clostridium difficile </w:t>
            </w:r>
          </w:p>
          <w:p w14:paraId="539E72A7" w14:textId="77777777" w:rsidR="00AC7B39" w:rsidRPr="00895522" w:rsidRDefault="00AC7B39" w:rsidP="002E6757">
            <w:pPr>
              <w:jc w:val="both"/>
              <w:rPr>
                <w:i/>
                <w:iCs/>
                <w:lang w:val="sr-Latn-ME"/>
              </w:rPr>
            </w:pPr>
            <w:r w:rsidRPr="00895522">
              <w:rPr>
                <w:i/>
                <w:iCs/>
                <w:lang w:val="sr-Latn-ME"/>
              </w:rPr>
              <w:t xml:space="preserve">Clostridium perfringens </w:t>
            </w:r>
          </w:p>
          <w:p w14:paraId="00A1511B" w14:textId="77777777" w:rsidR="00AC7B39" w:rsidRPr="00895522" w:rsidRDefault="00AC7B39" w:rsidP="002E6757">
            <w:pPr>
              <w:jc w:val="both"/>
              <w:rPr>
                <w:i/>
                <w:iCs/>
                <w:lang w:val="sr-Latn-ME"/>
              </w:rPr>
            </w:pPr>
            <w:r w:rsidRPr="00895522">
              <w:rPr>
                <w:i/>
                <w:iCs/>
                <w:lang w:val="sr-Latn-ME"/>
              </w:rPr>
              <w:t xml:space="preserve">Eubacterium </w:t>
            </w:r>
          </w:p>
          <w:p w14:paraId="47B12385" w14:textId="77777777" w:rsidR="00AC7B39" w:rsidRPr="00895522" w:rsidRDefault="00AC7B39" w:rsidP="002E6757">
            <w:pPr>
              <w:jc w:val="both"/>
              <w:rPr>
                <w:i/>
                <w:iCs/>
                <w:lang w:val="sr-Latn-ME"/>
              </w:rPr>
            </w:pPr>
            <w:r w:rsidRPr="00895522">
              <w:rPr>
                <w:i/>
                <w:iCs/>
                <w:lang w:val="sr-Latn-ME"/>
              </w:rPr>
              <w:lastRenderedPageBreak/>
              <w:t xml:space="preserve">Fusobacterium </w:t>
            </w:r>
          </w:p>
          <w:p w14:paraId="71AC6D52" w14:textId="77777777" w:rsidR="00AC7B39" w:rsidRPr="00895522" w:rsidRDefault="00AC7B39" w:rsidP="002E6757">
            <w:pPr>
              <w:jc w:val="both"/>
              <w:rPr>
                <w:i/>
                <w:iCs/>
                <w:lang w:val="sr-Latn-ME"/>
              </w:rPr>
            </w:pPr>
            <w:r w:rsidRPr="00895522">
              <w:rPr>
                <w:i/>
                <w:iCs/>
                <w:lang w:val="sr-Latn-ME"/>
              </w:rPr>
              <w:t xml:space="preserve">Peptostreptococcus </w:t>
            </w:r>
          </w:p>
          <w:p w14:paraId="7EEADD71" w14:textId="77777777" w:rsidR="00AC7B39" w:rsidRPr="00895522" w:rsidRDefault="00AC7B39" w:rsidP="002E6757">
            <w:pPr>
              <w:jc w:val="both"/>
              <w:rPr>
                <w:i/>
                <w:iCs/>
                <w:lang w:val="sr-Latn-ME"/>
              </w:rPr>
            </w:pPr>
            <w:r w:rsidRPr="00895522">
              <w:rPr>
                <w:i/>
                <w:iCs/>
                <w:lang w:val="sr-Latn-ME"/>
              </w:rPr>
              <w:t xml:space="preserve">Porphyromonas </w:t>
            </w:r>
          </w:p>
          <w:p w14:paraId="133E4598" w14:textId="77777777" w:rsidR="00AC7B39" w:rsidRPr="00895522" w:rsidRDefault="00AC7B39" w:rsidP="002E6757">
            <w:pPr>
              <w:jc w:val="both"/>
              <w:rPr>
                <w:i/>
                <w:iCs/>
                <w:lang w:val="sr-Latn-ME"/>
              </w:rPr>
            </w:pPr>
            <w:r w:rsidRPr="00895522">
              <w:rPr>
                <w:i/>
                <w:iCs/>
                <w:lang w:val="sr-Latn-ME"/>
              </w:rPr>
              <w:t xml:space="preserve">Prevotella </w:t>
            </w:r>
          </w:p>
          <w:p w14:paraId="57009057" w14:textId="77777777" w:rsidR="00AC7B39" w:rsidRPr="00895522" w:rsidRDefault="00AC7B39" w:rsidP="002E6757">
            <w:pPr>
              <w:jc w:val="both"/>
              <w:rPr>
                <w:b/>
                <w:bCs/>
                <w:lang w:val="sr-Latn-ME"/>
              </w:rPr>
            </w:pPr>
            <w:r w:rsidRPr="00895522">
              <w:rPr>
                <w:i/>
                <w:iCs/>
                <w:lang w:val="sr-Latn-ME"/>
              </w:rPr>
              <w:t>Veillonella</w:t>
            </w:r>
          </w:p>
        </w:tc>
      </w:tr>
      <w:tr w:rsidR="00AC7B39" w:rsidRPr="00895522" w14:paraId="3E8472A6" w14:textId="77777777" w:rsidTr="002E6757">
        <w:tc>
          <w:tcPr>
            <w:tcW w:w="9211" w:type="dxa"/>
            <w:shd w:val="clear" w:color="auto" w:fill="auto"/>
          </w:tcPr>
          <w:p w14:paraId="75404ADA" w14:textId="77777777" w:rsidR="00AC7B39" w:rsidRPr="00895522" w:rsidRDefault="00AC7B39" w:rsidP="002E6757">
            <w:pPr>
              <w:jc w:val="both"/>
              <w:rPr>
                <w:b/>
                <w:bCs/>
                <w:lang w:val="sr-Latn-ME"/>
              </w:rPr>
            </w:pPr>
            <w:r w:rsidRPr="00895522">
              <w:rPr>
                <w:b/>
                <w:bCs/>
                <w:lang w:val="sr-Latn-ME"/>
              </w:rPr>
              <w:lastRenderedPageBreak/>
              <w:t>Vrste kojima stečena rezistentnost može predstavljati problem</w:t>
            </w:r>
          </w:p>
        </w:tc>
      </w:tr>
      <w:tr w:rsidR="00AC7B39" w:rsidRPr="00895522" w14:paraId="336EAA23" w14:textId="77777777" w:rsidTr="002E6757">
        <w:tc>
          <w:tcPr>
            <w:tcW w:w="9211" w:type="dxa"/>
            <w:shd w:val="clear" w:color="auto" w:fill="auto"/>
          </w:tcPr>
          <w:p w14:paraId="7A2F220B" w14:textId="77777777" w:rsidR="00AC7B39" w:rsidRPr="00895522" w:rsidRDefault="00AC7B39" w:rsidP="002E6757">
            <w:pPr>
              <w:jc w:val="both"/>
              <w:rPr>
                <w:b/>
                <w:bCs/>
                <w:lang w:val="sr-Latn-ME"/>
              </w:rPr>
            </w:pPr>
            <w:r w:rsidRPr="00895522">
              <w:rPr>
                <w:b/>
                <w:bCs/>
                <w:lang w:val="sr-Latn-ME"/>
              </w:rPr>
              <w:t xml:space="preserve">Aerobne Gram-pozitivne bakterije </w:t>
            </w:r>
          </w:p>
          <w:p w14:paraId="7D39F4BB" w14:textId="77777777" w:rsidR="00AC7B39" w:rsidRPr="00895522" w:rsidRDefault="00AC7B39" w:rsidP="002E6757">
            <w:pPr>
              <w:jc w:val="both"/>
              <w:rPr>
                <w:b/>
                <w:bCs/>
                <w:i/>
                <w:iCs/>
                <w:lang w:val="sr-Latn-ME"/>
              </w:rPr>
            </w:pPr>
            <w:r w:rsidRPr="00895522">
              <w:rPr>
                <w:i/>
                <w:iCs/>
                <w:lang w:val="sr-Latn-ME"/>
              </w:rPr>
              <w:t>Actinomyces</w:t>
            </w:r>
          </w:p>
        </w:tc>
      </w:tr>
      <w:tr w:rsidR="00AC7B39" w:rsidRPr="00895522" w14:paraId="454D9A7A" w14:textId="77777777" w:rsidTr="002E6757">
        <w:tc>
          <w:tcPr>
            <w:tcW w:w="9211" w:type="dxa"/>
            <w:shd w:val="clear" w:color="auto" w:fill="auto"/>
          </w:tcPr>
          <w:p w14:paraId="3781D276" w14:textId="77777777" w:rsidR="00AC7B39" w:rsidRPr="00895522" w:rsidRDefault="00AC7B39" w:rsidP="002E6757">
            <w:pPr>
              <w:jc w:val="both"/>
              <w:rPr>
                <w:b/>
                <w:bCs/>
                <w:lang w:val="sr-Latn-ME"/>
              </w:rPr>
            </w:pPr>
            <w:r w:rsidRPr="00895522">
              <w:rPr>
                <w:b/>
                <w:bCs/>
                <w:lang w:val="sr-Latn-ME"/>
              </w:rPr>
              <w:t xml:space="preserve">Anaerobni mikroorganizmi </w:t>
            </w:r>
          </w:p>
          <w:p w14:paraId="0A73D93B" w14:textId="77777777" w:rsidR="00AC7B39" w:rsidRPr="00895522" w:rsidRDefault="00AC7B39" w:rsidP="002E6757">
            <w:pPr>
              <w:jc w:val="both"/>
              <w:rPr>
                <w:i/>
                <w:iCs/>
                <w:lang w:val="sr-Latn-ME"/>
              </w:rPr>
            </w:pPr>
            <w:r w:rsidRPr="00895522">
              <w:rPr>
                <w:i/>
                <w:iCs/>
                <w:lang w:val="sr-Latn-ME"/>
              </w:rPr>
              <w:t xml:space="preserve">Mobiluncus </w:t>
            </w:r>
          </w:p>
          <w:p w14:paraId="1961502D" w14:textId="77777777" w:rsidR="00AC7B39" w:rsidRPr="00895522" w:rsidRDefault="00AC7B39" w:rsidP="002E6757">
            <w:pPr>
              <w:jc w:val="both"/>
              <w:rPr>
                <w:b/>
                <w:bCs/>
                <w:lang w:val="sr-Latn-ME"/>
              </w:rPr>
            </w:pPr>
            <w:r w:rsidRPr="00895522">
              <w:rPr>
                <w:i/>
                <w:iCs/>
                <w:lang w:val="sr-Latn-ME"/>
              </w:rPr>
              <w:t>Propionibacterium acnes</w:t>
            </w:r>
          </w:p>
        </w:tc>
      </w:tr>
      <w:tr w:rsidR="00AC7B39" w:rsidRPr="00895522" w14:paraId="4D4A1590" w14:textId="77777777" w:rsidTr="002E6757">
        <w:tc>
          <w:tcPr>
            <w:tcW w:w="9211" w:type="dxa"/>
            <w:shd w:val="clear" w:color="auto" w:fill="auto"/>
          </w:tcPr>
          <w:p w14:paraId="4D2C02C7" w14:textId="77777777" w:rsidR="00AC7B39" w:rsidRPr="00895522" w:rsidRDefault="00AC7B39" w:rsidP="002E6757">
            <w:pPr>
              <w:jc w:val="both"/>
              <w:rPr>
                <w:b/>
                <w:bCs/>
                <w:lang w:val="sr-Latn-ME"/>
              </w:rPr>
            </w:pPr>
            <w:r w:rsidRPr="00895522">
              <w:rPr>
                <w:b/>
                <w:bCs/>
                <w:lang w:val="sr-Latn-ME"/>
              </w:rPr>
              <w:t xml:space="preserve">Antiparazitska aktivnost </w:t>
            </w:r>
          </w:p>
          <w:p w14:paraId="2C735892" w14:textId="77777777" w:rsidR="00AC7B39" w:rsidRPr="00895522" w:rsidRDefault="00AC7B39" w:rsidP="002E6757">
            <w:pPr>
              <w:jc w:val="both"/>
              <w:rPr>
                <w:i/>
                <w:iCs/>
                <w:lang w:val="sr-Latn-ME"/>
              </w:rPr>
            </w:pPr>
            <w:r w:rsidRPr="00895522">
              <w:rPr>
                <w:i/>
                <w:iCs/>
                <w:lang w:val="sr-Latn-ME"/>
              </w:rPr>
              <w:t xml:space="preserve">Entamoeba histolytica </w:t>
            </w:r>
          </w:p>
          <w:p w14:paraId="6019AF6E" w14:textId="77777777" w:rsidR="00AC7B39" w:rsidRPr="00895522" w:rsidRDefault="00AC7B39" w:rsidP="002E6757">
            <w:pPr>
              <w:jc w:val="both"/>
              <w:rPr>
                <w:i/>
                <w:iCs/>
                <w:lang w:val="sr-Latn-ME"/>
              </w:rPr>
            </w:pPr>
            <w:r w:rsidRPr="00895522">
              <w:rPr>
                <w:i/>
                <w:iCs/>
                <w:lang w:val="sr-Latn-ME"/>
              </w:rPr>
              <w:t xml:space="preserve">Giardia intestinalis </w:t>
            </w:r>
          </w:p>
          <w:p w14:paraId="546BF95C" w14:textId="77777777" w:rsidR="00AC7B39" w:rsidRPr="00895522" w:rsidRDefault="00AC7B39" w:rsidP="002E6757">
            <w:pPr>
              <w:jc w:val="both"/>
              <w:rPr>
                <w:lang w:val="sr-Latn-ME"/>
              </w:rPr>
            </w:pPr>
            <w:r w:rsidRPr="00895522">
              <w:rPr>
                <w:i/>
                <w:iCs/>
                <w:lang w:val="sr-Latn-ME"/>
              </w:rPr>
              <w:t>Trichomonas vaginalis</w:t>
            </w:r>
          </w:p>
        </w:tc>
      </w:tr>
    </w:tbl>
    <w:p w14:paraId="37A38648" w14:textId="77777777" w:rsidR="00E66349" w:rsidRPr="00AC7B39" w:rsidRDefault="00E66349" w:rsidP="00E66349">
      <w:pPr>
        <w:suppressAutoHyphens/>
        <w:jc w:val="both"/>
        <w:rPr>
          <w:szCs w:val="22"/>
          <w:lang w:val="sr-Latn-ME" w:eastAsia="ar-SA"/>
        </w:rPr>
      </w:pPr>
    </w:p>
    <w:p w14:paraId="176341AA"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5.2</w:t>
      </w:r>
      <w:r w:rsidRPr="00AC7B39">
        <w:rPr>
          <w:b/>
          <w:bCs/>
          <w:szCs w:val="22"/>
          <w:lang w:val="sr-Latn-ME" w:eastAsia="ar-SA"/>
        </w:rPr>
        <w:tab/>
        <w:t>Farmakokinetički podaci</w:t>
      </w:r>
    </w:p>
    <w:p w14:paraId="55DAD180" w14:textId="77777777" w:rsidR="00E66349" w:rsidRPr="00AC7B39" w:rsidRDefault="00E66349" w:rsidP="00E66349">
      <w:pPr>
        <w:keepNext/>
        <w:suppressAutoHyphens/>
        <w:jc w:val="both"/>
        <w:rPr>
          <w:b/>
          <w:bCs/>
          <w:szCs w:val="22"/>
          <w:lang w:val="sr-Latn-ME" w:eastAsia="ar-SA"/>
        </w:rPr>
      </w:pPr>
    </w:p>
    <w:p w14:paraId="46A404ED" w14:textId="77777777" w:rsidR="00E66349" w:rsidRPr="00AC7B39" w:rsidRDefault="00E66349" w:rsidP="00E66349">
      <w:pPr>
        <w:rPr>
          <w:szCs w:val="22"/>
          <w:u w:val="single"/>
          <w:lang w:val="sr-Latn-ME"/>
        </w:rPr>
      </w:pPr>
      <w:r w:rsidRPr="00AC7B39">
        <w:rPr>
          <w:szCs w:val="22"/>
          <w:u w:val="single"/>
          <w:lang w:val="sr-Latn-ME"/>
        </w:rPr>
        <w:t>Resorpcija</w:t>
      </w:r>
    </w:p>
    <w:p w14:paraId="1D5DC161" w14:textId="77777777" w:rsidR="00E66349" w:rsidRPr="00AC7B39" w:rsidRDefault="00E66349" w:rsidP="00E66349">
      <w:pPr>
        <w:jc w:val="both"/>
        <w:rPr>
          <w:szCs w:val="22"/>
          <w:lang w:val="sr-Latn-ME"/>
        </w:rPr>
      </w:pPr>
      <w:r w:rsidRPr="00AC7B39">
        <w:rPr>
          <w:szCs w:val="22"/>
          <w:lang w:val="sr-Latn-ME"/>
        </w:rPr>
        <w:t>Nakon oralne primjene metronidazol se brzo i gotovo u potpunosti resorbuje. Maksimalne koncentracije u serumu su slične i nakon intravenske i nakon oralne primjene. Njegova bioraspoloživost kreće se od 90% do 100%. Poluvrijeme eliminacije aktivne supstanci je 8 sati.</w:t>
      </w:r>
    </w:p>
    <w:p w14:paraId="30D07271" w14:textId="77777777" w:rsidR="00E66349" w:rsidRPr="00AC7B39" w:rsidRDefault="00E66349" w:rsidP="00E66349">
      <w:pPr>
        <w:rPr>
          <w:szCs w:val="22"/>
          <w:lang w:val="sr-Latn-ME"/>
        </w:rPr>
      </w:pPr>
    </w:p>
    <w:p w14:paraId="47C3287A" w14:textId="77777777" w:rsidR="00E66349" w:rsidRPr="00AC7B39" w:rsidRDefault="00E66349" w:rsidP="00E66349">
      <w:pPr>
        <w:rPr>
          <w:szCs w:val="22"/>
          <w:u w:val="single"/>
          <w:lang w:val="sr-Latn-ME"/>
        </w:rPr>
      </w:pPr>
      <w:r w:rsidRPr="00AC7B39">
        <w:rPr>
          <w:szCs w:val="22"/>
          <w:u w:val="single"/>
          <w:lang w:val="sr-Latn-ME"/>
        </w:rPr>
        <w:t>Distribucija</w:t>
      </w:r>
    </w:p>
    <w:p w14:paraId="24F4987A" w14:textId="77777777" w:rsidR="00E66349" w:rsidRPr="00AC7B39" w:rsidRDefault="00E66349" w:rsidP="00E66349">
      <w:pPr>
        <w:jc w:val="both"/>
        <w:rPr>
          <w:szCs w:val="22"/>
          <w:lang w:val="sr-Latn-ME"/>
        </w:rPr>
      </w:pPr>
      <w:r w:rsidRPr="00AC7B39">
        <w:rPr>
          <w:szCs w:val="22"/>
          <w:lang w:val="sr-Latn-ME"/>
        </w:rPr>
        <w:t>Aktivna supstanca dobro prolazi u sva tkiva, organe i tjelesne tečnosti jer ima veliki volumen distribucije, dostižući 80% tjelesne mase. Nakon 4 do 6 sati koncentracija metronidazola u tkivima i tečnostima iznosi 80% do 90% koncentracije u serumu. Slabo se vezuje za proteine plazme, jedva do 20%.</w:t>
      </w:r>
    </w:p>
    <w:p w14:paraId="568A5716" w14:textId="77777777" w:rsidR="00E66349" w:rsidRPr="00AC7B39" w:rsidRDefault="00E66349" w:rsidP="00E66349">
      <w:pPr>
        <w:rPr>
          <w:szCs w:val="22"/>
          <w:lang w:val="sr-Latn-ME"/>
        </w:rPr>
      </w:pPr>
    </w:p>
    <w:p w14:paraId="143BCDDF" w14:textId="77777777" w:rsidR="00E66349" w:rsidRPr="00AC7B39" w:rsidRDefault="00E66349" w:rsidP="00E66349">
      <w:pPr>
        <w:rPr>
          <w:szCs w:val="22"/>
          <w:u w:val="single"/>
          <w:lang w:val="sr-Latn-ME"/>
        </w:rPr>
      </w:pPr>
      <w:r w:rsidRPr="00AC7B39">
        <w:rPr>
          <w:szCs w:val="22"/>
          <w:u w:val="single"/>
          <w:lang w:val="sr-Latn-ME"/>
        </w:rPr>
        <w:t>Metabolizam</w:t>
      </w:r>
    </w:p>
    <w:p w14:paraId="5555A68C" w14:textId="77777777" w:rsidR="00E66349" w:rsidRPr="00AC7B39" w:rsidRDefault="00E66349" w:rsidP="00E66349">
      <w:pPr>
        <w:jc w:val="both"/>
        <w:rPr>
          <w:szCs w:val="22"/>
          <w:lang w:val="sr-Latn-ME"/>
        </w:rPr>
      </w:pPr>
      <w:r w:rsidRPr="00AC7B39">
        <w:rPr>
          <w:szCs w:val="22"/>
          <w:lang w:val="sr-Latn-ME"/>
        </w:rPr>
        <w:t>Metronidazol se prvenstveno metaboliše u jetri. Uglavnom se proizvode oksidativni metaboliti koji se uglavnom izlučuju urinom kao konjugati sa glukuronskom kiselinom (glukuronidi).</w:t>
      </w:r>
    </w:p>
    <w:p w14:paraId="51E32E16" w14:textId="77777777" w:rsidR="00E66349" w:rsidRPr="00AC7B39" w:rsidRDefault="00E66349" w:rsidP="00E66349">
      <w:pPr>
        <w:jc w:val="both"/>
        <w:rPr>
          <w:szCs w:val="22"/>
          <w:lang w:val="sr-Latn-ME"/>
        </w:rPr>
      </w:pPr>
      <w:r w:rsidRPr="00AC7B39">
        <w:rPr>
          <w:szCs w:val="22"/>
          <w:lang w:val="sr-Latn-ME"/>
        </w:rPr>
        <w:t>Predsistemski metabolizam aktivne supstance je zanemarljiv. Metabolizam je usporen kod pacijenata sa oboljenjima jetre. Kod pacijenata sa oštećenjem bubrega metaboliti se mogu akumulirati.</w:t>
      </w:r>
    </w:p>
    <w:p w14:paraId="136BEB0B" w14:textId="77777777" w:rsidR="00E66349" w:rsidRPr="00AC7B39" w:rsidRDefault="00E66349" w:rsidP="00E66349">
      <w:pPr>
        <w:rPr>
          <w:szCs w:val="22"/>
          <w:lang w:val="sr-Latn-ME"/>
        </w:rPr>
      </w:pPr>
    </w:p>
    <w:p w14:paraId="2E24D1CD" w14:textId="77777777" w:rsidR="00E66349" w:rsidRPr="00AC7B39" w:rsidRDefault="00E66349" w:rsidP="00E66349">
      <w:pPr>
        <w:rPr>
          <w:szCs w:val="22"/>
          <w:u w:val="single"/>
          <w:lang w:val="sr-Latn-ME"/>
        </w:rPr>
      </w:pPr>
      <w:r w:rsidRPr="00AC7B39">
        <w:rPr>
          <w:szCs w:val="22"/>
          <w:u w:val="single"/>
          <w:lang w:val="sr-Latn-ME"/>
        </w:rPr>
        <w:t>Izlučivanje</w:t>
      </w:r>
    </w:p>
    <w:p w14:paraId="55915FEA" w14:textId="77777777" w:rsidR="00E66349" w:rsidRPr="00AC7B39" w:rsidRDefault="00E66349" w:rsidP="00E66349">
      <w:pPr>
        <w:keepNext/>
        <w:suppressAutoHyphens/>
        <w:jc w:val="both"/>
        <w:rPr>
          <w:bCs/>
          <w:szCs w:val="22"/>
          <w:lang w:val="sr-Latn-ME" w:eastAsia="ar-SA"/>
        </w:rPr>
      </w:pPr>
      <w:r w:rsidRPr="00AC7B39">
        <w:rPr>
          <w:bCs/>
          <w:szCs w:val="22"/>
          <w:lang w:val="sr-Latn-ME" w:eastAsia="ar-SA"/>
        </w:rPr>
        <w:t>Nemetabolisani metronidazol se izlučuje uglavnom urinom. Metaboliti proizvedeni tokom metabolizma metronidazola u jetri se takođe izlučuju putem urina u obliku glukuronida.</w:t>
      </w:r>
    </w:p>
    <w:p w14:paraId="451987EC" w14:textId="77777777" w:rsidR="00E66349" w:rsidRPr="00AC7B39" w:rsidRDefault="00E66349" w:rsidP="00E66349">
      <w:pPr>
        <w:keepNext/>
        <w:suppressAutoHyphens/>
        <w:jc w:val="both"/>
        <w:rPr>
          <w:bCs/>
          <w:szCs w:val="22"/>
          <w:lang w:val="sr-Latn-ME" w:eastAsia="ar-SA"/>
        </w:rPr>
      </w:pPr>
      <w:r w:rsidRPr="00AC7B39">
        <w:rPr>
          <w:bCs/>
          <w:szCs w:val="22"/>
          <w:lang w:val="sr-Latn-ME" w:eastAsia="ar-SA"/>
        </w:rPr>
        <w:t>Fecesom se izlučuje 6% do 15% primijenjene doze.</w:t>
      </w:r>
    </w:p>
    <w:p w14:paraId="7F80427F" w14:textId="77777777" w:rsidR="00E66349" w:rsidRPr="00AC7B39" w:rsidRDefault="00E66349" w:rsidP="00E66349">
      <w:pPr>
        <w:keepNext/>
        <w:suppressAutoHyphens/>
        <w:jc w:val="both"/>
        <w:rPr>
          <w:bCs/>
          <w:szCs w:val="22"/>
          <w:lang w:val="sr-Latn-ME" w:eastAsia="ar-SA"/>
        </w:rPr>
      </w:pPr>
      <w:r w:rsidRPr="00AC7B39">
        <w:rPr>
          <w:bCs/>
          <w:szCs w:val="22"/>
          <w:lang w:val="sr-Latn-ME" w:eastAsia="ar-SA"/>
        </w:rPr>
        <w:t>Metronidazol i njegovi metaboliti se brzo eliminišu hemodijalizom.</w:t>
      </w:r>
    </w:p>
    <w:p w14:paraId="3F15EF7A" w14:textId="77777777" w:rsidR="00E66349" w:rsidRPr="00AC7B39" w:rsidRDefault="00E66349" w:rsidP="00E66349">
      <w:pPr>
        <w:suppressAutoHyphens/>
        <w:jc w:val="both"/>
        <w:rPr>
          <w:szCs w:val="22"/>
          <w:lang w:val="sr-Latn-ME" w:eastAsia="ar-SA"/>
        </w:rPr>
      </w:pPr>
    </w:p>
    <w:p w14:paraId="4790F037"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5.3</w:t>
      </w:r>
      <w:r w:rsidRPr="00AC7B39">
        <w:rPr>
          <w:b/>
          <w:bCs/>
          <w:szCs w:val="22"/>
          <w:lang w:val="sr-Latn-ME" w:eastAsia="ar-SA"/>
        </w:rPr>
        <w:tab/>
        <w:t>Pretklinički podaci o bezbjednosti</w:t>
      </w:r>
    </w:p>
    <w:p w14:paraId="1E5C401B" w14:textId="77777777" w:rsidR="00E66349" w:rsidRPr="00AC7B39" w:rsidRDefault="00E66349" w:rsidP="00E66349">
      <w:pPr>
        <w:rPr>
          <w:szCs w:val="22"/>
          <w:lang w:val="sr-Latn-ME"/>
        </w:rPr>
      </w:pPr>
    </w:p>
    <w:p w14:paraId="54140248" w14:textId="77777777" w:rsidR="00E66349" w:rsidRPr="00AC7B39" w:rsidRDefault="00E66349" w:rsidP="00E66349">
      <w:pPr>
        <w:jc w:val="both"/>
        <w:rPr>
          <w:szCs w:val="22"/>
          <w:lang w:val="sr-Latn-ME"/>
        </w:rPr>
      </w:pPr>
      <w:r w:rsidRPr="00AC7B39">
        <w:rPr>
          <w:szCs w:val="22"/>
          <w:lang w:val="sr-Latn-ME"/>
        </w:rPr>
        <w:t>Toksikološke studije su pokazale nisku akutnu toksičnost metronidazola kod laboratorijskih životinja. Nakon oralne primjene aktivne supstance vrijednosti LD</w:t>
      </w:r>
      <w:r w:rsidRPr="00AC7B39">
        <w:rPr>
          <w:szCs w:val="22"/>
          <w:vertAlign w:val="subscript"/>
          <w:lang w:val="sr-Latn-ME"/>
        </w:rPr>
        <w:t>50</w:t>
      </w:r>
      <w:r w:rsidRPr="00AC7B39">
        <w:rPr>
          <w:szCs w:val="22"/>
          <w:lang w:val="sr-Latn-ME"/>
        </w:rPr>
        <w:t xml:space="preserve"> su premašile 3000 mg/kg tjelesne mase kod miševa i pacova. Nakon intravenske primjene vrijednosti LD</w:t>
      </w:r>
      <w:r w:rsidRPr="00AC7B39">
        <w:rPr>
          <w:szCs w:val="22"/>
          <w:vertAlign w:val="subscript"/>
          <w:lang w:val="sr-Latn-ME"/>
        </w:rPr>
        <w:t>50</w:t>
      </w:r>
      <w:r w:rsidRPr="00AC7B39">
        <w:rPr>
          <w:szCs w:val="22"/>
          <w:lang w:val="sr-Latn-ME"/>
        </w:rPr>
        <w:t xml:space="preserve"> bile su više od 100 mg/kg tjelesne mase kod miševa i više od 250 mg/kg tjelesne mase kod pacova.</w:t>
      </w:r>
    </w:p>
    <w:p w14:paraId="1EA86005" w14:textId="77777777" w:rsidR="00E66349" w:rsidRPr="00AC7B39" w:rsidRDefault="00E66349" w:rsidP="00E66349">
      <w:pPr>
        <w:jc w:val="both"/>
        <w:rPr>
          <w:szCs w:val="22"/>
          <w:lang w:val="sr-Latn-ME"/>
        </w:rPr>
      </w:pPr>
      <w:r w:rsidRPr="00AC7B39">
        <w:rPr>
          <w:szCs w:val="22"/>
          <w:lang w:val="sr-Latn-ME"/>
        </w:rPr>
        <w:t>Toksikološke studije pokazale su razlike između različitih vrsti laboratorijskih životinja nakon produžene primjene. Utvrđeno je da su gastrointestinalni trakt i nervni sistem ciljna mjesta toksičnog dejstva.</w:t>
      </w:r>
    </w:p>
    <w:p w14:paraId="3C786DD1" w14:textId="77777777" w:rsidR="00E66349" w:rsidRPr="00AC7B39" w:rsidRDefault="00E66349" w:rsidP="00E66349">
      <w:pPr>
        <w:jc w:val="both"/>
        <w:rPr>
          <w:szCs w:val="22"/>
          <w:lang w:val="sr-Latn-ME"/>
        </w:rPr>
      </w:pPr>
      <w:r w:rsidRPr="00AC7B39">
        <w:rPr>
          <w:szCs w:val="22"/>
          <w:lang w:val="sr-Latn-ME"/>
        </w:rPr>
        <w:t>Metronidazol izaziva reverzibilnu inhibiciju spermatogeneze, ali nema teratogena ili fetotoksična dejstva.</w:t>
      </w:r>
    </w:p>
    <w:p w14:paraId="7319C822" w14:textId="77777777" w:rsidR="00E66349" w:rsidRPr="00AC7B39" w:rsidRDefault="00E66349" w:rsidP="00E66349">
      <w:pPr>
        <w:jc w:val="both"/>
        <w:rPr>
          <w:szCs w:val="22"/>
          <w:lang w:val="sr-Latn-ME"/>
        </w:rPr>
      </w:pPr>
      <w:r w:rsidRPr="00AC7B39">
        <w:rPr>
          <w:szCs w:val="22"/>
          <w:lang w:val="sr-Latn-ME"/>
        </w:rPr>
        <w:t xml:space="preserve">Metronidazol je pokazao mutagenu aktivnost u nekoliko </w:t>
      </w:r>
      <w:r w:rsidRPr="00AC7B39">
        <w:rPr>
          <w:i/>
          <w:szCs w:val="22"/>
          <w:lang w:val="sr-Latn-ME"/>
        </w:rPr>
        <w:t>in vitro</w:t>
      </w:r>
      <w:r w:rsidRPr="00AC7B39">
        <w:rPr>
          <w:szCs w:val="22"/>
          <w:lang w:val="sr-Latn-ME"/>
        </w:rPr>
        <w:t xml:space="preserve"> studija, ali to nije potvrđeno u </w:t>
      </w:r>
      <w:r w:rsidRPr="00AC7B39">
        <w:rPr>
          <w:i/>
          <w:szCs w:val="22"/>
          <w:lang w:val="sr-Latn-ME"/>
        </w:rPr>
        <w:t>in vivo</w:t>
      </w:r>
      <w:r w:rsidRPr="00AC7B39">
        <w:rPr>
          <w:szCs w:val="22"/>
          <w:lang w:val="sr-Latn-ME"/>
        </w:rPr>
        <w:t xml:space="preserve"> studijama. Prema literaturi, kancerogeno djelovanje metronidazola se razlikuje kod različitih vrsta </w:t>
      </w:r>
      <w:r w:rsidRPr="00AC7B39">
        <w:rPr>
          <w:szCs w:val="22"/>
          <w:lang w:val="sr-Latn-ME"/>
        </w:rPr>
        <w:lastRenderedPageBreak/>
        <w:t>laboratorijskih životinja. Pretpostavlja se da je mutageno dejstvo metronidazola rezultat formiranja aktivnog metabolita koji djeluje na DNK.</w:t>
      </w:r>
    </w:p>
    <w:p w14:paraId="3F1FBF0E" w14:textId="77777777" w:rsidR="00E66349" w:rsidRPr="00AC7B39" w:rsidRDefault="00E66349" w:rsidP="00E66349">
      <w:pPr>
        <w:jc w:val="both"/>
        <w:rPr>
          <w:szCs w:val="22"/>
          <w:lang w:val="sr-Latn-ME"/>
        </w:rPr>
      </w:pPr>
    </w:p>
    <w:p w14:paraId="3FF15BEB" w14:textId="77777777" w:rsidR="00E66349" w:rsidRPr="00AC7B39" w:rsidRDefault="00E66349" w:rsidP="00E66349">
      <w:pPr>
        <w:jc w:val="both"/>
        <w:rPr>
          <w:szCs w:val="22"/>
          <w:lang w:val="sr-Latn-ME"/>
        </w:rPr>
      </w:pPr>
      <w:r w:rsidRPr="00AC7B39">
        <w:rPr>
          <w:szCs w:val="22"/>
          <w:lang w:val="sr-Latn-ME"/>
        </w:rPr>
        <w:t>Efekti u pretkliničkim studijama uočeni su samo pri izloženostima za koje se smatra da dovoljno premašuju maksimalnu izloženosti kod ljudi, što ukazuje na malu važnost za kliničku upotrebu.</w:t>
      </w:r>
    </w:p>
    <w:p w14:paraId="31F638B2" w14:textId="02D31E39" w:rsidR="00A91600" w:rsidRDefault="00A91600" w:rsidP="00E66349">
      <w:pPr>
        <w:suppressAutoHyphens/>
        <w:jc w:val="both"/>
        <w:rPr>
          <w:szCs w:val="22"/>
          <w:lang w:val="sr-Latn-ME" w:eastAsia="ar-SA"/>
        </w:rPr>
      </w:pPr>
    </w:p>
    <w:p w14:paraId="40FC7253" w14:textId="77777777" w:rsidR="00A91600" w:rsidRPr="00AC7B39" w:rsidRDefault="00A91600" w:rsidP="00E66349">
      <w:pPr>
        <w:suppressAutoHyphens/>
        <w:jc w:val="both"/>
        <w:rPr>
          <w:szCs w:val="22"/>
          <w:lang w:val="sr-Latn-ME" w:eastAsia="ar-SA"/>
        </w:rPr>
      </w:pPr>
    </w:p>
    <w:p w14:paraId="17352174"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6.</w:t>
      </w:r>
      <w:r w:rsidRPr="00AC7B39">
        <w:rPr>
          <w:b/>
          <w:bCs/>
          <w:szCs w:val="22"/>
          <w:lang w:val="sr-Latn-ME" w:eastAsia="ar-SA"/>
        </w:rPr>
        <w:tab/>
        <w:t>FARMACEUTSKI PODACI</w:t>
      </w:r>
    </w:p>
    <w:p w14:paraId="6C511DB4" w14:textId="77777777" w:rsidR="00E66349" w:rsidRPr="00AC7B39" w:rsidRDefault="00E66349" w:rsidP="00E66349">
      <w:pPr>
        <w:suppressAutoHyphens/>
        <w:jc w:val="both"/>
        <w:rPr>
          <w:b/>
          <w:bCs/>
          <w:szCs w:val="22"/>
          <w:lang w:val="sr-Latn-ME" w:eastAsia="ar-SA"/>
        </w:rPr>
      </w:pPr>
    </w:p>
    <w:p w14:paraId="7EED75ED"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6.1</w:t>
      </w:r>
      <w:r w:rsidRPr="00AC7B39">
        <w:rPr>
          <w:b/>
          <w:bCs/>
          <w:szCs w:val="22"/>
          <w:lang w:val="sr-Latn-ME" w:eastAsia="ar-SA"/>
        </w:rPr>
        <w:tab/>
        <w:t>Lista pomoćnih supstanci</w:t>
      </w:r>
    </w:p>
    <w:p w14:paraId="76D208E5" w14:textId="77777777" w:rsidR="00E66349" w:rsidRPr="00AC7B39" w:rsidRDefault="00E66349" w:rsidP="00E66349">
      <w:pPr>
        <w:suppressAutoHyphens/>
        <w:jc w:val="both"/>
        <w:rPr>
          <w:szCs w:val="22"/>
          <w:lang w:val="sr-Latn-ME" w:eastAsia="ar-SA"/>
        </w:rPr>
      </w:pPr>
    </w:p>
    <w:p w14:paraId="72AC2682" w14:textId="77777777" w:rsidR="00E66349" w:rsidRPr="00AC7B39" w:rsidRDefault="00E66349" w:rsidP="00E66349">
      <w:pPr>
        <w:suppressAutoHyphens/>
        <w:jc w:val="both"/>
        <w:rPr>
          <w:szCs w:val="22"/>
          <w:lang w:val="sr-Latn-ME" w:eastAsia="ar-SA"/>
        </w:rPr>
      </w:pPr>
      <w:r w:rsidRPr="00AC7B39">
        <w:rPr>
          <w:szCs w:val="22"/>
          <w:lang w:val="sr-Latn-ME" w:eastAsia="ar-SA"/>
        </w:rPr>
        <w:t>Laktoza, monohidrat</w:t>
      </w:r>
    </w:p>
    <w:p w14:paraId="514E4A07" w14:textId="77777777" w:rsidR="00E66349" w:rsidRPr="00AC7B39" w:rsidRDefault="00E66349" w:rsidP="00E66349">
      <w:pPr>
        <w:suppressAutoHyphens/>
        <w:jc w:val="both"/>
        <w:rPr>
          <w:szCs w:val="22"/>
          <w:lang w:val="sr-Latn-ME" w:eastAsia="ar-SA"/>
        </w:rPr>
      </w:pPr>
      <w:r w:rsidRPr="00AC7B39">
        <w:rPr>
          <w:szCs w:val="22"/>
          <w:lang w:val="sr-Latn-ME" w:eastAsia="ar-SA"/>
        </w:rPr>
        <w:t>Celuloza, mikrokristalna (E460)</w:t>
      </w:r>
    </w:p>
    <w:p w14:paraId="437AD1AC" w14:textId="77777777" w:rsidR="00E66349" w:rsidRPr="00AC7B39" w:rsidRDefault="00E66349" w:rsidP="00E66349">
      <w:pPr>
        <w:suppressAutoHyphens/>
        <w:jc w:val="both"/>
        <w:rPr>
          <w:szCs w:val="22"/>
          <w:lang w:val="sr-Latn-ME" w:eastAsia="ar-SA"/>
        </w:rPr>
      </w:pPr>
      <w:r w:rsidRPr="00AC7B39">
        <w:rPr>
          <w:szCs w:val="22"/>
          <w:lang w:val="sr-Latn-ME" w:eastAsia="ar-SA"/>
        </w:rPr>
        <w:t>Skrob, kukuruzni</w:t>
      </w:r>
    </w:p>
    <w:p w14:paraId="59CA993C" w14:textId="77777777" w:rsidR="00E66349" w:rsidRPr="00AC7B39" w:rsidRDefault="00E66349" w:rsidP="00E66349">
      <w:pPr>
        <w:suppressAutoHyphens/>
        <w:jc w:val="both"/>
        <w:rPr>
          <w:szCs w:val="22"/>
          <w:lang w:val="sr-Latn-ME" w:eastAsia="ar-SA"/>
        </w:rPr>
      </w:pPr>
      <w:r w:rsidRPr="00AC7B39">
        <w:rPr>
          <w:szCs w:val="22"/>
          <w:lang w:val="sr-Latn-ME" w:eastAsia="ar-SA"/>
        </w:rPr>
        <w:t>Povidon</w:t>
      </w:r>
    </w:p>
    <w:p w14:paraId="4C658643" w14:textId="77777777" w:rsidR="00E66349" w:rsidRPr="00AC7B39" w:rsidRDefault="00E66349" w:rsidP="00E66349">
      <w:pPr>
        <w:suppressAutoHyphens/>
        <w:jc w:val="both"/>
        <w:rPr>
          <w:szCs w:val="22"/>
          <w:lang w:val="sr-Latn-ME" w:eastAsia="ar-SA"/>
        </w:rPr>
      </w:pPr>
      <w:r w:rsidRPr="00AC7B39">
        <w:rPr>
          <w:szCs w:val="22"/>
          <w:lang w:val="sr-Latn-ME" w:eastAsia="ar-SA"/>
        </w:rPr>
        <w:t>Magnezijum stearat (E572)</w:t>
      </w:r>
    </w:p>
    <w:p w14:paraId="6DDC8EA8" w14:textId="77777777" w:rsidR="00E66349" w:rsidRPr="00AC7B39" w:rsidRDefault="00E66349" w:rsidP="00E66349">
      <w:pPr>
        <w:suppressAutoHyphens/>
        <w:jc w:val="both"/>
        <w:rPr>
          <w:szCs w:val="22"/>
          <w:lang w:val="sr-Latn-ME" w:eastAsia="ar-SA"/>
        </w:rPr>
      </w:pPr>
      <w:r w:rsidRPr="00AC7B39">
        <w:rPr>
          <w:szCs w:val="22"/>
          <w:lang w:val="sr-Latn-ME" w:eastAsia="ar-SA"/>
        </w:rPr>
        <w:t>Talk</w:t>
      </w:r>
    </w:p>
    <w:p w14:paraId="128F641B" w14:textId="7EF4029C" w:rsidR="00DA6740" w:rsidRPr="00AC7B39" w:rsidRDefault="00E66349" w:rsidP="00E66349">
      <w:pPr>
        <w:suppressAutoHyphens/>
        <w:jc w:val="both"/>
        <w:rPr>
          <w:szCs w:val="22"/>
          <w:lang w:val="sr-Latn-ME" w:eastAsia="ar-SA"/>
        </w:rPr>
      </w:pPr>
      <w:r w:rsidRPr="00AC7B39">
        <w:rPr>
          <w:szCs w:val="22"/>
          <w:lang w:val="sr-Latn-ME" w:eastAsia="ar-SA"/>
        </w:rPr>
        <w:t>Natrijum skrob glikolat (tip A)</w:t>
      </w:r>
    </w:p>
    <w:p w14:paraId="569A2CD7" w14:textId="77777777" w:rsidR="00E66349" w:rsidRPr="00AC7B39" w:rsidRDefault="00E66349" w:rsidP="00E66349">
      <w:pPr>
        <w:suppressAutoHyphens/>
        <w:jc w:val="both"/>
        <w:rPr>
          <w:b/>
          <w:bCs/>
          <w:szCs w:val="22"/>
          <w:lang w:val="sr-Latn-ME" w:eastAsia="ar-SA"/>
        </w:rPr>
      </w:pPr>
    </w:p>
    <w:p w14:paraId="73B707CC"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6.2</w:t>
      </w:r>
      <w:r w:rsidRPr="00AC7B39">
        <w:rPr>
          <w:b/>
          <w:bCs/>
          <w:szCs w:val="22"/>
          <w:lang w:val="sr-Latn-ME" w:eastAsia="ar-SA"/>
        </w:rPr>
        <w:tab/>
        <w:t>Inkompatibilnosti</w:t>
      </w:r>
    </w:p>
    <w:p w14:paraId="4FB31931" w14:textId="77777777" w:rsidR="00E66349" w:rsidRPr="00AC7B39" w:rsidRDefault="00E66349" w:rsidP="00E66349">
      <w:pPr>
        <w:suppressAutoHyphens/>
        <w:jc w:val="both"/>
        <w:rPr>
          <w:szCs w:val="22"/>
          <w:lang w:val="sr-Latn-ME" w:eastAsia="ar-SA"/>
        </w:rPr>
      </w:pPr>
    </w:p>
    <w:p w14:paraId="27AC4F4F" w14:textId="7E381039" w:rsidR="00DA6740" w:rsidRDefault="00E66349" w:rsidP="00E66349">
      <w:pPr>
        <w:suppressAutoHyphens/>
        <w:jc w:val="both"/>
        <w:rPr>
          <w:szCs w:val="22"/>
          <w:lang w:val="sr-Latn-ME" w:eastAsia="ar-SA"/>
        </w:rPr>
      </w:pPr>
      <w:r w:rsidRPr="00AC7B39">
        <w:rPr>
          <w:szCs w:val="22"/>
          <w:lang w:val="sr-Latn-ME" w:eastAsia="ar-SA"/>
        </w:rPr>
        <w:t>Nije primjenljivo.</w:t>
      </w:r>
    </w:p>
    <w:p w14:paraId="63A9E0B3" w14:textId="77777777" w:rsidR="00E66349" w:rsidRPr="00AC7B39" w:rsidRDefault="00E66349" w:rsidP="00E66349">
      <w:pPr>
        <w:suppressAutoHyphens/>
        <w:jc w:val="both"/>
        <w:rPr>
          <w:b/>
          <w:bCs/>
          <w:szCs w:val="22"/>
          <w:lang w:val="sr-Latn-ME" w:eastAsia="ar-SA"/>
        </w:rPr>
      </w:pPr>
    </w:p>
    <w:p w14:paraId="071E1304"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6.3</w:t>
      </w:r>
      <w:r w:rsidRPr="00AC7B39">
        <w:rPr>
          <w:b/>
          <w:bCs/>
          <w:szCs w:val="22"/>
          <w:lang w:val="sr-Latn-ME" w:eastAsia="ar-SA"/>
        </w:rPr>
        <w:tab/>
        <w:t>Rok upotrebe</w:t>
      </w:r>
    </w:p>
    <w:p w14:paraId="27CC27B8" w14:textId="77777777" w:rsidR="00E66349" w:rsidRPr="00AC7B39" w:rsidRDefault="00E66349" w:rsidP="00E66349">
      <w:pPr>
        <w:suppressAutoHyphens/>
        <w:jc w:val="both"/>
        <w:rPr>
          <w:szCs w:val="22"/>
          <w:lang w:val="sr-Latn-ME" w:eastAsia="ar-SA"/>
        </w:rPr>
      </w:pPr>
    </w:p>
    <w:p w14:paraId="053C9C91" w14:textId="7215152D" w:rsidR="00E66349" w:rsidRPr="00AC7B39" w:rsidRDefault="00E66349" w:rsidP="00E66349">
      <w:pPr>
        <w:suppressAutoHyphens/>
        <w:jc w:val="both"/>
        <w:rPr>
          <w:szCs w:val="22"/>
          <w:lang w:val="sr-Latn-ME" w:eastAsia="ar-SA"/>
        </w:rPr>
      </w:pPr>
      <w:r w:rsidRPr="00AC7B39">
        <w:rPr>
          <w:szCs w:val="22"/>
          <w:lang w:val="sr-Latn-ME" w:eastAsia="ar-SA"/>
        </w:rPr>
        <w:t>5 godina</w:t>
      </w:r>
    </w:p>
    <w:p w14:paraId="014F1E34" w14:textId="77777777" w:rsidR="00E66349" w:rsidRPr="00AC7B39" w:rsidRDefault="00E66349" w:rsidP="00E66349">
      <w:pPr>
        <w:suppressAutoHyphens/>
        <w:jc w:val="both"/>
        <w:rPr>
          <w:szCs w:val="22"/>
          <w:lang w:val="sr-Latn-ME" w:eastAsia="ar-SA"/>
        </w:rPr>
      </w:pPr>
    </w:p>
    <w:p w14:paraId="534654DB"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6.4</w:t>
      </w:r>
      <w:r w:rsidRPr="00AC7B39">
        <w:rPr>
          <w:b/>
          <w:bCs/>
          <w:szCs w:val="22"/>
          <w:lang w:val="sr-Latn-ME" w:eastAsia="ar-SA"/>
        </w:rPr>
        <w:tab/>
        <w:t>Posebne mjere upozorenja pri čuvanju lijeka</w:t>
      </w:r>
    </w:p>
    <w:p w14:paraId="4C323697" w14:textId="77777777" w:rsidR="00E66349" w:rsidRPr="00AC7B39" w:rsidRDefault="00E66349" w:rsidP="00E66349">
      <w:pPr>
        <w:suppressAutoHyphens/>
        <w:jc w:val="both"/>
        <w:rPr>
          <w:szCs w:val="22"/>
          <w:lang w:val="sr-Latn-ME" w:eastAsia="ar-SA"/>
        </w:rPr>
      </w:pPr>
    </w:p>
    <w:p w14:paraId="6D7393AD" w14:textId="2DDA5EF4" w:rsidR="00E66349" w:rsidRPr="00AC7B39" w:rsidRDefault="00E66349" w:rsidP="00EC0E54">
      <w:pPr>
        <w:suppressAutoHyphens/>
        <w:rPr>
          <w:szCs w:val="22"/>
          <w:lang w:val="sr-Latn-ME" w:eastAsia="ar-SA"/>
        </w:rPr>
      </w:pPr>
      <w:r w:rsidRPr="00AC7B39">
        <w:rPr>
          <w:szCs w:val="22"/>
          <w:lang w:val="sr-Latn-ME" w:eastAsia="ar-SA"/>
        </w:rPr>
        <w:t>Nema posebnih uslova za čuvanje.</w:t>
      </w:r>
    </w:p>
    <w:p w14:paraId="05F53555" w14:textId="77777777" w:rsidR="00E66349" w:rsidRPr="00AC7B39" w:rsidRDefault="00E66349" w:rsidP="00E66349">
      <w:pPr>
        <w:suppressAutoHyphens/>
        <w:jc w:val="both"/>
        <w:rPr>
          <w:szCs w:val="22"/>
          <w:lang w:val="sr-Latn-ME" w:eastAsia="ar-SA"/>
        </w:rPr>
      </w:pPr>
    </w:p>
    <w:p w14:paraId="2B0BBD7F"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6.5</w:t>
      </w:r>
      <w:r w:rsidRPr="00AC7B39">
        <w:rPr>
          <w:b/>
          <w:bCs/>
          <w:szCs w:val="22"/>
          <w:lang w:val="sr-Latn-ME" w:eastAsia="ar-SA"/>
        </w:rPr>
        <w:tab/>
        <w:t>Vrsta i sadržaj pakovanja</w:t>
      </w:r>
    </w:p>
    <w:p w14:paraId="7C716CC7" w14:textId="77777777" w:rsidR="00E66349" w:rsidRPr="00AC7B39" w:rsidRDefault="00E66349" w:rsidP="00E66349">
      <w:pPr>
        <w:suppressAutoHyphens/>
        <w:jc w:val="both"/>
        <w:rPr>
          <w:szCs w:val="22"/>
          <w:lang w:val="sr-Latn-ME" w:eastAsia="ar-SA"/>
        </w:rPr>
      </w:pPr>
    </w:p>
    <w:p w14:paraId="2666FE9D" w14:textId="77777777" w:rsidR="00E66349" w:rsidRPr="00AC7B39" w:rsidRDefault="00E66349" w:rsidP="00E66349">
      <w:pPr>
        <w:suppressAutoHyphens/>
        <w:rPr>
          <w:szCs w:val="22"/>
          <w:lang w:val="sr-Latn-ME" w:eastAsia="ar-SA"/>
        </w:rPr>
      </w:pPr>
      <w:r w:rsidRPr="00AC7B39">
        <w:rPr>
          <w:szCs w:val="22"/>
          <w:lang w:val="sr-Latn-ME" w:eastAsia="ar-SA"/>
        </w:rPr>
        <w:t xml:space="preserve">Staklena bočica </w:t>
      </w:r>
      <w:r w:rsidRPr="00AC7B39">
        <w:rPr>
          <w:szCs w:val="22"/>
          <w:lang w:val="sr-Latn-ME" w:eastAsia="sl-SI"/>
        </w:rPr>
        <w:t>(od smeđeg stakla</w:t>
      </w:r>
      <w:r w:rsidRPr="00AC7B39">
        <w:rPr>
          <w:szCs w:val="22"/>
          <w:lang w:val="sr-Latn-ME" w:eastAsia="sr-Latn-ME"/>
        </w:rPr>
        <w:t xml:space="preserve"> III hidrolitičke grupe</w:t>
      </w:r>
      <w:r w:rsidRPr="00AC7B39">
        <w:rPr>
          <w:szCs w:val="22"/>
          <w:lang w:val="sr-Latn-ME" w:eastAsia="sl-SI"/>
        </w:rPr>
        <w:t>)</w:t>
      </w:r>
      <w:r w:rsidRPr="00AC7B39">
        <w:rPr>
          <w:szCs w:val="22"/>
          <w:lang w:val="sr-Latn-ME" w:eastAsia="ar-SA"/>
        </w:rPr>
        <w:t xml:space="preserve"> zatvorena plastičnim polietilenskim zatvaračem sa 10 tableta, u kutiji.</w:t>
      </w:r>
    </w:p>
    <w:p w14:paraId="0BE6E0A4" w14:textId="77777777" w:rsidR="00E66349" w:rsidRPr="00AC7B39" w:rsidRDefault="00E66349" w:rsidP="00E66349">
      <w:pPr>
        <w:suppressAutoHyphens/>
        <w:jc w:val="both"/>
        <w:rPr>
          <w:szCs w:val="22"/>
          <w:lang w:val="sr-Latn-ME" w:eastAsia="ar-SA"/>
        </w:rPr>
      </w:pPr>
    </w:p>
    <w:p w14:paraId="3344BAFC" w14:textId="77777777" w:rsidR="00E66349" w:rsidRPr="00AC7B39" w:rsidRDefault="00E66349" w:rsidP="00E66349">
      <w:pPr>
        <w:tabs>
          <w:tab w:val="clear" w:pos="567"/>
          <w:tab w:val="left" w:pos="540"/>
          <w:tab w:val="left" w:pos="569"/>
        </w:tabs>
        <w:rPr>
          <w:b/>
          <w:bCs/>
          <w:szCs w:val="22"/>
          <w:lang w:val="sr-Latn-ME"/>
        </w:rPr>
      </w:pPr>
      <w:r w:rsidRPr="00AC7B39">
        <w:rPr>
          <w:b/>
          <w:bCs/>
          <w:szCs w:val="22"/>
          <w:lang w:val="sr-Latn-ME" w:eastAsia="ar-SA"/>
        </w:rPr>
        <w:t>6.6</w:t>
      </w:r>
      <w:r w:rsidRPr="00AC7B39">
        <w:rPr>
          <w:b/>
          <w:bCs/>
          <w:szCs w:val="22"/>
          <w:lang w:val="sr-Latn-ME" w:eastAsia="ar-SA"/>
        </w:rPr>
        <w:tab/>
        <w:t xml:space="preserve">Posebne mjere opreza pri odlaganju materijala koji treba odbaciti nakon primjene lijeka </w:t>
      </w:r>
      <w:r w:rsidRPr="00AC7B39">
        <w:rPr>
          <w:b/>
          <w:bCs/>
          <w:szCs w:val="22"/>
          <w:lang w:val="sr-Latn-ME"/>
        </w:rPr>
        <w:t xml:space="preserve">(i druga uputstva za rukovanje lijekom) </w:t>
      </w:r>
    </w:p>
    <w:p w14:paraId="6EC6335B" w14:textId="77777777" w:rsidR="00E66349" w:rsidRPr="00AC7B39" w:rsidRDefault="00E66349" w:rsidP="00E66349">
      <w:pPr>
        <w:suppressAutoHyphens/>
        <w:jc w:val="both"/>
        <w:rPr>
          <w:szCs w:val="22"/>
          <w:lang w:val="sr-Latn-ME" w:eastAsia="ar-SA"/>
        </w:rPr>
      </w:pPr>
    </w:p>
    <w:p w14:paraId="22BBB160" w14:textId="77777777" w:rsidR="00691D72" w:rsidRPr="00AC7B39" w:rsidRDefault="00691D72" w:rsidP="00691D72">
      <w:pPr>
        <w:suppressAutoHyphens/>
        <w:jc w:val="both"/>
        <w:rPr>
          <w:b/>
          <w:bCs/>
          <w:szCs w:val="22"/>
          <w:lang w:val="sr-Latn-ME" w:eastAsia="ar-SA"/>
        </w:rPr>
      </w:pPr>
      <w:r w:rsidRPr="00AC7B39">
        <w:rPr>
          <w:szCs w:val="22"/>
          <w:lang w:val="sr-Latn-ME" w:eastAsia="ar-SA"/>
        </w:rPr>
        <w:t>Neupotrijebljeni lijek se uništava u skladu sa važećim propisima.</w:t>
      </w:r>
    </w:p>
    <w:p w14:paraId="3EDCC4E3" w14:textId="77777777" w:rsidR="00E66349" w:rsidRPr="00AC7B39" w:rsidRDefault="00E66349" w:rsidP="00E66349">
      <w:pPr>
        <w:suppressAutoHyphens/>
        <w:jc w:val="both"/>
        <w:rPr>
          <w:b/>
          <w:bCs/>
          <w:szCs w:val="22"/>
          <w:lang w:val="sr-Latn-ME" w:eastAsia="ar-SA"/>
        </w:rPr>
      </w:pPr>
    </w:p>
    <w:p w14:paraId="3679FB27" w14:textId="77777777" w:rsidR="00E66349" w:rsidRPr="00AC7B39" w:rsidRDefault="00E66349" w:rsidP="00E66349">
      <w:pPr>
        <w:suppressAutoHyphens/>
        <w:jc w:val="both"/>
        <w:rPr>
          <w:b/>
          <w:bCs/>
          <w:szCs w:val="22"/>
          <w:lang w:val="sr-Latn-ME" w:eastAsia="ar-SA"/>
        </w:rPr>
      </w:pPr>
    </w:p>
    <w:p w14:paraId="00A4D3F9"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7.</w:t>
      </w:r>
      <w:r w:rsidRPr="00AC7B39">
        <w:rPr>
          <w:b/>
          <w:bCs/>
          <w:szCs w:val="22"/>
          <w:lang w:val="sr-Latn-ME" w:eastAsia="ar-SA"/>
        </w:rPr>
        <w:tab/>
        <w:t>NOSILAC DOZVOLE</w:t>
      </w:r>
    </w:p>
    <w:p w14:paraId="4E64B1E7" w14:textId="77777777" w:rsidR="00E66349" w:rsidRPr="00AC7B39" w:rsidRDefault="00E66349" w:rsidP="00E66349">
      <w:pPr>
        <w:suppressAutoHyphens/>
        <w:jc w:val="both"/>
        <w:rPr>
          <w:szCs w:val="22"/>
          <w:lang w:val="sr-Latn-ME" w:eastAsia="ar-SA"/>
        </w:rPr>
      </w:pPr>
    </w:p>
    <w:p w14:paraId="0809B879" w14:textId="77777777" w:rsidR="00E66349" w:rsidRPr="00AC7B39" w:rsidRDefault="00E66349" w:rsidP="00E66349">
      <w:pPr>
        <w:autoSpaceDE w:val="0"/>
        <w:autoSpaceDN w:val="0"/>
        <w:adjustRightInd w:val="0"/>
        <w:ind w:left="1985" w:hanging="1985"/>
        <w:jc w:val="both"/>
        <w:rPr>
          <w:szCs w:val="22"/>
          <w:lang w:val="sr-Latn-ME" w:eastAsia="sl-SI"/>
        </w:rPr>
      </w:pPr>
      <w:r w:rsidRPr="00AC7B39">
        <w:rPr>
          <w:szCs w:val="22"/>
          <w:lang w:val="sr-Latn-ME" w:eastAsia="sl-SI"/>
        </w:rPr>
        <w:t>D.S.D. „KRKA, d.d., Novo mesto“ - predstavništvo Podgorica,</w:t>
      </w:r>
    </w:p>
    <w:p w14:paraId="77F6B8D2" w14:textId="77777777" w:rsidR="00E66349" w:rsidRPr="00AC7B39" w:rsidRDefault="00E66349" w:rsidP="00E66349">
      <w:pPr>
        <w:autoSpaceDE w:val="0"/>
        <w:autoSpaceDN w:val="0"/>
        <w:adjustRightInd w:val="0"/>
        <w:ind w:right="71"/>
        <w:rPr>
          <w:szCs w:val="22"/>
          <w:lang w:val="sr-Latn-ME" w:eastAsia="sl-SI"/>
        </w:rPr>
      </w:pPr>
      <w:r w:rsidRPr="00AC7B39">
        <w:rPr>
          <w:szCs w:val="22"/>
          <w:lang w:val="sr-Latn-ME" w:eastAsia="sl-SI"/>
        </w:rPr>
        <w:t>Svetlane Kane Radević br. 3, 81000 Podgorica, Crna Gora</w:t>
      </w:r>
    </w:p>
    <w:p w14:paraId="4F1D3957" w14:textId="77777777" w:rsidR="00E66349" w:rsidRPr="00AC7B39" w:rsidRDefault="00E66349" w:rsidP="00E66349">
      <w:pPr>
        <w:suppressAutoHyphens/>
        <w:jc w:val="both"/>
        <w:rPr>
          <w:szCs w:val="22"/>
          <w:lang w:val="sr-Latn-ME" w:eastAsia="ar-SA"/>
        </w:rPr>
      </w:pPr>
    </w:p>
    <w:p w14:paraId="2F2D8B8F" w14:textId="77777777" w:rsidR="00E66349" w:rsidRPr="00AC7B39" w:rsidRDefault="00E66349" w:rsidP="00E66349">
      <w:pPr>
        <w:suppressAutoHyphens/>
        <w:jc w:val="both"/>
        <w:rPr>
          <w:szCs w:val="22"/>
          <w:lang w:val="sr-Latn-ME" w:eastAsia="ar-SA"/>
        </w:rPr>
      </w:pPr>
    </w:p>
    <w:p w14:paraId="014FB556"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t>8.</w:t>
      </w:r>
      <w:r w:rsidRPr="00AC7B39">
        <w:rPr>
          <w:b/>
          <w:bCs/>
          <w:szCs w:val="22"/>
          <w:lang w:val="sr-Latn-ME" w:eastAsia="ar-SA"/>
        </w:rPr>
        <w:tab/>
        <w:t>BROJ DOZVOLE ZA STAVLJANJE LIJEKA U PROMET</w:t>
      </w:r>
    </w:p>
    <w:p w14:paraId="69EC432F" w14:textId="6384E0DB" w:rsidR="00E66349" w:rsidRDefault="00E66349" w:rsidP="00E66349">
      <w:pPr>
        <w:suppressAutoHyphens/>
        <w:jc w:val="both"/>
        <w:rPr>
          <w:b/>
          <w:bCs/>
          <w:szCs w:val="22"/>
          <w:lang w:val="sr-Latn-ME" w:eastAsia="ar-SA"/>
        </w:rPr>
      </w:pPr>
    </w:p>
    <w:p w14:paraId="7BB30E77" w14:textId="5F8B5107" w:rsidR="00A91600" w:rsidRPr="00AC7B39" w:rsidRDefault="00A91600" w:rsidP="00E66349">
      <w:pPr>
        <w:suppressAutoHyphens/>
        <w:jc w:val="both"/>
        <w:rPr>
          <w:b/>
          <w:bCs/>
          <w:szCs w:val="22"/>
          <w:lang w:val="sr-Latn-ME" w:eastAsia="ar-SA"/>
        </w:rPr>
      </w:pPr>
      <w:r>
        <w:rPr>
          <w:rFonts w:ascii="TimesNewRoman" w:eastAsia="SimSun" w:hAnsi="TimesNewRoman" w:cs="TimesNewRoman"/>
          <w:szCs w:val="22"/>
          <w:lang w:val="en-US" w:eastAsia="sl-SI"/>
        </w:rPr>
        <w:t>2030/23/4508 - 4761</w:t>
      </w:r>
    </w:p>
    <w:p w14:paraId="214D680C" w14:textId="5FD7EA36" w:rsidR="00DE71AC" w:rsidRDefault="00DE71AC" w:rsidP="00E66349">
      <w:pPr>
        <w:suppressAutoHyphens/>
        <w:jc w:val="both"/>
        <w:rPr>
          <w:b/>
          <w:bCs/>
          <w:szCs w:val="22"/>
          <w:lang w:val="sr-Latn-ME" w:eastAsia="ar-SA"/>
        </w:rPr>
      </w:pPr>
    </w:p>
    <w:p w14:paraId="7940F6E6" w14:textId="77777777" w:rsidR="00DE3AA9" w:rsidRPr="00AC7B39" w:rsidRDefault="00DE3AA9" w:rsidP="00E66349">
      <w:pPr>
        <w:suppressAutoHyphens/>
        <w:jc w:val="both"/>
        <w:rPr>
          <w:b/>
          <w:bCs/>
          <w:szCs w:val="22"/>
          <w:lang w:val="sr-Latn-ME" w:eastAsia="ar-SA"/>
        </w:rPr>
      </w:pPr>
    </w:p>
    <w:p w14:paraId="1481BA16" w14:textId="77777777" w:rsidR="00E66349" w:rsidRPr="00AC7B39" w:rsidRDefault="00E66349" w:rsidP="00E66349">
      <w:pPr>
        <w:suppressAutoHyphens/>
        <w:jc w:val="both"/>
        <w:rPr>
          <w:b/>
          <w:bCs/>
          <w:szCs w:val="22"/>
          <w:lang w:val="sr-Latn-ME" w:eastAsia="ar-SA"/>
        </w:rPr>
      </w:pPr>
      <w:r w:rsidRPr="00AC7B39">
        <w:rPr>
          <w:b/>
          <w:bCs/>
          <w:szCs w:val="22"/>
          <w:lang w:val="sr-Latn-ME" w:eastAsia="ar-SA"/>
        </w:rPr>
        <w:lastRenderedPageBreak/>
        <w:t>9.</w:t>
      </w:r>
      <w:r w:rsidRPr="00AC7B39">
        <w:rPr>
          <w:b/>
          <w:bCs/>
          <w:szCs w:val="22"/>
          <w:lang w:val="sr-Latn-ME" w:eastAsia="ar-SA"/>
        </w:rPr>
        <w:tab/>
        <w:t>DATUM PRVE DOZVOLE/OBNOVE DOZVOLE ZA STAVLJANJE LIJEKA U PROMET</w:t>
      </w:r>
    </w:p>
    <w:p w14:paraId="4FCCAACB" w14:textId="77777777" w:rsidR="00E66349" w:rsidRPr="00AC7B39" w:rsidRDefault="00E66349" w:rsidP="00E66349">
      <w:pPr>
        <w:suppressAutoHyphens/>
        <w:jc w:val="both"/>
        <w:rPr>
          <w:b/>
          <w:bCs/>
          <w:szCs w:val="22"/>
          <w:lang w:val="sr-Latn-ME" w:eastAsia="ar-SA"/>
        </w:rPr>
      </w:pPr>
    </w:p>
    <w:p w14:paraId="73B922F8" w14:textId="7709953C" w:rsidR="00FB0D4E" w:rsidRDefault="00FB0D4E" w:rsidP="00E66349">
      <w:pPr>
        <w:suppressAutoHyphens/>
        <w:jc w:val="both"/>
        <w:rPr>
          <w:bCs/>
          <w:szCs w:val="22"/>
          <w:lang w:val="sr-Latn-ME" w:eastAsia="ar-SA"/>
        </w:rPr>
      </w:pPr>
      <w:r>
        <w:rPr>
          <w:bCs/>
          <w:szCs w:val="22"/>
          <w:lang w:val="sr-Latn-ME" w:eastAsia="ar-SA"/>
        </w:rPr>
        <w:t>Datum prve dozvole:</w:t>
      </w:r>
      <w:r w:rsidR="00DE3AA9" w:rsidRPr="00DE3AA9">
        <w:t xml:space="preserve"> </w:t>
      </w:r>
      <w:r w:rsidR="00DE3AA9" w:rsidRPr="00DE3AA9">
        <w:rPr>
          <w:bCs/>
          <w:szCs w:val="22"/>
          <w:lang w:val="sr-Latn-ME" w:eastAsia="ar-SA"/>
        </w:rPr>
        <w:t>12.04.2013. godine</w:t>
      </w:r>
    </w:p>
    <w:p w14:paraId="7E582B22" w14:textId="293D0000" w:rsidR="00E66349" w:rsidRPr="00AC7B39" w:rsidRDefault="00FB0D4E" w:rsidP="00E66349">
      <w:pPr>
        <w:suppressAutoHyphens/>
        <w:jc w:val="both"/>
        <w:rPr>
          <w:b/>
          <w:bCs/>
          <w:szCs w:val="22"/>
          <w:lang w:val="sr-Latn-ME" w:eastAsia="ar-SA"/>
        </w:rPr>
      </w:pPr>
      <w:r>
        <w:rPr>
          <w:bCs/>
          <w:szCs w:val="22"/>
          <w:lang w:val="sr-Latn-ME" w:eastAsia="ar-SA"/>
        </w:rPr>
        <w:t xml:space="preserve">Datum posljednje obnove dozvole: </w:t>
      </w:r>
      <w:r w:rsidR="00A91600" w:rsidRPr="00A91600">
        <w:rPr>
          <w:bCs/>
          <w:szCs w:val="22"/>
          <w:lang w:val="sr-Latn-ME" w:eastAsia="ar-SA"/>
        </w:rPr>
        <w:t>06.12.2023. godine</w:t>
      </w:r>
    </w:p>
    <w:p w14:paraId="177BB78F" w14:textId="5B90B7DD" w:rsidR="00E66349" w:rsidRDefault="00E66349" w:rsidP="00E66349">
      <w:pPr>
        <w:suppressAutoHyphens/>
        <w:jc w:val="both"/>
        <w:rPr>
          <w:b/>
          <w:bCs/>
          <w:szCs w:val="22"/>
          <w:lang w:val="sr-Latn-ME" w:eastAsia="ar-SA"/>
        </w:rPr>
      </w:pPr>
    </w:p>
    <w:p w14:paraId="54EAFFA9" w14:textId="4ADE7A84" w:rsidR="00DE3AA9" w:rsidRPr="00AC7B39" w:rsidRDefault="00DE3AA9" w:rsidP="00E66349">
      <w:pPr>
        <w:suppressAutoHyphens/>
        <w:jc w:val="both"/>
        <w:rPr>
          <w:b/>
          <w:bCs/>
          <w:szCs w:val="22"/>
          <w:lang w:val="sr-Latn-ME" w:eastAsia="ar-SA"/>
        </w:rPr>
      </w:pPr>
    </w:p>
    <w:p w14:paraId="003D9456" w14:textId="2CEB9825" w:rsidR="00E66349" w:rsidRDefault="00E66349" w:rsidP="00E66349">
      <w:pPr>
        <w:suppressAutoHyphens/>
        <w:rPr>
          <w:b/>
          <w:bCs/>
          <w:szCs w:val="22"/>
          <w:lang w:val="sr-Latn-ME" w:eastAsia="ar-SA"/>
        </w:rPr>
      </w:pPr>
      <w:r w:rsidRPr="00AC7B39">
        <w:rPr>
          <w:b/>
          <w:bCs/>
          <w:szCs w:val="22"/>
          <w:lang w:val="sr-Latn-ME" w:eastAsia="ar-SA"/>
        </w:rPr>
        <w:t>10.</w:t>
      </w:r>
      <w:r w:rsidRPr="00AC7B39">
        <w:rPr>
          <w:b/>
          <w:bCs/>
          <w:szCs w:val="22"/>
          <w:lang w:val="sr-Latn-ME" w:eastAsia="ar-SA"/>
        </w:rPr>
        <w:tab/>
        <w:t>DATUM REVIZIJE TEKSTA</w:t>
      </w:r>
    </w:p>
    <w:p w14:paraId="65389676" w14:textId="77777777" w:rsidR="00A91600" w:rsidRDefault="00A91600" w:rsidP="00E66349">
      <w:pPr>
        <w:suppressAutoHyphens/>
        <w:rPr>
          <w:b/>
          <w:bCs/>
          <w:szCs w:val="22"/>
          <w:lang w:val="sr-Latn-ME" w:eastAsia="ar-SA"/>
        </w:rPr>
      </w:pPr>
    </w:p>
    <w:p w14:paraId="019D5DAC" w14:textId="6C203187" w:rsidR="00A91600" w:rsidRPr="00ED5A83" w:rsidRDefault="008E5677" w:rsidP="00E66349">
      <w:pPr>
        <w:suppressAutoHyphens/>
        <w:rPr>
          <w:bCs/>
          <w:szCs w:val="22"/>
          <w:lang w:val="sr-Latn-ME" w:eastAsia="ar-SA"/>
        </w:rPr>
      </w:pPr>
      <w:r>
        <w:rPr>
          <w:bCs/>
          <w:szCs w:val="22"/>
          <w:lang w:val="sr-Latn-ME" w:eastAsia="ar-SA"/>
        </w:rPr>
        <w:t>Decembar</w:t>
      </w:r>
      <w:r w:rsidR="00A91600" w:rsidRPr="00ED5A83">
        <w:rPr>
          <w:bCs/>
          <w:szCs w:val="22"/>
          <w:lang w:val="sr-Latn-ME" w:eastAsia="ar-SA"/>
        </w:rPr>
        <w:t>, 2023</w:t>
      </w:r>
      <w:r w:rsidR="0022034A">
        <w:rPr>
          <w:bCs/>
          <w:szCs w:val="22"/>
          <w:lang w:val="sr-Latn-ME" w:eastAsia="ar-SA"/>
        </w:rPr>
        <w:t>.</w:t>
      </w:r>
      <w:r w:rsidR="00581F43">
        <w:rPr>
          <w:bCs/>
          <w:szCs w:val="22"/>
          <w:lang w:val="sr-Latn-ME" w:eastAsia="ar-SA"/>
        </w:rPr>
        <w:t xml:space="preserve"> godine</w:t>
      </w:r>
      <w:bookmarkStart w:id="0" w:name="_GoBack"/>
      <w:bookmarkEnd w:id="0"/>
    </w:p>
    <w:p w14:paraId="5570613C" w14:textId="77777777" w:rsidR="00E66349" w:rsidRPr="00AC7B39" w:rsidRDefault="00E66349" w:rsidP="00E66349">
      <w:pPr>
        <w:suppressAutoHyphens/>
        <w:jc w:val="both"/>
        <w:rPr>
          <w:b/>
          <w:bCs/>
          <w:szCs w:val="22"/>
          <w:lang w:val="sr-Latn-ME" w:eastAsia="ar-SA"/>
        </w:rPr>
      </w:pPr>
    </w:p>
    <w:p w14:paraId="534F2B44" w14:textId="77777777" w:rsidR="00E66349" w:rsidRPr="00AC7B39" w:rsidRDefault="00E66349" w:rsidP="00E66349">
      <w:pPr>
        <w:suppressAutoHyphens/>
        <w:jc w:val="both"/>
        <w:rPr>
          <w:szCs w:val="22"/>
          <w:lang w:val="sr-Latn-ME" w:eastAsia="ar-SA"/>
        </w:rPr>
      </w:pPr>
    </w:p>
    <w:p w14:paraId="1F3BAA38" w14:textId="77777777" w:rsidR="00E66349" w:rsidRPr="00AC7B39" w:rsidRDefault="00E66349" w:rsidP="00E66349">
      <w:pPr>
        <w:rPr>
          <w:lang w:val="sr-Latn-ME"/>
        </w:rPr>
      </w:pPr>
    </w:p>
    <w:p w14:paraId="631E47C4" w14:textId="77777777" w:rsidR="00812D16" w:rsidRPr="00AC7B39" w:rsidRDefault="00812D16" w:rsidP="00E66349">
      <w:pPr>
        <w:rPr>
          <w:lang w:val="sr-Latn-ME"/>
        </w:rPr>
      </w:pPr>
    </w:p>
    <w:sectPr w:rsidR="00812D16" w:rsidRPr="00AC7B39" w:rsidSect="00EC0E54">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1F0D" w14:textId="77777777" w:rsidR="00137809" w:rsidRDefault="00137809">
      <w:pPr>
        <w:spacing w:line="240" w:lineRule="auto"/>
      </w:pPr>
      <w:r>
        <w:separator/>
      </w:r>
    </w:p>
  </w:endnote>
  <w:endnote w:type="continuationSeparator" w:id="0">
    <w:p w14:paraId="3C6F206E" w14:textId="77777777" w:rsidR="00137809" w:rsidRDefault="00137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A3E45" w14:textId="77777777" w:rsidR="00DB076A" w:rsidRDefault="00BD3806" w:rsidP="00DB076A">
    <w:pPr>
      <w:pStyle w:val="Footer"/>
      <w:tabs>
        <w:tab w:val="right" w:pos="8931"/>
      </w:tabs>
      <w:ind w:right="96"/>
      <w:jc w:val="center"/>
      <w:rPr>
        <w:rFonts w:ascii="Times New Roman" w:hAnsi="Times New Roman"/>
        <w:color w:val="000000" w:themeColor="text1"/>
      </w:rPr>
    </w:pPr>
    <w:r>
      <w:fldChar w:fldCharType="begin"/>
    </w:r>
    <w:r>
      <w:instrText xml:space="preserve"> EQ </w:instrText>
    </w:r>
    <w:r>
      <w:fldChar w:fldCharType="end"/>
    </w:r>
    <w:r w:rsidR="00DB076A" w:rsidRPr="00225ED9">
      <w:rPr>
        <w:rFonts w:ascii="Times New Roman" w:hAnsi="Times New Roman"/>
        <w:color w:val="000000" w:themeColor="text1"/>
      </w:rPr>
      <w:fldChar w:fldCharType="begin"/>
    </w:r>
    <w:r w:rsidR="00DB076A" w:rsidRPr="00225ED9">
      <w:rPr>
        <w:rFonts w:ascii="Times New Roman" w:hAnsi="Times New Roman"/>
        <w:color w:val="000000" w:themeColor="text1"/>
      </w:rPr>
      <w:instrText xml:space="preserve"> EQ </w:instrText>
    </w:r>
    <w:r w:rsidR="00DB076A" w:rsidRPr="00225ED9">
      <w:rPr>
        <w:rFonts w:ascii="Times New Roman" w:hAnsi="Times New Roman"/>
        <w:color w:val="000000" w:themeColor="text1"/>
      </w:rPr>
      <w:fldChar w:fldCharType="end"/>
    </w:r>
  </w:p>
  <w:p w14:paraId="619D1B98" w14:textId="7EA130B7" w:rsidR="00DB076A" w:rsidRPr="00E342EE" w:rsidRDefault="00DB076A" w:rsidP="00DB076A">
    <w:pPr>
      <w:pStyle w:val="Footer"/>
      <w:tabs>
        <w:tab w:val="right" w:pos="8931"/>
      </w:tabs>
      <w:ind w:right="96"/>
      <w:jc w:val="center"/>
      <w:rPr>
        <w:rFonts w:ascii="Times New Roman" w:hAnsi="Times New Roman"/>
        <w:color w:val="000000" w:themeColor="text1"/>
      </w:rPr>
    </w:pPr>
    <w:r w:rsidRPr="00C76DE7">
      <w:rPr>
        <w:rStyle w:val="PageNumber"/>
        <w:rFonts w:ascii="Times New Roman" w:hAnsi="Times New Roman"/>
        <w:color w:val="000000" w:themeColor="text1"/>
        <w:sz w:val="22"/>
        <w:szCs w:val="22"/>
      </w:rPr>
      <w:fldChar w:fldCharType="begin"/>
    </w:r>
    <w:r w:rsidRPr="00E342EE">
      <w:rPr>
        <w:rStyle w:val="PageNumber"/>
        <w:rFonts w:ascii="Times New Roman" w:hAnsi="Times New Roman"/>
        <w:color w:val="000000" w:themeColor="text1"/>
        <w:sz w:val="22"/>
        <w:szCs w:val="22"/>
      </w:rPr>
      <w:instrText xml:space="preserve">PAGE  </w:instrText>
    </w:r>
    <w:r w:rsidRPr="00C76DE7">
      <w:rPr>
        <w:rStyle w:val="PageNumber"/>
        <w:rFonts w:ascii="Times New Roman" w:hAnsi="Times New Roman"/>
        <w:color w:val="000000" w:themeColor="text1"/>
        <w:sz w:val="22"/>
        <w:szCs w:val="22"/>
      </w:rPr>
      <w:fldChar w:fldCharType="separate"/>
    </w:r>
    <w:r w:rsidR="00581F43">
      <w:rPr>
        <w:rStyle w:val="PageNumber"/>
        <w:rFonts w:ascii="Times New Roman" w:hAnsi="Times New Roman"/>
        <w:color w:val="000000" w:themeColor="text1"/>
        <w:sz w:val="22"/>
        <w:szCs w:val="22"/>
      </w:rPr>
      <w:t>12</w:t>
    </w:r>
    <w:r w:rsidRPr="00C76DE7">
      <w:rPr>
        <w:rStyle w:val="PageNumber"/>
        <w:rFonts w:ascii="Times New Roman" w:hAnsi="Times New Roman"/>
        <w:color w:val="000000" w:themeColor="text1"/>
        <w:sz w:val="22"/>
        <w:szCs w:val="22"/>
      </w:rPr>
      <w:fldChar w:fldCharType="end"/>
    </w:r>
    <w:r w:rsidRPr="00E342EE">
      <w:rPr>
        <w:rStyle w:val="PageNumber"/>
        <w:rFonts w:ascii="Times New Roman" w:hAnsi="Times New Roman"/>
        <w:color w:val="000000" w:themeColor="text1"/>
        <w:sz w:val="22"/>
        <w:szCs w:val="22"/>
      </w:rPr>
      <w:t xml:space="preserve"> / </w:t>
    </w:r>
    <w:r w:rsidR="00DE3AA9">
      <w:rPr>
        <w:rStyle w:val="PageNumber"/>
        <w:rFonts w:ascii="Times New Roman" w:hAnsi="Times New Roman"/>
        <w:color w:val="000000" w:themeColor="text1"/>
        <w:sz w:val="22"/>
        <w:szCs w:val="22"/>
      </w:rPr>
      <w:t>12</w:t>
    </w:r>
  </w:p>
  <w:p w14:paraId="7407603E" w14:textId="582D52A4" w:rsidR="00BD3806" w:rsidRDefault="00BD3806">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825955"/>
      <w:docPartObj>
        <w:docPartGallery w:val="Page Numbers (Bottom of Page)"/>
        <w:docPartUnique/>
      </w:docPartObj>
    </w:sdtPr>
    <w:sdtEndPr/>
    <w:sdtContent>
      <w:p w14:paraId="5C2AE910" w14:textId="77777777" w:rsidR="00DB076A" w:rsidRDefault="00DB076A" w:rsidP="00DB076A">
        <w:pPr>
          <w:pStyle w:val="Footer"/>
          <w:tabs>
            <w:tab w:val="right" w:pos="8931"/>
          </w:tabs>
          <w:ind w:right="96"/>
          <w:jc w:val="center"/>
          <w:rPr>
            <w:rFonts w:ascii="Times New Roman" w:hAnsi="Times New Roman"/>
            <w:color w:val="000000" w:themeColor="text1"/>
          </w:rPr>
        </w:pPr>
        <w:r w:rsidRPr="00225ED9">
          <w:rPr>
            <w:rFonts w:ascii="Times New Roman" w:hAnsi="Times New Roman"/>
            <w:color w:val="000000" w:themeColor="text1"/>
          </w:rPr>
          <w:fldChar w:fldCharType="begin"/>
        </w:r>
        <w:r w:rsidRPr="00225ED9">
          <w:rPr>
            <w:rFonts w:ascii="Times New Roman" w:hAnsi="Times New Roman"/>
            <w:color w:val="000000" w:themeColor="text1"/>
          </w:rPr>
          <w:instrText xml:space="preserve"> EQ </w:instrText>
        </w:r>
        <w:r w:rsidRPr="00225ED9">
          <w:rPr>
            <w:rFonts w:ascii="Times New Roman" w:hAnsi="Times New Roman"/>
            <w:color w:val="000000" w:themeColor="text1"/>
          </w:rPr>
          <w:fldChar w:fldCharType="end"/>
        </w:r>
      </w:p>
      <w:p w14:paraId="3D271ADD" w14:textId="74BE98D1" w:rsidR="00DB076A" w:rsidRPr="00DB076A" w:rsidRDefault="00DB076A" w:rsidP="00DB076A">
        <w:pPr>
          <w:pStyle w:val="Footer"/>
          <w:tabs>
            <w:tab w:val="right" w:pos="8931"/>
          </w:tabs>
          <w:ind w:right="96"/>
          <w:jc w:val="center"/>
          <w:rPr>
            <w:rFonts w:ascii="Times New Roman" w:hAnsi="Times New Roman"/>
            <w:color w:val="000000" w:themeColor="text1"/>
          </w:rPr>
        </w:pPr>
        <w:r w:rsidRPr="00EC0E54">
          <w:rPr>
            <w:rStyle w:val="PageNumber"/>
            <w:rFonts w:ascii="Times New Roman" w:hAnsi="Times New Roman"/>
            <w:color w:val="000000" w:themeColor="text1"/>
            <w:sz w:val="22"/>
            <w:szCs w:val="22"/>
          </w:rPr>
          <w:fldChar w:fldCharType="begin"/>
        </w:r>
        <w:r w:rsidRPr="00DB076A">
          <w:rPr>
            <w:rStyle w:val="PageNumber"/>
            <w:rFonts w:ascii="Times New Roman" w:hAnsi="Times New Roman"/>
            <w:color w:val="000000" w:themeColor="text1"/>
            <w:sz w:val="22"/>
            <w:szCs w:val="22"/>
          </w:rPr>
          <w:instrText xml:space="preserve">PAGE  </w:instrText>
        </w:r>
        <w:r w:rsidRPr="00EC0E54">
          <w:rPr>
            <w:rStyle w:val="PageNumber"/>
            <w:rFonts w:ascii="Times New Roman" w:hAnsi="Times New Roman"/>
            <w:color w:val="000000" w:themeColor="text1"/>
            <w:sz w:val="22"/>
            <w:szCs w:val="22"/>
          </w:rPr>
          <w:fldChar w:fldCharType="separate"/>
        </w:r>
        <w:r>
          <w:rPr>
            <w:rStyle w:val="PageNumber"/>
            <w:rFonts w:ascii="Times New Roman" w:hAnsi="Times New Roman"/>
            <w:color w:val="000000" w:themeColor="text1"/>
            <w:sz w:val="22"/>
            <w:szCs w:val="22"/>
          </w:rPr>
          <w:t>1</w:t>
        </w:r>
        <w:r w:rsidRPr="00EC0E54">
          <w:rPr>
            <w:rStyle w:val="PageNumber"/>
            <w:rFonts w:ascii="Times New Roman" w:hAnsi="Times New Roman"/>
            <w:color w:val="000000" w:themeColor="text1"/>
            <w:sz w:val="22"/>
            <w:szCs w:val="22"/>
          </w:rPr>
          <w:fldChar w:fldCharType="end"/>
        </w:r>
        <w:r w:rsidRPr="00DB076A">
          <w:rPr>
            <w:rStyle w:val="PageNumber"/>
            <w:rFonts w:ascii="Times New Roman" w:hAnsi="Times New Roman"/>
            <w:color w:val="000000" w:themeColor="text1"/>
            <w:sz w:val="22"/>
            <w:szCs w:val="22"/>
          </w:rPr>
          <w:t xml:space="preserve"> / 11</w:t>
        </w:r>
      </w:p>
      <w:p w14:paraId="350F8A77" w14:textId="49172B2E" w:rsidR="00DB076A" w:rsidRDefault="00137809">
        <w:pPr>
          <w:pStyle w:val="Footer"/>
        </w:pPr>
      </w:p>
    </w:sdtContent>
  </w:sdt>
  <w:p w14:paraId="62B815D1" w14:textId="19E9AFF2" w:rsidR="00BD3806" w:rsidRPr="006C3553" w:rsidRDefault="00BD3806"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5863" w14:textId="77777777" w:rsidR="00137809" w:rsidRDefault="00137809">
      <w:pPr>
        <w:spacing w:line="240" w:lineRule="auto"/>
      </w:pPr>
      <w:r>
        <w:separator/>
      </w:r>
    </w:p>
  </w:footnote>
  <w:footnote w:type="continuationSeparator" w:id="0">
    <w:p w14:paraId="7FA2BF0D" w14:textId="77777777" w:rsidR="00137809" w:rsidRDefault="00137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1098B"/>
    <w:multiLevelType w:val="hybridMultilevel"/>
    <w:tmpl w:val="B6822160"/>
    <w:lvl w:ilvl="0" w:tplc="544C4B7C">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EA15CD1"/>
    <w:multiLevelType w:val="hybridMultilevel"/>
    <w:tmpl w:val="EEF8394A"/>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D32C2"/>
    <w:multiLevelType w:val="hybridMultilevel"/>
    <w:tmpl w:val="126E5F68"/>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4C397D0A"/>
    <w:multiLevelType w:val="hybridMultilevel"/>
    <w:tmpl w:val="946EC198"/>
    <w:lvl w:ilvl="0" w:tplc="DBA283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D1D09B2"/>
    <w:multiLevelType w:val="hybridMultilevel"/>
    <w:tmpl w:val="33D0FB3C"/>
    <w:lvl w:ilvl="0" w:tplc="DBA283EE">
      <w:start w:val="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7DC4EFE"/>
    <w:multiLevelType w:val="hybridMultilevel"/>
    <w:tmpl w:val="54744724"/>
    <w:lvl w:ilvl="0" w:tplc="B24A449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59F96543"/>
    <w:multiLevelType w:val="hybridMultilevel"/>
    <w:tmpl w:val="F65602D4"/>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629B27BB"/>
    <w:multiLevelType w:val="hybridMultilevel"/>
    <w:tmpl w:val="E58CD746"/>
    <w:lvl w:ilvl="0" w:tplc="DBA283EE">
      <w:start w:val="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7B9628A"/>
    <w:multiLevelType w:val="hybridMultilevel"/>
    <w:tmpl w:val="5898588C"/>
    <w:lvl w:ilvl="0" w:tplc="DBA283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790623"/>
    <w:multiLevelType w:val="multilevel"/>
    <w:tmpl w:val="1CB0EF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D5FC5"/>
    <w:multiLevelType w:val="hybridMultilevel"/>
    <w:tmpl w:val="C2221474"/>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E2C6420"/>
    <w:multiLevelType w:val="hybridMultilevel"/>
    <w:tmpl w:val="C3E02216"/>
    <w:lvl w:ilvl="0" w:tplc="DBA283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2C537BA"/>
    <w:multiLevelType w:val="hybridMultilevel"/>
    <w:tmpl w:val="33DCE99E"/>
    <w:lvl w:ilvl="0" w:tplc="DBA283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2A6CD6"/>
    <w:multiLevelType w:val="hybridMultilevel"/>
    <w:tmpl w:val="2570BBC2"/>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669B0"/>
    <w:multiLevelType w:val="hybridMultilevel"/>
    <w:tmpl w:val="3858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75C0A"/>
    <w:multiLevelType w:val="hybridMultilevel"/>
    <w:tmpl w:val="C25608D2"/>
    <w:lvl w:ilvl="0" w:tplc="4A423FD2">
      <w:start w:val="4"/>
      <w:numFmt w:val="bullet"/>
      <w:lvlText w:val="-"/>
      <w:lvlJc w:val="left"/>
      <w:pPr>
        <w:ind w:left="720" w:hanging="360"/>
      </w:pPr>
      <w:rPr>
        <w:rFonts w:ascii="Times" w:eastAsia="Times New Roman"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EA146F5"/>
    <w:multiLevelType w:val="hybridMultilevel"/>
    <w:tmpl w:val="EA24EEE2"/>
    <w:lvl w:ilvl="0" w:tplc="4A423FD2">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18"/>
  </w:num>
  <w:num w:numId="7">
    <w:abstractNumId w:val="8"/>
  </w:num>
  <w:num w:numId="8">
    <w:abstractNumId w:val="12"/>
  </w:num>
  <w:num w:numId="9">
    <w:abstractNumId w:val="32"/>
  </w:num>
  <w:num w:numId="10">
    <w:abstractNumId w:val="1"/>
  </w:num>
  <w:num w:numId="11">
    <w:abstractNumId w:val="28"/>
  </w:num>
  <w:num w:numId="12">
    <w:abstractNumId w:val="9"/>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9"/>
  </w:num>
  <w:num w:numId="17">
    <w:abstractNumId w:val="13"/>
  </w:num>
  <w:num w:numId="18">
    <w:abstractNumId w:val="16"/>
  </w:num>
  <w:num w:numId="19">
    <w:abstractNumId w:val="37"/>
  </w:num>
  <w:num w:numId="20">
    <w:abstractNumId w:val="21"/>
  </w:num>
  <w:num w:numId="21">
    <w:abstractNumId w:val="31"/>
  </w:num>
  <w:num w:numId="22">
    <w:abstractNumId w:val="26"/>
  </w:num>
  <w:num w:numId="23">
    <w:abstractNumId w:val="7"/>
  </w:num>
  <w:num w:numId="24">
    <w:abstractNumId w:val="31"/>
  </w:num>
  <w:num w:numId="25">
    <w:abstractNumId w:val="3"/>
  </w:num>
  <w:num w:numId="26">
    <w:abstractNumId w:val="35"/>
  </w:num>
  <w:num w:numId="27">
    <w:abstractNumId w:val="10"/>
  </w:num>
  <w:num w:numId="28">
    <w:abstractNumId w:val="19"/>
  </w:num>
  <w:num w:numId="29">
    <w:abstractNumId w:val="36"/>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7"/>
  </w:num>
  <w:num w:numId="33">
    <w:abstractNumId w:val="15"/>
  </w:num>
  <w:num w:numId="34">
    <w:abstractNumId w:val="20"/>
  </w:num>
  <w:num w:numId="35">
    <w:abstractNumId w:val="30"/>
  </w:num>
  <w:num w:numId="36">
    <w:abstractNumId w:val="14"/>
  </w:num>
  <w:num w:numId="37">
    <w:abstractNumId w:val="33"/>
  </w:num>
  <w:num w:numId="38">
    <w:abstractNumId w:val="23"/>
  </w:num>
  <w:num w:numId="39">
    <w:abstractNumId w:val="4"/>
  </w:num>
  <w:num w:numId="40">
    <w:abstractNumId w:val="27"/>
  </w:num>
  <w:num w:numId="41">
    <w:abstractNumId w:val="34"/>
  </w:num>
  <w:num w:numId="42">
    <w:abstractNumId w:val="11"/>
  </w:num>
  <w:num w:numId="43">
    <w:abstractNumId w:val="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485"/>
    <w:rsid w:val="00001587"/>
    <w:rsid w:val="00002852"/>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0E83"/>
    <w:rsid w:val="00061FEE"/>
    <w:rsid w:val="000631FD"/>
    <w:rsid w:val="000643D3"/>
    <w:rsid w:val="00067B16"/>
    <w:rsid w:val="0007049B"/>
    <w:rsid w:val="00071F8A"/>
    <w:rsid w:val="00073CA0"/>
    <w:rsid w:val="00073E04"/>
    <w:rsid w:val="0007401B"/>
    <w:rsid w:val="000757B2"/>
    <w:rsid w:val="0007628D"/>
    <w:rsid w:val="0007713F"/>
    <w:rsid w:val="00081DAB"/>
    <w:rsid w:val="00092829"/>
    <w:rsid w:val="00092B09"/>
    <w:rsid w:val="0009351E"/>
    <w:rsid w:val="0009479A"/>
    <w:rsid w:val="00094AD6"/>
    <w:rsid w:val="00095BAC"/>
    <w:rsid w:val="00095D61"/>
    <w:rsid w:val="00095E44"/>
    <w:rsid w:val="00096D8D"/>
    <w:rsid w:val="0009755A"/>
    <w:rsid w:val="000A1232"/>
    <w:rsid w:val="000A30E5"/>
    <w:rsid w:val="000A40D0"/>
    <w:rsid w:val="000A5D36"/>
    <w:rsid w:val="000A721C"/>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03F4"/>
    <w:rsid w:val="00123688"/>
    <w:rsid w:val="001261E1"/>
    <w:rsid w:val="00127F47"/>
    <w:rsid w:val="00130DC5"/>
    <w:rsid w:val="00133572"/>
    <w:rsid w:val="00134E4A"/>
    <w:rsid w:val="001364FB"/>
    <w:rsid w:val="001365F2"/>
    <w:rsid w:val="00136D7A"/>
    <w:rsid w:val="001374C5"/>
    <w:rsid w:val="00137809"/>
    <w:rsid w:val="001406DE"/>
    <w:rsid w:val="00141470"/>
    <w:rsid w:val="00141540"/>
    <w:rsid w:val="001420F9"/>
    <w:rsid w:val="001449DF"/>
    <w:rsid w:val="001452ED"/>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87CA6"/>
    <w:rsid w:val="001904AE"/>
    <w:rsid w:val="00190913"/>
    <w:rsid w:val="001915EB"/>
    <w:rsid w:val="0019236A"/>
    <w:rsid w:val="00193B21"/>
    <w:rsid w:val="00193DD3"/>
    <w:rsid w:val="001948AA"/>
    <w:rsid w:val="00195F65"/>
    <w:rsid w:val="001A02B8"/>
    <w:rsid w:val="001A07E2"/>
    <w:rsid w:val="001A0A5D"/>
    <w:rsid w:val="001A2018"/>
    <w:rsid w:val="001A56F1"/>
    <w:rsid w:val="001A5D0E"/>
    <w:rsid w:val="001B01C8"/>
    <w:rsid w:val="001B0675"/>
    <w:rsid w:val="001B0B52"/>
    <w:rsid w:val="001B13F6"/>
    <w:rsid w:val="001B1747"/>
    <w:rsid w:val="001B1DBF"/>
    <w:rsid w:val="001B2239"/>
    <w:rsid w:val="001B2D44"/>
    <w:rsid w:val="001B7400"/>
    <w:rsid w:val="001B752A"/>
    <w:rsid w:val="001C12FB"/>
    <w:rsid w:val="001C2DB4"/>
    <w:rsid w:val="001C3228"/>
    <w:rsid w:val="001C35E9"/>
    <w:rsid w:val="001C36BD"/>
    <w:rsid w:val="001C3733"/>
    <w:rsid w:val="001C459A"/>
    <w:rsid w:val="001C49B3"/>
    <w:rsid w:val="001C515E"/>
    <w:rsid w:val="001C5B30"/>
    <w:rsid w:val="001D2953"/>
    <w:rsid w:val="001D3C05"/>
    <w:rsid w:val="001D6AF4"/>
    <w:rsid w:val="001E0CC1"/>
    <w:rsid w:val="001E1C10"/>
    <w:rsid w:val="001E3CC0"/>
    <w:rsid w:val="001E6078"/>
    <w:rsid w:val="001E77C3"/>
    <w:rsid w:val="001F090B"/>
    <w:rsid w:val="001F0DB1"/>
    <w:rsid w:val="001F180A"/>
    <w:rsid w:val="001F1A28"/>
    <w:rsid w:val="001F1AD0"/>
    <w:rsid w:val="001F2409"/>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034A"/>
    <w:rsid w:val="00222BB9"/>
    <w:rsid w:val="00224D14"/>
    <w:rsid w:val="002258D6"/>
    <w:rsid w:val="002274FB"/>
    <w:rsid w:val="002309D2"/>
    <w:rsid w:val="00231B61"/>
    <w:rsid w:val="0023315B"/>
    <w:rsid w:val="00233EFD"/>
    <w:rsid w:val="002347FE"/>
    <w:rsid w:val="002360D3"/>
    <w:rsid w:val="0024178D"/>
    <w:rsid w:val="0024392B"/>
    <w:rsid w:val="002442A4"/>
    <w:rsid w:val="002450C6"/>
    <w:rsid w:val="00245DCF"/>
    <w:rsid w:val="00246C65"/>
    <w:rsid w:val="00246EF4"/>
    <w:rsid w:val="0024721F"/>
    <w:rsid w:val="00250FF2"/>
    <w:rsid w:val="002510F3"/>
    <w:rsid w:val="00251A10"/>
    <w:rsid w:val="00252BFF"/>
    <w:rsid w:val="0025349D"/>
    <w:rsid w:val="00253732"/>
    <w:rsid w:val="002542A8"/>
    <w:rsid w:val="00260A11"/>
    <w:rsid w:val="0026169A"/>
    <w:rsid w:val="00262763"/>
    <w:rsid w:val="00264BEA"/>
    <w:rsid w:val="002661E0"/>
    <w:rsid w:val="002670B0"/>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5B2C"/>
    <w:rsid w:val="00286322"/>
    <w:rsid w:val="00296B03"/>
    <w:rsid w:val="00296C1F"/>
    <w:rsid w:val="002A311A"/>
    <w:rsid w:val="002A41E6"/>
    <w:rsid w:val="002A44C8"/>
    <w:rsid w:val="002A545A"/>
    <w:rsid w:val="002A5E48"/>
    <w:rsid w:val="002B0059"/>
    <w:rsid w:val="002B0455"/>
    <w:rsid w:val="002B08BA"/>
    <w:rsid w:val="002B10FE"/>
    <w:rsid w:val="002B261C"/>
    <w:rsid w:val="002B2BEE"/>
    <w:rsid w:val="002B35C5"/>
    <w:rsid w:val="002B3935"/>
    <w:rsid w:val="002B3C69"/>
    <w:rsid w:val="002B406A"/>
    <w:rsid w:val="002B41D4"/>
    <w:rsid w:val="002B543F"/>
    <w:rsid w:val="002B6165"/>
    <w:rsid w:val="002B7D73"/>
    <w:rsid w:val="002C06E3"/>
    <w:rsid w:val="002C0801"/>
    <w:rsid w:val="002C145F"/>
    <w:rsid w:val="002C33B3"/>
    <w:rsid w:val="002C44B0"/>
    <w:rsid w:val="002C4E07"/>
    <w:rsid w:val="002C7A27"/>
    <w:rsid w:val="002D0586"/>
    <w:rsid w:val="002D1023"/>
    <w:rsid w:val="002D1459"/>
    <w:rsid w:val="002D1470"/>
    <w:rsid w:val="002D21CF"/>
    <w:rsid w:val="002D3DB7"/>
    <w:rsid w:val="002D4705"/>
    <w:rsid w:val="002D5B65"/>
    <w:rsid w:val="002D6396"/>
    <w:rsid w:val="002D732D"/>
    <w:rsid w:val="002D7E5E"/>
    <w:rsid w:val="002E07BA"/>
    <w:rsid w:val="002E07EF"/>
    <w:rsid w:val="002E0D06"/>
    <w:rsid w:val="002E1810"/>
    <w:rsid w:val="002E4E94"/>
    <w:rsid w:val="002E5F0E"/>
    <w:rsid w:val="002E6B67"/>
    <w:rsid w:val="002F1F28"/>
    <w:rsid w:val="002F43CA"/>
    <w:rsid w:val="002F57AA"/>
    <w:rsid w:val="002F6EF7"/>
    <w:rsid w:val="002F714C"/>
    <w:rsid w:val="002F77BF"/>
    <w:rsid w:val="003004A2"/>
    <w:rsid w:val="003037A7"/>
    <w:rsid w:val="00303DD5"/>
    <w:rsid w:val="00304063"/>
    <w:rsid w:val="00307B74"/>
    <w:rsid w:val="00310764"/>
    <w:rsid w:val="00311BFD"/>
    <w:rsid w:val="00314718"/>
    <w:rsid w:val="0031488A"/>
    <w:rsid w:val="003175E1"/>
    <w:rsid w:val="00320203"/>
    <w:rsid w:val="00322002"/>
    <w:rsid w:val="00324101"/>
    <w:rsid w:val="003247B0"/>
    <w:rsid w:val="00325E81"/>
    <w:rsid w:val="00326948"/>
    <w:rsid w:val="00327052"/>
    <w:rsid w:val="003279E3"/>
    <w:rsid w:val="0033486D"/>
    <w:rsid w:val="00335228"/>
    <w:rsid w:val="003367C4"/>
    <w:rsid w:val="00336D8E"/>
    <w:rsid w:val="003376B3"/>
    <w:rsid w:val="00342DBA"/>
    <w:rsid w:val="00345F79"/>
    <w:rsid w:val="00345F9C"/>
    <w:rsid w:val="00347776"/>
    <w:rsid w:val="00347B70"/>
    <w:rsid w:val="00351A91"/>
    <w:rsid w:val="003520C4"/>
    <w:rsid w:val="003533AE"/>
    <w:rsid w:val="00355E14"/>
    <w:rsid w:val="00357C5E"/>
    <w:rsid w:val="003608BD"/>
    <w:rsid w:val="00361280"/>
    <w:rsid w:val="003615F1"/>
    <w:rsid w:val="00361A6E"/>
    <w:rsid w:val="003626AF"/>
    <w:rsid w:val="00362791"/>
    <w:rsid w:val="00363D7F"/>
    <w:rsid w:val="0036655E"/>
    <w:rsid w:val="003673F5"/>
    <w:rsid w:val="00367C66"/>
    <w:rsid w:val="003700B2"/>
    <w:rsid w:val="0037171E"/>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BE6"/>
    <w:rsid w:val="003C3D8E"/>
    <w:rsid w:val="003C5E61"/>
    <w:rsid w:val="003C64A0"/>
    <w:rsid w:val="003C6F0B"/>
    <w:rsid w:val="003C7BA3"/>
    <w:rsid w:val="003D3642"/>
    <w:rsid w:val="003D4044"/>
    <w:rsid w:val="003D4E9C"/>
    <w:rsid w:val="003D5EE8"/>
    <w:rsid w:val="003E0D78"/>
    <w:rsid w:val="003E1CB1"/>
    <w:rsid w:val="003E3A1D"/>
    <w:rsid w:val="003E6CA0"/>
    <w:rsid w:val="003F1F41"/>
    <w:rsid w:val="003F2FDE"/>
    <w:rsid w:val="003F330B"/>
    <w:rsid w:val="003F33BF"/>
    <w:rsid w:val="003F58B9"/>
    <w:rsid w:val="003F5FB9"/>
    <w:rsid w:val="003F6AA4"/>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1EE"/>
    <w:rsid w:val="00434880"/>
    <w:rsid w:val="00434A21"/>
    <w:rsid w:val="0043526D"/>
    <w:rsid w:val="00440519"/>
    <w:rsid w:val="00441D03"/>
    <w:rsid w:val="004456E7"/>
    <w:rsid w:val="004460E9"/>
    <w:rsid w:val="00447B6F"/>
    <w:rsid w:val="00453623"/>
    <w:rsid w:val="00453C11"/>
    <w:rsid w:val="004557B0"/>
    <w:rsid w:val="00457946"/>
    <w:rsid w:val="00457D00"/>
    <w:rsid w:val="00457D8B"/>
    <w:rsid w:val="00460089"/>
    <w:rsid w:val="00460A17"/>
    <w:rsid w:val="0046120A"/>
    <w:rsid w:val="00462F79"/>
    <w:rsid w:val="00463438"/>
    <w:rsid w:val="00463ECE"/>
    <w:rsid w:val="004645C7"/>
    <w:rsid w:val="00465388"/>
    <w:rsid w:val="004677C9"/>
    <w:rsid w:val="00467FEA"/>
    <w:rsid w:val="00470CB5"/>
    <w:rsid w:val="00471EAB"/>
    <w:rsid w:val="004723EE"/>
    <w:rsid w:val="00475A92"/>
    <w:rsid w:val="00475BB0"/>
    <w:rsid w:val="00477BB9"/>
    <w:rsid w:val="004859EE"/>
    <w:rsid w:val="00485DB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047D"/>
    <w:rsid w:val="005040CD"/>
    <w:rsid w:val="00504229"/>
    <w:rsid w:val="00505229"/>
    <w:rsid w:val="00505D7D"/>
    <w:rsid w:val="00506D9F"/>
    <w:rsid w:val="00507F98"/>
    <w:rsid w:val="005108A3"/>
    <w:rsid w:val="00510DB5"/>
    <w:rsid w:val="00510F6E"/>
    <w:rsid w:val="00511422"/>
    <w:rsid w:val="005118AE"/>
    <w:rsid w:val="0051212F"/>
    <w:rsid w:val="005128B3"/>
    <w:rsid w:val="005140C9"/>
    <w:rsid w:val="0051587A"/>
    <w:rsid w:val="005158FA"/>
    <w:rsid w:val="005169AD"/>
    <w:rsid w:val="005208B9"/>
    <w:rsid w:val="00520A91"/>
    <w:rsid w:val="005221F0"/>
    <w:rsid w:val="00524807"/>
    <w:rsid w:val="005252FE"/>
    <w:rsid w:val="005257A1"/>
    <w:rsid w:val="00525FF9"/>
    <w:rsid w:val="005307A6"/>
    <w:rsid w:val="00531542"/>
    <w:rsid w:val="00532C41"/>
    <w:rsid w:val="00532D3F"/>
    <w:rsid w:val="0053386D"/>
    <w:rsid w:val="00534700"/>
    <w:rsid w:val="0053791F"/>
    <w:rsid w:val="005448F7"/>
    <w:rsid w:val="00546622"/>
    <w:rsid w:val="00547538"/>
    <w:rsid w:val="00553BFA"/>
    <w:rsid w:val="005547AA"/>
    <w:rsid w:val="00554D05"/>
    <w:rsid w:val="00554FBA"/>
    <w:rsid w:val="0055596B"/>
    <w:rsid w:val="005574AA"/>
    <w:rsid w:val="0056077E"/>
    <w:rsid w:val="00560EDA"/>
    <w:rsid w:val="005629EE"/>
    <w:rsid w:val="005648FA"/>
    <w:rsid w:val="00564D50"/>
    <w:rsid w:val="00567346"/>
    <w:rsid w:val="0057371B"/>
    <w:rsid w:val="00575EB8"/>
    <w:rsid w:val="0057613A"/>
    <w:rsid w:val="00581F43"/>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46F1"/>
    <w:rsid w:val="005C4E4F"/>
    <w:rsid w:val="005C5660"/>
    <w:rsid w:val="005C71E4"/>
    <w:rsid w:val="005C72E3"/>
    <w:rsid w:val="005D11B2"/>
    <w:rsid w:val="005D4B68"/>
    <w:rsid w:val="005E11C1"/>
    <w:rsid w:val="005E1EC4"/>
    <w:rsid w:val="005E2563"/>
    <w:rsid w:val="005E394C"/>
    <w:rsid w:val="005E42BF"/>
    <w:rsid w:val="005E4E70"/>
    <w:rsid w:val="005E65BB"/>
    <w:rsid w:val="005F0DA0"/>
    <w:rsid w:val="005F2767"/>
    <w:rsid w:val="005F34CB"/>
    <w:rsid w:val="005F4790"/>
    <w:rsid w:val="005F4914"/>
    <w:rsid w:val="005F62B7"/>
    <w:rsid w:val="005F67FC"/>
    <w:rsid w:val="005F6869"/>
    <w:rsid w:val="005F6BB9"/>
    <w:rsid w:val="005F7C2F"/>
    <w:rsid w:val="00601BE3"/>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5FEC"/>
    <w:rsid w:val="0063753F"/>
    <w:rsid w:val="00637B41"/>
    <w:rsid w:val="006414EE"/>
    <w:rsid w:val="00642524"/>
    <w:rsid w:val="00642D0A"/>
    <w:rsid w:val="0064630E"/>
    <w:rsid w:val="00646FE1"/>
    <w:rsid w:val="00647075"/>
    <w:rsid w:val="006506B0"/>
    <w:rsid w:val="00651CB2"/>
    <w:rsid w:val="0065581D"/>
    <w:rsid w:val="00655C2F"/>
    <w:rsid w:val="0065659B"/>
    <w:rsid w:val="00657626"/>
    <w:rsid w:val="00660403"/>
    <w:rsid w:val="00661140"/>
    <w:rsid w:val="006710DD"/>
    <w:rsid w:val="00671FC9"/>
    <w:rsid w:val="00673200"/>
    <w:rsid w:val="00674492"/>
    <w:rsid w:val="0067501E"/>
    <w:rsid w:val="00675CDA"/>
    <w:rsid w:val="006773D2"/>
    <w:rsid w:val="00680581"/>
    <w:rsid w:val="00680A56"/>
    <w:rsid w:val="00681A41"/>
    <w:rsid w:val="006821B2"/>
    <w:rsid w:val="006838C0"/>
    <w:rsid w:val="00685856"/>
    <w:rsid w:val="00685901"/>
    <w:rsid w:val="00685BB9"/>
    <w:rsid w:val="00687E06"/>
    <w:rsid w:val="00690127"/>
    <w:rsid w:val="00691BFF"/>
    <w:rsid w:val="00691D72"/>
    <w:rsid w:val="006953C1"/>
    <w:rsid w:val="00696EB2"/>
    <w:rsid w:val="0069741A"/>
    <w:rsid w:val="006A0DEA"/>
    <w:rsid w:val="006A16E9"/>
    <w:rsid w:val="006A5450"/>
    <w:rsid w:val="006B0199"/>
    <w:rsid w:val="006B0A32"/>
    <w:rsid w:val="006B0BD8"/>
    <w:rsid w:val="006B4557"/>
    <w:rsid w:val="006B6865"/>
    <w:rsid w:val="006C0251"/>
    <w:rsid w:val="006C0320"/>
    <w:rsid w:val="006C21D4"/>
    <w:rsid w:val="006C2B9A"/>
    <w:rsid w:val="006C3553"/>
    <w:rsid w:val="006C39BB"/>
    <w:rsid w:val="006C4502"/>
    <w:rsid w:val="006C6114"/>
    <w:rsid w:val="006D2288"/>
    <w:rsid w:val="006D306A"/>
    <w:rsid w:val="006D4464"/>
    <w:rsid w:val="006D5E91"/>
    <w:rsid w:val="006D663E"/>
    <w:rsid w:val="006D7E87"/>
    <w:rsid w:val="006E14E6"/>
    <w:rsid w:val="006E1AEE"/>
    <w:rsid w:val="006E2F52"/>
    <w:rsid w:val="006E32A9"/>
    <w:rsid w:val="006E3B9C"/>
    <w:rsid w:val="006E51A2"/>
    <w:rsid w:val="006E70A7"/>
    <w:rsid w:val="006E737D"/>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271"/>
    <w:rsid w:val="00733D54"/>
    <w:rsid w:val="00734CEE"/>
    <w:rsid w:val="00736A4F"/>
    <w:rsid w:val="00737753"/>
    <w:rsid w:val="00737768"/>
    <w:rsid w:val="00737FFA"/>
    <w:rsid w:val="00740BB8"/>
    <w:rsid w:val="00740CE9"/>
    <w:rsid w:val="007419BC"/>
    <w:rsid w:val="007428E3"/>
    <w:rsid w:val="0074394E"/>
    <w:rsid w:val="0074422D"/>
    <w:rsid w:val="007475E0"/>
    <w:rsid w:val="00750D0A"/>
    <w:rsid w:val="00751D93"/>
    <w:rsid w:val="00752300"/>
    <w:rsid w:val="00753BF5"/>
    <w:rsid w:val="00753E8E"/>
    <w:rsid w:val="007546F8"/>
    <w:rsid w:val="0075579B"/>
    <w:rsid w:val="00755BAB"/>
    <w:rsid w:val="0076080E"/>
    <w:rsid w:val="0076411D"/>
    <w:rsid w:val="00765276"/>
    <w:rsid w:val="0076643E"/>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AB4"/>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033"/>
    <w:rsid w:val="007B6659"/>
    <w:rsid w:val="007B6C39"/>
    <w:rsid w:val="007B76AB"/>
    <w:rsid w:val="007B7DBD"/>
    <w:rsid w:val="007C09EA"/>
    <w:rsid w:val="007C264B"/>
    <w:rsid w:val="007C45D3"/>
    <w:rsid w:val="007C597B"/>
    <w:rsid w:val="007C760C"/>
    <w:rsid w:val="007D08FD"/>
    <w:rsid w:val="007D124C"/>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320"/>
    <w:rsid w:val="00816C51"/>
    <w:rsid w:val="00821865"/>
    <w:rsid w:val="008225EB"/>
    <w:rsid w:val="0082327D"/>
    <w:rsid w:val="0082433D"/>
    <w:rsid w:val="00825838"/>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44B7"/>
    <w:rsid w:val="008770D4"/>
    <w:rsid w:val="008800E5"/>
    <w:rsid w:val="0088127F"/>
    <w:rsid w:val="008815EF"/>
    <w:rsid w:val="00883ED5"/>
    <w:rsid w:val="00884C14"/>
    <w:rsid w:val="00885273"/>
    <w:rsid w:val="00885F2C"/>
    <w:rsid w:val="00886386"/>
    <w:rsid w:val="0088701C"/>
    <w:rsid w:val="00892459"/>
    <w:rsid w:val="008929AA"/>
    <w:rsid w:val="00892AA5"/>
    <w:rsid w:val="00892B79"/>
    <w:rsid w:val="0089300F"/>
    <w:rsid w:val="0089499B"/>
    <w:rsid w:val="00894ACA"/>
    <w:rsid w:val="00894EC5"/>
    <w:rsid w:val="00896357"/>
    <w:rsid w:val="00896658"/>
    <w:rsid w:val="008967B5"/>
    <w:rsid w:val="008A03AC"/>
    <w:rsid w:val="008A1008"/>
    <w:rsid w:val="008A305C"/>
    <w:rsid w:val="008A345A"/>
    <w:rsid w:val="008A3DB9"/>
    <w:rsid w:val="008A6A5C"/>
    <w:rsid w:val="008A6B0C"/>
    <w:rsid w:val="008A7316"/>
    <w:rsid w:val="008B4A1C"/>
    <w:rsid w:val="008B500A"/>
    <w:rsid w:val="008C0873"/>
    <w:rsid w:val="008C090B"/>
    <w:rsid w:val="008C1610"/>
    <w:rsid w:val="008C2F1E"/>
    <w:rsid w:val="008C30E5"/>
    <w:rsid w:val="008C3B5B"/>
    <w:rsid w:val="008C409F"/>
    <w:rsid w:val="008C4858"/>
    <w:rsid w:val="008C602D"/>
    <w:rsid w:val="008C6BCC"/>
    <w:rsid w:val="008C7CB9"/>
    <w:rsid w:val="008D098D"/>
    <w:rsid w:val="008D135A"/>
    <w:rsid w:val="008D2205"/>
    <w:rsid w:val="008D2331"/>
    <w:rsid w:val="008D2C9D"/>
    <w:rsid w:val="008D347F"/>
    <w:rsid w:val="008D35AD"/>
    <w:rsid w:val="008D36CD"/>
    <w:rsid w:val="008D4380"/>
    <w:rsid w:val="008D48D1"/>
    <w:rsid w:val="008D6BE8"/>
    <w:rsid w:val="008E27E9"/>
    <w:rsid w:val="008E42DE"/>
    <w:rsid w:val="008E5677"/>
    <w:rsid w:val="008E7D1A"/>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3FF9"/>
    <w:rsid w:val="00927791"/>
    <w:rsid w:val="00930607"/>
    <w:rsid w:val="00930D0A"/>
    <w:rsid w:val="009329BA"/>
    <w:rsid w:val="00932FAC"/>
    <w:rsid w:val="0093304D"/>
    <w:rsid w:val="00934E99"/>
    <w:rsid w:val="00936939"/>
    <w:rsid w:val="0094053B"/>
    <w:rsid w:val="00942040"/>
    <w:rsid w:val="009427BD"/>
    <w:rsid w:val="00942C9F"/>
    <w:rsid w:val="00942E1D"/>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76789"/>
    <w:rsid w:val="00980FE0"/>
    <w:rsid w:val="00985F8B"/>
    <w:rsid w:val="00990B70"/>
    <w:rsid w:val="00990C3B"/>
    <w:rsid w:val="00991CBD"/>
    <w:rsid w:val="009921E6"/>
    <w:rsid w:val="009928B7"/>
    <w:rsid w:val="0099321A"/>
    <w:rsid w:val="009947E8"/>
    <w:rsid w:val="009960B7"/>
    <w:rsid w:val="009963FB"/>
    <w:rsid w:val="00996F08"/>
    <w:rsid w:val="009972FE"/>
    <w:rsid w:val="009B536C"/>
    <w:rsid w:val="009B5C19"/>
    <w:rsid w:val="009B6496"/>
    <w:rsid w:val="009C01DA"/>
    <w:rsid w:val="009C1528"/>
    <w:rsid w:val="009C20CC"/>
    <w:rsid w:val="009C2BDF"/>
    <w:rsid w:val="009C3558"/>
    <w:rsid w:val="009C562E"/>
    <w:rsid w:val="009C5E44"/>
    <w:rsid w:val="009C6295"/>
    <w:rsid w:val="009C7531"/>
    <w:rsid w:val="009D220C"/>
    <w:rsid w:val="009D221F"/>
    <w:rsid w:val="009D2E9C"/>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24A"/>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45C2"/>
    <w:rsid w:val="00A85357"/>
    <w:rsid w:val="00A856B8"/>
    <w:rsid w:val="00A86A99"/>
    <w:rsid w:val="00A871E5"/>
    <w:rsid w:val="00A902DD"/>
    <w:rsid w:val="00A912C2"/>
    <w:rsid w:val="00A91600"/>
    <w:rsid w:val="00A91617"/>
    <w:rsid w:val="00A93C1C"/>
    <w:rsid w:val="00A96FA8"/>
    <w:rsid w:val="00A9770A"/>
    <w:rsid w:val="00AA0A43"/>
    <w:rsid w:val="00AA0DD3"/>
    <w:rsid w:val="00AA1C07"/>
    <w:rsid w:val="00AA3688"/>
    <w:rsid w:val="00AA4006"/>
    <w:rsid w:val="00AA5887"/>
    <w:rsid w:val="00AB07F9"/>
    <w:rsid w:val="00AB19F8"/>
    <w:rsid w:val="00AB2A61"/>
    <w:rsid w:val="00AB3A12"/>
    <w:rsid w:val="00AB5A8D"/>
    <w:rsid w:val="00AB6642"/>
    <w:rsid w:val="00AC26A9"/>
    <w:rsid w:val="00AC2EFE"/>
    <w:rsid w:val="00AC3930"/>
    <w:rsid w:val="00AC3AB1"/>
    <w:rsid w:val="00AC68C6"/>
    <w:rsid w:val="00AC7612"/>
    <w:rsid w:val="00AC79C1"/>
    <w:rsid w:val="00AC7B39"/>
    <w:rsid w:val="00AC7CA4"/>
    <w:rsid w:val="00AD1146"/>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2B"/>
    <w:rsid w:val="00AE4FAC"/>
    <w:rsid w:val="00AE5336"/>
    <w:rsid w:val="00AE5525"/>
    <w:rsid w:val="00AE6381"/>
    <w:rsid w:val="00AE656F"/>
    <w:rsid w:val="00AE7D78"/>
    <w:rsid w:val="00AF41F6"/>
    <w:rsid w:val="00AF438E"/>
    <w:rsid w:val="00AF45CA"/>
    <w:rsid w:val="00AF5CEE"/>
    <w:rsid w:val="00AF7506"/>
    <w:rsid w:val="00B007DD"/>
    <w:rsid w:val="00B0098A"/>
    <w:rsid w:val="00B01016"/>
    <w:rsid w:val="00B0146E"/>
    <w:rsid w:val="00B01F65"/>
    <w:rsid w:val="00B02160"/>
    <w:rsid w:val="00B027CB"/>
    <w:rsid w:val="00B0352B"/>
    <w:rsid w:val="00B073E6"/>
    <w:rsid w:val="00B074F8"/>
    <w:rsid w:val="00B11A3D"/>
    <w:rsid w:val="00B121B0"/>
    <w:rsid w:val="00B13B87"/>
    <w:rsid w:val="00B16AA3"/>
    <w:rsid w:val="00B17FAB"/>
    <w:rsid w:val="00B21BE7"/>
    <w:rsid w:val="00B22C5F"/>
    <w:rsid w:val="00B23687"/>
    <w:rsid w:val="00B25710"/>
    <w:rsid w:val="00B25EC8"/>
    <w:rsid w:val="00B269A5"/>
    <w:rsid w:val="00B27B03"/>
    <w:rsid w:val="00B31B62"/>
    <w:rsid w:val="00B3208E"/>
    <w:rsid w:val="00B33711"/>
    <w:rsid w:val="00B3421E"/>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55C8E"/>
    <w:rsid w:val="00B57AE2"/>
    <w:rsid w:val="00B608E0"/>
    <w:rsid w:val="00B60CCD"/>
    <w:rsid w:val="00B62854"/>
    <w:rsid w:val="00B62EF1"/>
    <w:rsid w:val="00B640CC"/>
    <w:rsid w:val="00B644CE"/>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087A"/>
    <w:rsid w:val="00B92AA5"/>
    <w:rsid w:val="00B93904"/>
    <w:rsid w:val="00B955FE"/>
    <w:rsid w:val="00B96744"/>
    <w:rsid w:val="00BA0B9F"/>
    <w:rsid w:val="00BA3287"/>
    <w:rsid w:val="00BA6419"/>
    <w:rsid w:val="00BA6550"/>
    <w:rsid w:val="00BB3642"/>
    <w:rsid w:val="00BB46EA"/>
    <w:rsid w:val="00BB4A3B"/>
    <w:rsid w:val="00BB59F6"/>
    <w:rsid w:val="00BB5EF0"/>
    <w:rsid w:val="00BB66AB"/>
    <w:rsid w:val="00BB7BBA"/>
    <w:rsid w:val="00BC0AD6"/>
    <w:rsid w:val="00BC122E"/>
    <w:rsid w:val="00BC3584"/>
    <w:rsid w:val="00BC5838"/>
    <w:rsid w:val="00BC6DC2"/>
    <w:rsid w:val="00BD03D3"/>
    <w:rsid w:val="00BD0E2E"/>
    <w:rsid w:val="00BD13F4"/>
    <w:rsid w:val="00BD3806"/>
    <w:rsid w:val="00BE0318"/>
    <w:rsid w:val="00BE442D"/>
    <w:rsid w:val="00BE4ED6"/>
    <w:rsid w:val="00BE5168"/>
    <w:rsid w:val="00BE54F3"/>
    <w:rsid w:val="00BE5F67"/>
    <w:rsid w:val="00BE7920"/>
    <w:rsid w:val="00BF0A4A"/>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3DF3"/>
    <w:rsid w:val="00C14954"/>
    <w:rsid w:val="00C152EA"/>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B87"/>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6DE7"/>
    <w:rsid w:val="00C7716A"/>
    <w:rsid w:val="00C8136C"/>
    <w:rsid w:val="00C82651"/>
    <w:rsid w:val="00C82FAC"/>
    <w:rsid w:val="00C82FFA"/>
    <w:rsid w:val="00C84032"/>
    <w:rsid w:val="00C84A1B"/>
    <w:rsid w:val="00C85521"/>
    <w:rsid w:val="00C856C0"/>
    <w:rsid w:val="00C85C50"/>
    <w:rsid w:val="00C863EE"/>
    <w:rsid w:val="00C92646"/>
    <w:rsid w:val="00C9316A"/>
    <w:rsid w:val="00C937E7"/>
    <w:rsid w:val="00C93B5E"/>
    <w:rsid w:val="00C9479C"/>
    <w:rsid w:val="00C95D8D"/>
    <w:rsid w:val="00C97C7F"/>
    <w:rsid w:val="00CA2283"/>
    <w:rsid w:val="00CA2AEF"/>
    <w:rsid w:val="00CA2CA3"/>
    <w:rsid w:val="00CA325F"/>
    <w:rsid w:val="00CA33B8"/>
    <w:rsid w:val="00CA6DD8"/>
    <w:rsid w:val="00CA7F51"/>
    <w:rsid w:val="00CB1582"/>
    <w:rsid w:val="00CB22B7"/>
    <w:rsid w:val="00CB31DA"/>
    <w:rsid w:val="00CB5032"/>
    <w:rsid w:val="00CB7DF6"/>
    <w:rsid w:val="00CC303F"/>
    <w:rsid w:val="00CC3C96"/>
    <w:rsid w:val="00CD077C"/>
    <w:rsid w:val="00CD342A"/>
    <w:rsid w:val="00CD3940"/>
    <w:rsid w:val="00CE2F14"/>
    <w:rsid w:val="00CE37AD"/>
    <w:rsid w:val="00CE52B8"/>
    <w:rsid w:val="00CE6A0B"/>
    <w:rsid w:val="00CE7BF6"/>
    <w:rsid w:val="00CF0950"/>
    <w:rsid w:val="00CF3B07"/>
    <w:rsid w:val="00CF4C13"/>
    <w:rsid w:val="00CF62E0"/>
    <w:rsid w:val="00CF6384"/>
    <w:rsid w:val="00CF6902"/>
    <w:rsid w:val="00D02B8F"/>
    <w:rsid w:val="00D0401F"/>
    <w:rsid w:val="00D04C29"/>
    <w:rsid w:val="00D06944"/>
    <w:rsid w:val="00D06E88"/>
    <w:rsid w:val="00D105AE"/>
    <w:rsid w:val="00D11F90"/>
    <w:rsid w:val="00D12D4F"/>
    <w:rsid w:val="00D13527"/>
    <w:rsid w:val="00D15E4E"/>
    <w:rsid w:val="00D17601"/>
    <w:rsid w:val="00D20360"/>
    <w:rsid w:val="00D20421"/>
    <w:rsid w:val="00D20D6E"/>
    <w:rsid w:val="00D21300"/>
    <w:rsid w:val="00D22F7B"/>
    <w:rsid w:val="00D230DC"/>
    <w:rsid w:val="00D2583E"/>
    <w:rsid w:val="00D261CD"/>
    <w:rsid w:val="00D26C9A"/>
    <w:rsid w:val="00D303E8"/>
    <w:rsid w:val="00D31BA6"/>
    <w:rsid w:val="00D335E1"/>
    <w:rsid w:val="00D3545E"/>
    <w:rsid w:val="00D35FEA"/>
    <w:rsid w:val="00D366E4"/>
    <w:rsid w:val="00D41131"/>
    <w:rsid w:val="00D423AC"/>
    <w:rsid w:val="00D42D73"/>
    <w:rsid w:val="00D44B15"/>
    <w:rsid w:val="00D44DC6"/>
    <w:rsid w:val="00D476EA"/>
    <w:rsid w:val="00D514E5"/>
    <w:rsid w:val="00D53589"/>
    <w:rsid w:val="00D539D5"/>
    <w:rsid w:val="00D544D5"/>
    <w:rsid w:val="00D54642"/>
    <w:rsid w:val="00D553BB"/>
    <w:rsid w:val="00D57897"/>
    <w:rsid w:val="00D602DE"/>
    <w:rsid w:val="00D6096A"/>
    <w:rsid w:val="00D60ABE"/>
    <w:rsid w:val="00D60CE5"/>
    <w:rsid w:val="00D61811"/>
    <w:rsid w:val="00D63F9F"/>
    <w:rsid w:val="00D646D3"/>
    <w:rsid w:val="00D662F2"/>
    <w:rsid w:val="00D665F1"/>
    <w:rsid w:val="00D6711E"/>
    <w:rsid w:val="00D67D5D"/>
    <w:rsid w:val="00D72411"/>
    <w:rsid w:val="00D730D4"/>
    <w:rsid w:val="00D73B08"/>
    <w:rsid w:val="00D80127"/>
    <w:rsid w:val="00D804E2"/>
    <w:rsid w:val="00D805D1"/>
    <w:rsid w:val="00D81FB3"/>
    <w:rsid w:val="00D82FD7"/>
    <w:rsid w:val="00D84FA6"/>
    <w:rsid w:val="00D85C5F"/>
    <w:rsid w:val="00D85ECC"/>
    <w:rsid w:val="00D864C7"/>
    <w:rsid w:val="00D86EB7"/>
    <w:rsid w:val="00D87DBE"/>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6740"/>
    <w:rsid w:val="00DA7457"/>
    <w:rsid w:val="00DB076A"/>
    <w:rsid w:val="00DB1083"/>
    <w:rsid w:val="00DB1B31"/>
    <w:rsid w:val="00DB2995"/>
    <w:rsid w:val="00DB2ED0"/>
    <w:rsid w:val="00DB38F0"/>
    <w:rsid w:val="00DB3EE8"/>
    <w:rsid w:val="00DB4701"/>
    <w:rsid w:val="00DB4E76"/>
    <w:rsid w:val="00DB59C0"/>
    <w:rsid w:val="00DC0146"/>
    <w:rsid w:val="00DC023B"/>
    <w:rsid w:val="00DC03EE"/>
    <w:rsid w:val="00DC36B8"/>
    <w:rsid w:val="00DC3A74"/>
    <w:rsid w:val="00DC53F2"/>
    <w:rsid w:val="00DC6B01"/>
    <w:rsid w:val="00DC7797"/>
    <w:rsid w:val="00DC7E53"/>
    <w:rsid w:val="00DD078A"/>
    <w:rsid w:val="00DD1737"/>
    <w:rsid w:val="00DD34E1"/>
    <w:rsid w:val="00DD4191"/>
    <w:rsid w:val="00DD45E7"/>
    <w:rsid w:val="00DD5FF5"/>
    <w:rsid w:val="00DD71F6"/>
    <w:rsid w:val="00DD7667"/>
    <w:rsid w:val="00DD777C"/>
    <w:rsid w:val="00DE0D2F"/>
    <w:rsid w:val="00DE0D75"/>
    <w:rsid w:val="00DE19EB"/>
    <w:rsid w:val="00DE3AA9"/>
    <w:rsid w:val="00DE5B0F"/>
    <w:rsid w:val="00DE6056"/>
    <w:rsid w:val="00DE71AC"/>
    <w:rsid w:val="00DF0FE3"/>
    <w:rsid w:val="00DF2CB1"/>
    <w:rsid w:val="00DF69F9"/>
    <w:rsid w:val="00E02579"/>
    <w:rsid w:val="00E02B50"/>
    <w:rsid w:val="00E04B3F"/>
    <w:rsid w:val="00E060C1"/>
    <w:rsid w:val="00E06B1E"/>
    <w:rsid w:val="00E07787"/>
    <w:rsid w:val="00E10AAF"/>
    <w:rsid w:val="00E11D49"/>
    <w:rsid w:val="00E13538"/>
    <w:rsid w:val="00E147D5"/>
    <w:rsid w:val="00E14C0E"/>
    <w:rsid w:val="00E16642"/>
    <w:rsid w:val="00E1787C"/>
    <w:rsid w:val="00E2249E"/>
    <w:rsid w:val="00E22B76"/>
    <w:rsid w:val="00E234F1"/>
    <w:rsid w:val="00E241ED"/>
    <w:rsid w:val="00E24E3A"/>
    <w:rsid w:val="00E25AF8"/>
    <w:rsid w:val="00E26C55"/>
    <w:rsid w:val="00E26F6C"/>
    <w:rsid w:val="00E31BD0"/>
    <w:rsid w:val="00E342EE"/>
    <w:rsid w:val="00E348EA"/>
    <w:rsid w:val="00E34CA3"/>
    <w:rsid w:val="00E35C4A"/>
    <w:rsid w:val="00E37A0F"/>
    <w:rsid w:val="00E37DA6"/>
    <w:rsid w:val="00E37FE3"/>
    <w:rsid w:val="00E40EB7"/>
    <w:rsid w:val="00E43AAA"/>
    <w:rsid w:val="00E44C62"/>
    <w:rsid w:val="00E5275F"/>
    <w:rsid w:val="00E5387C"/>
    <w:rsid w:val="00E54953"/>
    <w:rsid w:val="00E54EF2"/>
    <w:rsid w:val="00E5698F"/>
    <w:rsid w:val="00E6077A"/>
    <w:rsid w:val="00E60DC5"/>
    <w:rsid w:val="00E63559"/>
    <w:rsid w:val="00E66349"/>
    <w:rsid w:val="00E67180"/>
    <w:rsid w:val="00E676E2"/>
    <w:rsid w:val="00E738F9"/>
    <w:rsid w:val="00E74FA5"/>
    <w:rsid w:val="00E756A8"/>
    <w:rsid w:val="00E76032"/>
    <w:rsid w:val="00E768F2"/>
    <w:rsid w:val="00E77E9E"/>
    <w:rsid w:val="00E81DED"/>
    <w:rsid w:val="00E82316"/>
    <w:rsid w:val="00E825B3"/>
    <w:rsid w:val="00E83919"/>
    <w:rsid w:val="00E83F5D"/>
    <w:rsid w:val="00E849DE"/>
    <w:rsid w:val="00E85948"/>
    <w:rsid w:val="00E86536"/>
    <w:rsid w:val="00E909EB"/>
    <w:rsid w:val="00E910E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54"/>
    <w:rsid w:val="00EC0E71"/>
    <w:rsid w:val="00EC3BBA"/>
    <w:rsid w:val="00ED2139"/>
    <w:rsid w:val="00ED5A83"/>
    <w:rsid w:val="00ED613A"/>
    <w:rsid w:val="00ED6CFA"/>
    <w:rsid w:val="00ED6D53"/>
    <w:rsid w:val="00EE029C"/>
    <w:rsid w:val="00EE1855"/>
    <w:rsid w:val="00EE1E1F"/>
    <w:rsid w:val="00EE2B68"/>
    <w:rsid w:val="00EE3733"/>
    <w:rsid w:val="00EE395E"/>
    <w:rsid w:val="00EE5981"/>
    <w:rsid w:val="00EE6D70"/>
    <w:rsid w:val="00EF1386"/>
    <w:rsid w:val="00EF2491"/>
    <w:rsid w:val="00EF256B"/>
    <w:rsid w:val="00EF5277"/>
    <w:rsid w:val="00EF5CAD"/>
    <w:rsid w:val="00EF611F"/>
    <w:rsid w:val="00EF76E1"/>
    <w:rsid w:val="00F029AF"/>
    <w:rsid w:val="00F04099"/>
    <w:rsid w:val="00F05B66"/>
    <w:rsid w:val="00F1030E"/>
    <w:rsid w:val="00F10925"/>
    <w:rsid w:val="00F11795"/>
    <w:rsid w:val="00F12F6C"/>
    <w:rsid w:val="00F13DAE"/>
    <w:rsid w:val="00F157D8"/>
    <w:rsid w:val="00F201AD"/>
    <w:rsid w:val="00F21481"/>
    <w:rsid w:val="00F21B21"/>
    <w:rsid w:val="00F222BB"/>
    <w:rsid w:val="00F2491A"/>
    <w:rsid w:val="00F24EF6"/>
    <w:rsid w:val="00F254E4"/>
    <w:rsid w:val="00F26942"/>
    <w:rsid w:val="00F26AAB"/>
    <w:rsid w:val="00F26F5D"/>
    <w:rsid w:val="00F3381E"/>
    <w:rsid w:val="00F34C92"/>
    <w:rsid w:val="00F35D19"/>
    <w:rsid w:val="00F377AE"/>
    <w:rsid w:val="00F41269"/>
    <w:rsid w:val="00F41319"/>
    <w:rsid w:val="00F41C19"/>
    <w:rsid w:val="00F44B13"/>
    <w:rsid w:val="00F45BE7"/>
    <w:rsid w:val="00F463D7"/>
    <w:rsid w:val="00F50163"/>
    <w:rsid w:val="00F510E2"/>
    <w:rsid w:val="00F515F1"/>
    <w:rsid w:val="00F5273A"/>
    <w:rsid w:val="00F52D6B"/>
    <w:rsid w:val="00F52E18"/>
    <w:rsid w:val="00F535E2"/>
    <w:rsid w:val="00F541F3"/>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CAA"/>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0D4E"/>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1CD"/>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8F3C2"/>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rmalWeb">
    <w:name w:val="Normal (Web)"/>
    <w:basedOn w:val="Normal"/>
    <w:uiPriority w:val="99"/>
    <w:unhideWhenUsed/>
    <w:rsid w:val="001F0DB1"/>
    <w:pPr>
      <w:tabs>
        <w:tab w:val="clear" w:pos="567"/>
      </w:tabs>
      <w:spacing w:before="100" w:beforeAutospacing="1" w:after="100" w:afterAutospacing="1" w:line="240" w:lineRule="auto"/>
    </w:pPr>
    <w:rPr>
      <w:sz w:val="24"/>
      <w:szCs w:val="24"/>
      <w:lang w:val="sl-SI" w:eastAsia="sl-SI"/>
    </w:rPr>
  </w:style>
  <w:style w:type="paragraph" w:styleId="NoSpacing">
    <w:name w:val="No Spacing"/>
    <w:uiPriority w:val="1"/>
    <w:qFormat/>
    <w:rsid w:val="00467FEA"/>
    <w:rPr>
      <w:rFonts w:eastAsia="Times New Roman"/>
      <w:sz w:val="24"/>
    </w:rPr>
  </w:style>
  <w:style w:type="paragraph" w:styleId="ListParagraph">
    <w:name w:val="List Paragraph"/>
    <w:basedOn w:val="Normal"/>
    <w:uiPriority w:val="34"/>
    <w:qFormat/>
    <w:rsid w:val="0065659B"/>
    <w:pPr>
      <w:tabs>
        <w:tab w:val="clear" w:pos="567"/>
      </w:tabs>
      <w:spacing w:line="240" w:lineRule="auto"/>
      <w:ind w:left="720"/>
      <w:contextualSpacing/>
    </w:pPr>
    <w:rPr>
      <w:rFonts w:ascii="Times" w:hAnsi="Times"/>
      <w:sz w:val="24"/>
      <w:lang w:eastAsia="sl-SI"/>
    </w:rPr>
  </w:style>
  <w:style w:type="table" w:styleId="TableGrid">
    <w:name w:val="Table Grid"/>
    <w:basedOn w:val="TableNormal"/>
    <w:rsid w:val="00B608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85C50"/>
    <w:pPr>
      <w:spacing w:after="120" w:line="480" w:lineRule="auto"/>
    </w:pPr>
  </w:style>
  <w:style w:type="character" w:customStyle="1" w:styleId="BodyText2Char">
    <w:name w:val="Body Text 2 Char"/>
    <w:link w:val="BodyText2"/>
    <w:rsid w:val="00C85C50"/>
    <w:rPr>
      <w:rFonts w:eastAsia="Times New Roman"/>
      <w:sz w:val="22"/>
      <w:lang w:val="en-GB" w:eastAsia="en-US"/>
    </w:rPr>
  </w:style>
  <w:style w:type="paragraph" w:customStyle="1" w:styleId="Default">
    <w:name w:val="Default"/>
    <w:rsid w:val="00C85C50"/>
    <w:pPr>
      <w:autoSpaceDE w:val="0"/>
      <w:autoSpaceDN w:val="0"/>
      <w:adjustRightInd w:val="0"/>
    </w:pPr>
    <w:rPr>
      <w:rFonts w:ascii="Verdana" w:eastAsia="Times New Roman" w:hAnsi="Verdana" w:cs="Verdana"/>
      <w:color w:val="000000"/>
      <w:sz w:val="24"/>
      <w:szCs w:val="24"/>
    </w:rPr>
  </w:style>
  <w:style w:type="character" w:customStyle="1" w:styleId="FooterChar">
    <w:name w:val="Footer Char"/>
    <w:basedOn w:val="DefaultParagraphFont"/>
    <w:link w:val="Footer"/>
    <w:uiPriority w:val="99"/>
    <w:rsid w:val="00DB076A"/>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33672">
      <w:bodyDiv w:val="1"/>
      <w:marLeft w:val="0"/>
      <w:marRight w:val="0"/>
      <w:marTop w:val="0"/>
      <w:marBottom w:val="0"/>
      <w:divBdr>
        <w:top w:val="none" w:sz="0" w:space="0" w:color="auto"/>
        <w:left w:val="none" w:sz="0" w:space="0" w:color="auto"/>
        <w:bottom w:val="none" w:sz="0" w:space="0" w:color="auto"/>
        <w:right w:val="none" w:sz="0" w:space="0" w:color="auto"/>
      </w:divBdr>
    </w:div>
    <w:div w:id="202338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3913</Words>
  <Characters>22308</Characters>
  <Application>Microsoft Office Word</Application>
  <DocSecurity>0</DocSecurity>
  <Lines>185</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Batinić</dc:creator>
  <cp:lastModifiedBy>Aleksandra Marijanović</cp:lastModifiedBy>
  <cp:revision>4</cp:revision>
  <dcterms:created xsi:type="dcterms:W3CDTF">2023-12-06T09:30:00Z</dcterms:created>
  <dcterms:modified xsi:type="dcterms:W3CDTF">2023-12-06T10:47:00Z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