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88A03" w14:textId="77777777" w:rsidR="007E533A" w:rsidRPr="00F47241" w:rsidRDefault="007E533A" w:rsidP="007E533A">
      <w:pPr>
        <w:rPr>
          <w:szCs w:val="22"/>
          <w:lang w:val="sr-Latn-ME"/>
        </w:rPr>
      </w:pPr>
    </w:p>
    <w:p w14:paraId="087374ED" w14:textId="77777777" w:rsidR="007E533A" w:rsidRPr="00F47241" w:rsidRDefault="007E533A" w:rsidP="007E533A">
      <w:pPr>
        <w:rPr>
          <w:b/>
          <w:bCs/>
          <w:iCs/>
          <w:szCs w:val="22"/>
          <w:u w:val="single"/>
          <w:lang w:val="sr-Latn-ME"/>
        </w:rPr>
      </w:pPr>
      <w:r w:rsidRPr="00F47241">
        <w:rPr>
          <w:b/>
          <w:bCs/>
          <w:iCs/>
          <w:szCs w:val="22"/>
          <w:lang w:val="sr-Latn-ME"/>
        </w:rPr>
        <w:t xml:space="preserve">                                            </w:t>
      </w:r>
      <w:r w:rsidRPr="00F47241">
        <w:rPr>
          <w:b/>
          <w:bCs/>
          <w:iCs/>
          <w:szCs w:val="22"/>
          <w:u w:val="single"/>
          <w:lang w:val="sr-Latn-ME"/>
        </w:rPr>
        <w:t>SAŽETAK KARAKTERISTIKA LIJEKA</w:t>
      </w:r>
    </w:p>
    <w:p w14:paraId="505967C9" w14:textId="77777777" w:rsidR="007E533A" w:rsidRPr="00F47241" w:rsidRDefault="007E533A" w:rsidP="007E533A">
      <w:pPr>
        <w:rPr>
          <w:szCs w:val="22"/>
          <w:lang w:val="sr-Latn-ME"/>
        </w:rPr>
      </w:pPr>
      <w:r w:rsidRPr="00F47241">
        <w:rPr>
          <w:szCs w:val="22"/>
          <w:lang w:val="sr-Latn-ME"/>
        </w:rPr>
        <w:t xml:space="preserve"> </w:t>
      </w:r>
    </w:p>
    <w:p w14:paraId="10EF72FF" w14:textId="77777777" w:rsidR="007E533A" w:rsidRPr="00F47241" w:rsidRDefault="007E533A" w:rsidP="007E533A">
      <w:pPr>
        <w:rPr>
          <w:szCs w:val="22"/>
          <w:lang w:val="sr-Latn-ME"/>
        </w:rPr>
      </w:pPr>
    </w:p>
    <w:p w14:paraId="4D1B6678" w14:textId="77777777" w:rsidR="007E533A" w:rsidRPr="00F47241" w:rsidRDefault="007E533A" w:rsidP="007E533A">
      <w:pPr>
        <w:pStyle w:val="NASLOV123"/>
        <w:spacing w:before="0" w:after="0"/>
        <w:jc w:val="both"/>
        <w:rPr>
          <w:lang w:val="sr-Latn-ME"/>
        </w:rPr>
      </w:pPr>
      <w:r w:rsidRPr="00F47241">
        <w:rPr>
          <w:lang w:val="sr-Latn-ME"/>
        </w:rPr>
        <w:t>1. NAZIV LIJEKA</w:t>
      </w:r>
    </w:p>
    <w:p w14:paraId="2F36EE86" w14:textId="77777777" w:rsidR="007E533A" w:rsidRPr="00F47241" w:rsidRDefault="007E533A" w:rsidP="007E533A">
      <w:pPr>
        <w:rPr>
          <w:bCs/>
          <w:szCs w:val="22"/>
          <w:lang w:val="sr-Latn-ME"/>
        </w:rPr>
      </w:pPr>
    </w:p>
    <w:p w14:paraId="696957DB" w14:textId="77777777" w:rsidR="007E533A" w:rsidRPr="00F47241" w:rsidRDefault="007E533A" w:rsidP="007E533A">
      <w:pPr>
        <w:rPr>
          <w:bCs/>
          <w:szCs w:val="22"/>
          <w:lang w:val="sr-Latn-ME"/>
        </w:rPr>
      </w:pPr>
      <w:r w:rsidRPr="00F47241">
        <w:rPr>
          <w:bCs/>
          <w:szCs w:val="22"/>
          <w:lang w:val="sr-Latn-ME"/>
        </w:rPr>
        <w:t xml:space="preserve">Cefazolina Qilu, 1 g, prašak za rastvor za injekciju/infuziju  </w:t>
      </w:r>
    </w:p>
    <w:p w14:paraId="095C49D9" w14:textId="77777777" w:rsidR="007E533A" w:rsidRPr="00F47241" w:rsidRDefault="007E533A" w:rsidP="007E533A">
      <w:pPr>
        <w:rPr>
          <w:szCs w:val="22"/>
          <w:lang w:val="sr-Latn-ME"/>
        </w:rPr>
      </w:pPr>
      <w:r w:rsidRPr="00F47241">
        <w:rPr>
          <w:szCs w:val="22"/>
          <w:lang w:val="sr-Latn-ME"/>
        </w:rPr>
        <w:t>INN: cefazolin</w:t>
      </w:r>
    </w:p>
    <w:p w14:paraId="3489C2C7" w14:textId="77777777" w:rsidR="007E533A" w:rsidRPr="00F47241" w:rsidRDefault="007E533A" w:rsidP="007E533A">
      <w:pPr>
        <w:pStyle w:val="NASLOV123"/>
        <w:spacing w:before="0" w:after="0"/>
        <w:jc w:val="both"/>
        <w:rPr>
          <w:lang w:val="sr-Latn-ME"/>
        </w:rPr>
      </w:pPr>
    </w:p>
    <w:p w14:paraId="240227EF" w14:textId="77777777" w:rsidR="007E533A" w:rsidRPr="00F47241" w:rsidRDefault="007E533A" w:rsidP="007E533A">
      <w:pPr>
        <w:pStyle w:val="NASLOV123"/>
        <w:spacing w:before="0" w:after="0"/>
        <w:jc w:val="both"/>
        <w:rPr>
          <w:lang w:val="sr-Latn-ME"/>
        </w:rPr>
      </w:pPr>
    </w:p>
    <w:p w14:paraId="01C2B4EC" w14:textId="77777777" w:rsidR="007E533A" w:rsidRPr="00F47241" w:rsidRDefault="007E533A" w:rsidP="007E533A">
      <w:pPr>
        <w:pStyle w:val="NASLOV123"/>
        <w:spacing w:before="0" w:after="0"/>
        <w:jc w:val="both"/>
        <w:rPr>
          <w:lang w:val="sr-Latn-ME"/>
        </w:rPr>
      </w:pPr>
      <w:r w:rsidRPr="00F47241">
        <w:rPr>
          <w:lang w:val="sr-Latn-ME"/>
        </w:rPr>
        <w:t>2. KVALITATIVNI I KVANTITATIVNI SASTAV</w:t>
      </w:r>
    </w:p>
    <w:p w14:paraId="25A384F2" w14:textId="77777777" w:rsidR="007E533A" w:rsidRPr="00F47241" w:rsidRDefault="007E533A" w:rsidP="007E533A">
      <w:pPr>
        <w:rPr>
          <w:szCs w:val="22"/>
          <w:lang w:val="sr-Latn-ME"/>
        </w:rPr>
      </w:pPr>
    </w:p>
    <w:p w14:paraId="0D300F23" w14:textId="77777777" w:rsidR="007E533A" w:rsidRPr="00F47241" w:rsidRDefault="007E533A" w:rsidP="007E533A">
      <w:pPr>
        <w:rPr>
          <w:szCs w:val="22"/>
          <w:lang w:val="sr-Latn-ME"/>
        </w:rPr>
      </w:pPr>
      <w:r w:rsidRPr="00F47241">
        <w:rPr>
          <w:szCs w:val="22"/>
          <w:lang w:val="sr-Latn-ME"/>
        </w:rPr>
        <w:t>Jedna bočica sadrži 1 g cefazolina u obliku cefazolin natrijuma.</w:t>
      </w:r>
    </w:p>
    <w:p w14:paraId="07C16651" w14:textId="77777777" w:rsidR="007E533A" w:rsidRPr="00F47241" w:rsidRDefault="007E533A" w:rsidP="007E533A">
      <w:pPr>
        <w:rPr>
          <w:szCs w:val="22"/>
          <w:lang w:val="sr-Latn-ME"/>
        </w:rPr>
      </w:pPr>
      <w:r w:rsidRPr="00F47241">
        <w:rPr>
          <w:szCs w:val="22"/>
          <w:lang w:val="sr-Latn-ME"/>
        </w:rPr>
        <w:t>Jedna bočica sadrži približno 2,2 mmol (50,6 mg) natrijuma.</w:t>
      </w:r>
    </w:p>
    <w:p w14:paraId="217EF889" w14:textId="77777777" w:rsidR="007E533A" w:rsidRPr="00F47241" w:rsidRDefault="007E533A" w:rsidP="007E533A">
      <w:pPr>
        <w:rPr>
          <w:szCs w:val="22"/>
          <w:lang w:val="sr-Latn-ME"/>
        </w:rPr>
      </w:pPr>
    </w:p>
    <w:p w14:paraId="1F1161B5" w14:textId="77777777" w:rsidR="007E533A" w:rsidRPr="00F47241" w:rsidRDefault="007E533A" w:rsidP="007E533A">
      <w:pPr>
        <w:rPr>
          <w:szCs w:val="22"/>
          <w:lang w:val="sr-Latn-ME"/>
        </w:rPr>
      </w:pPr>
      <w:r w:rsidRPr="00F47241">
        <w:rPr>
          <w:szCs w:val="22"/>
          <w:lang w:val="sr-Latn-ME"/>
        </w:rPr>
        <w:t>Za spisak svih ekscipijenasa, pogledati dio 6.1.</w:t>
      </w:r>
    </w:p>
    <w:p w14:paraId="78DE3098" w14:textId="77777777" w:rsidR="007E533A" w:rsidRPr="00F47241" w:rsidRDefault="007E533A" w:rsidP="007E533A">
      <w:pPr>
        <w:pStyle w:val="NASLOV123"/>
        <w:spacing w:before="0" w:after="0"/>
        <w:jc w:val="both"/>
        <w:rPr>
          <w:lang w:val="sr-Latn-ME"/>
        </w:rPr>
      </w:pPr>
    </w:p>
    <w:p w14:paraId="7EFB413C" w14:textId="77777777" w:rsidR="007E533A" w:rsidRPr="00F47241" w:rsidRDefault="007E533A" w:rsidP="007E533A">
      <w:pPr>
        <w:pStyle w:val="NASLOV123"/>
        <w:spacing w:before="0" w:after="0"/>
        <w:jc w:val="both"/>
        <w:rPr>
          <w:lang w:val="sr-Latn-ME"/>
        </w:rPr>
      </w:pPr>
    </w:p>
    <w:p w14:paraId="08028B1E" w14:textId="77777777" w:rsidR="007E533A" w:rsidRPr="00F47241" w:rsidRDefault="007E533A" w:rsidP="007E533A">
      <w:pPr>
        <w:pStyle w:val="NASLOV123"/>
        <w:spacing w:before="0" w:after="0"/>
        <w:jc w:val="both"/>
        <w:rPr>
          <w:lang w:val="sr-Latn-ME"/>
        </w:rPr>
      </w:pPr>
      <w:r w:rsidRPr="00F47241">
        <w:rPr>
          <w:lang w:val="sr-Latn-ME"/>
        </w:rPr>
        <w:t>3. FARMACEUTSKI OBLIK</w:t>
      </w:r>
    </w:p>
    <w:p w14:paraId="649FBC29" w14:textId="77777777" w:rsidR="007E533A" w:rsidRPr="00F47241" w:rsidRDefault="007E533A" w:rsidP="007E533A">
      <w:pPr>
        <w:rPr>
          <w:szCs w:val="22"/>
          <w:lang w:val="sr-Latn-ME"/>
        </w:rPr>
      </w:pPr>
    </w:p>
    <w:p w14:paraId="5F026EEC" w14:textId="77777777" w:rsidR="007E533A" w:rsidRPr="00F47241" w:rsidRDefault="007E533A" w:rsidP="007E533A">
      <w:pPr>
        <w:rPr>
          <w:szCs w:val="22"/>
          <w:lang w:val="sr-Latn-ME"/>
        </w:rPr>
      </w:pPr>
      <w:r w:rsidRPr="00F47241">
        <w:rPr>
          <w:szCs w:val="22"/>
          <w:lang w:val="sr-Latn-ME"/>
        </w:rPr>
        <w:t>Prašak za rastvor za injekciju/infuziju.</w:t>
      </w:r>
    </w:p>
    <w:p w14:paraId="7B664180" w14:textId="77777777" w:rsidR="007E533A" w:rsidRPr="00F47241" w:rsidRDefault="007E533A" w:rsidP="007E533A">
      <w:pPr>
        <w:tabs>
          <w:tab w:val="right" w:pos="9639"/>
        </w:tabs>
        <w:rPr>
          <w:szCs w:val="22"/>
          <w:lang w:val="sr-Latn-ME"/>
        </w:rPr>
      </w:pPr>
      <w:r w:rsidRPr="00F47241">
        <w:rPr>
          <w:szCs w:val="22"/>
          <w:lang w:val="sr-Latn-ME"/>
        </w:rPr>
        <w:t>Bijeli ili skoro bijeli prašak.</w:t>
      </w:r>
    </w:p>
    <w:p w14:paraId="1CEBCFAD" w14:textId="77777777" w:rsidR="007E533A" w:rsidRPr="00F47241" w:rsidRDefault="007E533A" w:rsidP="007E533A">
      <w:pPr>
        <w:pStyle w:val="NASLOV123"/>
        <w:spacing w:before="0" w:after="0"/>
        <w:jc w:val="both"/>
        <w:rPr>
          <w:lang w:val="sr-Latn-ME"/>
        </w:rPr>
      </w:pPr>
    </w:p>
    <w:p w14:paraId="1D8AE336" w14:textId="77777777" w:rsidR="007E533A" w:rsidRPr="00F47241" w:rsidRDefault="007E533A" w:rsidP="007E533A">
      <w:pPr>
        <w:pStyle w:val="NASLOV123"/>
        <w:spacing w:before="0" w:after="0"/>
        <w:jc w:val="both"/>
        <w:rPr>
          <w:lang w:val="sr-Latn-ME"/>
        </w:rPr>
      </w:pPr>
    </w:p>
    <w:p w14:paraId="743B4D67" w14:textId="77777777" w:rsidR="007E533A" w:rsidRPr="00F47241" w:rsidRDefault="007E533A" w:rsidP="007E533A">
      <w:pPr>
        <w:pStyle w:val="NASLOV123"/>
        <w:spacing w:before="0" w:after="0"/>
        <w:jc w:val="both"/>
        <w:rPr>
          <w:lang w:val="sr-Latn-ME"/>
        </w:rPr>
      </w:pPr>
      <w:r w:rsidRPr="00F47241">
        <w:rPr>
          <w:lang w:val="sr-Latn-ME"/>
        </w:rPr>
        <w:t>4. KLINIČKI PODACI</w:t>
      </w:r>
    </w:p>
    <w:p w14:paraId="221570DD" w14:textId="77777777" w:rsidR="007E533A" w:rsidRPr="00F47241" w:rsidRDefault="007E533A" w:rsidP="007E533A">
      <w:pPr>
        <w:rPr>
          <w:b/>
          <w:bCs/>
          <w:szCs w:val="22"/>
          <w:lang w:val="sr-Latn-ME"/>
        </w:rPr>
      </w:pPr>
    </w:p>
    <w:p w14:paraId="2B979F49" w14:textId="77777777" w:rsidR="007E533A" w:rsidRPr="00F47241" w:rsidRDefault="007E533A" w:rsidP="007E533A">
      <w:pPr>
        <w:rPr>
          <w:b/>
          <w:bCs/>
          <w:szCs w:val="22"/>
          <w:lang w:val="sr-Latn-ME"/>
        </w:rPr>
      </w:pPr>
      <w:r w:rsidRPr="00F47241">
        <w:rPr>
          <w:b/>
          <w:bCs/>
          <w:szCs w:val="22"/>
          <w:lang w:val="sr-Latn-ME"/>
        </w:rPr>
        <w:t>4.1. Terapijske indikacije</w:t>
      </w:r>
    </w:p>
    <w:p w14:paraId="72C6748E" w14:textId="77777777" w:rsidR="007E533A" w:rsidRPr="00F47241" w:rsidRDefault="007E533A" w:rsidP="007E533A">
      <w:pPr>
        <w:rPr>
          <w:szCs w:val="22"/>
          <w:lang w:val="sr-Latn-ME"/>
        </w:rPr>
      </w:pPr>
    </w:p>
    <w:p w14:paraId="42725EE7" w14:textId="77777777" w:rsidR="007E533A" w:rsidRPr="00F47241" w:rsidRDefault="007E533A" w:rsidP="007E533A">
      <w:pPr>
        <w:rPr>
          <w:szCs w:val="22"/>
          <w:lang w:val="sr-Latn-ME"/>
        </w:rPr>
      </w:pPr>
      <w:r w:rsidRPr="00F47241">
        <w:rPr>
          <w:szCs w:val="22"/>
          <w:lang w:val="sr-Latn-ME"/>
        </w:rPr>
        <w:t>Lijek Cefazolina Qilu je indikovan za liječenje teških infekcija kod odraslih i djece uzrasta iznad 1 mjeseca (pogledati djelove 4.2 i 4.4) izazvanih mikroorganizmima osjetljivim na cefazolin (pogledati dio 5.1):</w:t>
      </w:r>
    </w:p>
    <w:p w14:paraId="38AF8C60" w14:textId="77777777" w:rsidR="007E533A" w:rsidRPr="00F47241" w:rsidRDefault="007E533A" w:rsidP="007E533A">
      <w:pPr>
        <w:rPr>
          <w:szCs w:val="22"/>
          <w:lang w:val="sr-Latn-ME"/>
        </w:rPr>
      </w:pPr>
    </w:p>
    <w:p w14:paraId="41A90B27" w14:textId="77777777" w:rsidR="007E533A" w:rsidRPr="00F47241" w:rsidRDefault="007E533A" w:rsidP="007E533A">
      <w:pPr>
        <w:numPr>
          <w:ilvl w:val="0"/>
          <w:numId w:val="12"/>
        </w:numPr>
        <w:tabs>
          <w:tab w:val="clear" w:pos="284"/>
        </w:tabs>
        <w:rPr>
          <w:bCs/>
          <w:szCs w:val="22"/>
          <w:lang w:val="sr-Latn-ME"/>
        </w:rPr>
      </w:pPr>
      <w:r w:rsidRPr="00F47241">
        <w:rPr>
          <w:bCs/>
          <w:szCs w:val="22"/>
          <w:lang w:val="sr-Latn-ME"/>
        </w:rPr>
        <w:t xml:space="preserve">Infekcije kože i mekih tkiva </w:t>
      </w:r>
    </w:p>
    <w:p w14:paraId="0D1DAD90" w14:textId="77777777" w:rsidR="007E533A" w:rsidRPr="00F47241" w:rsidRDefault="007E533A" w:rsidP="007E533A">
      <w:pPr>
        <w:pStyle w:val="ListParagraph"/>
        <w:numPr>
          <w:ilvl w:val="0"/>
          <w:numId w:val="12"/>
        </w:numPr>
        <w:tabs>
          <w:tab w:val="clear" w:pos="284"/>
        </w:tabs>
        <w:rPr>
          <w:bCs/>
          <w:szCs w:val="22"/>
          <w:lang w:val="sr-Latn-ME"/>
        </w:rPr>
      </w:pPr>
      <w:r w:rsidRPr="00F47241">
        <w:rPr>
          <w:bCs/>
          <w:szCs w:val="22"/>
          <w:lang w:val="sr-Latn-ME"/>
        </w:rPr>
        <w:t>Infekcije kostiju i zglobova</w:t>
      </w:r>
    </w:p>
    <w:p w14:paraId="46983159" w14:textId="77777777" w:rsidR="007E533A" w:rsidRPr="00F47241" w:rsidRDefault="007E533A" w:rsidP="007E533A">
      <w:pPr>
        <w:pStyle w:val="ListParagraph"/>
        <w:numPr>
          <w:ilvl w:val="0"/>
          <w:numId w:val="12"/>
        </w:numPr>
        <w:tabs>
          <w:tab w:val="clear" w:pos="284"/>
        </w:tabs>
        <w:rPr>
          <w:bCs/>
          <w:szCs w:val="22"/>
          <w:lang w:val="sr-Latn-ME"/>
        </w:rPr>
      </w:pPr>
      <w:r w:rsidRPr="00F47241">
        <w:rPr>
          <w:bCs/>
          <w:szCs w:val="22"/>
          <w:lang w:val="sr-Latn-ME"/>
        </w:rPr>
        <w:t>Perioperativna profilaksa</w:t>
      </w:r>
    </w:p>
    <w:p w14:paraId="57A9FA79" w14:textId="77777777" w:rsidR="007E533A" w:rsidRPr="00F47241" w:rsidRDefault="007E533A" w:rsidP="007E533A">
      <w:pPr>
        <w:rPr>
          <w:szCs w:val="22"/>
          <w:lang w:val="sr-Latn-ME"/>
        </w:rPr>
      </w:pPr>
    </w:p>
    <w:p w14:paraId="2EFAD750" w14:textId="77777777" w:rsidR="007E533A" w:rsidRPr="00F47241" w:rsidRDefault="007E533A" w:rsidP="007E533A">
      <w:pPr>
        <w:rPr>
          <w:szCs w:val="22"/>
          <w:lang w:val="sr-Latn-ME"/>
        </w:rPr>
      </w:pPr>
      <w:r w:rsidRPr="00F47241">
        <w:rPr>
          <w:lang w:val="sr-Latn-ME"/>
        </w:rPr>
        <w:t>Upotreba cefazolina se mora ograničiti na slučajeve gdje je neophodna parenteralna primjena.</w:t>
      </w:r>
    </w:p>
    <w:p w14:paraId="6822EC5B" w14:textId="77777777" w:rsidR="007E533A" w:rsidRPr="00F47241" w:rsidRDefault="007E533A" w:rsidP="007E533A">
      <w:pPr>
        <w:rPr>
          <w:szCs w:val="22"/>
          <w:lang w:val="sr-Latn-ME"/>
        </w:rPr>
      </w:pPr>
      <w:r w:rsidRPr="00F47241">
        <w:rPr>
          <w:szCs w:val="22"/>
          <w:lang w:val="sr-Latn-ME"/>
        </w:rPr>
        <w:t>Treba uzeti u obzir zvanične smjernice o pravilnoj upotrebi antibakterijskih ljekova.</w:t>
      </w:r>
    </w:p>
    <w:p w14:paraId="1ED2462A" w14:textId="77777777" w:rsidR="007E533A" w:rsidRPr="00F47241" w:rsidRDefault="007E533A" w:rsidP="007E533A">
      <w:pPr>
        <w:rPr>
          <w:szCs w:val="22"/>
          <w:lang w:val="sr-Latn-ME"/>
        </w:rPr>
      </w:pPr>
    </w:p>
    <w:p w14:paraId="03DA6A57" w14:textId="77777777" w:rsidR="007E533A" w:rsidRPr="00F47241" w:rsidRDefault="007E533A" w:rsidP="007E533A">
      <w:pPr>
        <w:rPr>
          <w:b/>
          <w:bCs/>
          <w:szCs w:val="22"/>
          <w:lang w:val="sr-Latn-ME"/>
        </w:rPr>
      </w:pPr>
      <w:r w:rsidRPr="00F47241">
        <w:rPr>
          <w:b/>
          <w:bCs/>
          <w:szCs w:val="22"/>
          <w:lang w:val="sr-Latn-ME"/>
        </w:rPr>
        <w:t>4.2. Doziranje i način primjene</w:t>
      </w:r>
    </w:p>
    <w:p w14:paraId="6D2E3E1B" w14:textId="77777777" w:rsidR="007E533A" w:rsidRPr="00F47241" w:rsidRDefault="007E533A" w:rsidP="007E533A">
      <w:pPr>
        <w:rPr>
          <w:szCs w:val="22"/>
          <w:lang w:val="sr-Latn-ME"/>
        </w:rPr>
      </w:pPr>
    </w:p>
    <w:p w14:paraId="22117BFC" w14:textId="77777777" w:rsidR="007E533A" w:rsidRPr="00F47241" w:rsidRDefault="007E533A" w:rsidP="007E533A">
      <w:pPr>
        <w:rPr>
          <w:szCs w:val="22"/>
          <w:u w:val="single"/>
          <w:lang w:val="sr-Latn-ME"/>
        </w:rPr>
      </w:pPr>
      <w:r w:rsidRPr="00F47241">
        <w:rPr>
          <w:szCs w:val="22"/>
          <w:u w:val="single"/>
          <w:lang w:val="sr-Latn-ME"/>
        </w:rPr>
        <w:t>Doziranje</w:t>
      </w:r>
    </w:p>
    <w:p w14:paraId="13CE34DD" w14:textId="77777777" w:rsidR="007E533A" w:rsidRPr="00F47241" w:rsidRDefault="007E533A" w:rsidP="007E533A">
      <w:pPr>
        <w:rPr>
          <w:szCs w:val="22"/>
          <w:lang w:val="sr-Latn-ME"/>
        </w:rPr>
      </w:pPr>
    </w:p>
    <w:p w14:paraId="68CEAC3E" w14:textId="77777777" w:rsidR="007E533A" w:rsidRPr="00F47241" w:rsidRDefault="007E533A" w:rsidP="007E533A">
      <w:pPr>
        <w:rPr>
          <w:szCs w:val="22"/>
          <w:lang w:val="sr-Latn-ME"/>
        </w:rPr>
      </w:pPr>
      <w:r w:rsidRPr="00F47241">
        <w:rPr>
          <w:szCs w:val="22"/>
          <w:lang w:val="sr-Latn-ME"/>
        </w:rPr>
        <w:t>Doziranje zavisi od osjetljivosti patogena (vidjeti dio 5.1) i težine bolesti.</w:t>
      </w:r>
    </w:p>
    <w:p w14:paraId="5BB2BBEF" w14:textId="77777777" w:rsidR="007E533A" w:rsidRPr="00F47241" w:rsidRDefault="007E533A" w:rsidP="007E533A">
      <w:pPr>
        <w:rPr>
          <w:szCs w:val="22"/>
          <w:lang w:val="sr-Latn-ME"/>
        </w:rPr>
      </w:pPr>
    </w:p>
    <w:p w14:paraId="72E0B1DD" w14:textId="77777777" w:rsidR="007E533A" w:rsidRPr="00F47241" w:rsidRDefault="007E533A" w:rsidP="007E533A">
      <w:pPr>
        <w:rPr>
          <w:b/>
          <w:i/>
          <w:iCs/>
          <w:szCs w:val="22"/>
          <w:lang w:val="sr-Latn-ME"/>
        </w:rPr>
      </w:pPr>
      <w:r w:rsidRPr="00F47241">
        <w:rPr>
          <w:b/>
          <w:i/>
          <w:iCs/>
          <w:szCs w:val="22"/>
          <w:lang w:val="sr-Latn-ME"/>
        </w:rPr>
        <w:t>Odrasli i adolescenti stariji od 12 godina sa očuvanom funkcijom bubrega</w:t>
      </w:r>
    </w:p>
    <w:p w14:paraId="311456A9" w14:textId="77777777" w:rsidR="007E533A" w:rsidRPr="00F47241" w:rsidRDefault="007E533A" w:rsidP="007E533A">
      <w:pPr>
        <w:rPr>
          <w:b/>
          <w:bCs/>
          <w:szCs w:val="22"/>
          <w:lang w:val="sr-Latn-ME"/>
        </w:rPr>
      </w:pPr>
      <w:r w:rsidRPr="00F47241">
        <w:rPr>
          <w:b/>
          <w:bCs/>
          <w:szCs w:val="22"/>
          <w:lang w:val="sr-Latn-ME"/>
        </w:rPr>
        <w:t xml:space="preserve">Infekcije izazvane veoma osjetljivim patogenima </w:t>
      </w:r>
    </w:p>
    <w:p w14:paraId="744D501B" w14:textId="77777777" w:rsidR="007E533A" w:rsidRPr="00F47241" w:rsidRDefault="007E533A" w:rsidP="007E533A">
      <w:pPr>
        <w:rPr>
          <w:szCs w:val="22"/>
          <w:lang w:val="sr-Latn-ME"/>
        </w:rPr>
      </w:pPr>
      <w:r w:rsidRPr="00F47241">
        <w:rPr>
          <w:szCs w:val="22"/>
          <w:lang w:val="sr-Latn-ME"/>
        </w:rPr>
        <w:t xml:space="preserve">Uobičajeno doziranje kod odraslih je 1-2 g dnevno, podijeljeno u dvije ili tri jednake doze (po jedna doza na svakih 8 ili 12 sati). </w:t>
      </w:r>
    </w:p>
    <w:p w14:paraId="55071D49" w14:textId="77777777" w:rsidR="007E533A" w:rsidRPr="00F47241" w:rsidRDefault="007E533A" w:rsidP="007E533A">
      <w:pPr>
        <w:rPr>
          <w:szCs w:val="22"/>
          <w:lang w:val="sr-Latn-ME"/>
        </w:rPr>
      </w:pPr>
    </w:p>
    <w:p w14:paraId="0CFB4E91" w14:textId="77777777" w:rsidR="007E533A" w:rsidRPr="00F47241" w:rsidRDefault="007E533A" w:rsidP="007E533A">
      <w:pPr>
        <w:rPr>
          <w:b/>
          <w:bCs/>
          <w:szCs w:val="22"/>
          <w:lang w:val="sr-Latn-ME"/>
        </w:rPr>
      </w:pPr>
      <w:r w:rsidRPr="00F47241">
        <w:rPr>
          <w:b/>
          <w:bCs/>
          <w:szCs w:val="22"/>
          <w:lang w:val="sr-Latn-ME"/>
        </w:rPr>
        <w:t xml:space="preserve">Infekcije izazvane manje osjetljivim patogenima </w:t>
      </w:r>
    </w:p>
    <w:p w14:paraId="2001CA5F" w14:textId="77777777" w:rsidR="007E533A" w:rsidRPr="00F47241" w:rsidRDefault="007E533A" w:rsidP="007E533A">
      <w:pPr>
        <w:rPr>
          <w:szCs w:val="22"/>
          <w:lang w:val="sr-Latn-ME"/>
        </w:rPr>
      </w:pPr>
      <w:r w:rsidRPr="00F47241">
        <w:rPr>
          <w:szCs w:val="22"/>
          <w:lang w:val="sr-Latn-ME"/>
        </w:rPr>
        <w:t xml:space="preserve">Uobičajeno doziranje kod odraslih je 3-4 g dnevno, podijeljeno u tri ili četiri jednake doze (po jedna doza na svakih 6 ili 8 sati). </w:t>
      </w:r>
    </w:p>
    <w:p w14:paraId="7FBD731A" w14:textId="77777777" w:rsidR="007E533A" w:rsidRPr="00F47241" w:rsidRDefault="007E533A" w:rsidP="007E533A">
      <w:pPr>
        <w:rPr>
          <w:szCs w:val="22"/>
          <w:lang w:val="sr-Latn-ME"/>
        </w:rPr>
      </w:pPr>
    </w:p>
    <w:p w14:paraId="21F5AF6C" w14:textId="77777777" w:rsidR="007E533A" w:rsidRPr="00F47241" w:rsidRDefault="007E533A" w:rsidP="007E533A">
      <w:pPr>
        <w:rPr>
          <w:szCs w:val="22"/>
          <w:lang w:val="sr-Latn-ME"/>
        </w:rPr>
      </w:pPr>
      <w:r w:rsidRPr="00F47241">
        <w:rPr>
          <w:szCs w:val="22"/>
          <w:lang w:val="sr-Latn-ME"/>
        </w:rPr>
        <w:t xml:space="preserve">Kod teških infekcija i infekcija koje ugrožavaju život, primjenjuje se doza od 6 g do 12 g dnevno, podijeljena u tri ili četiri jednake doze (po jedna doza na svakih 6 do 8 sati). </w:t>
      </w:r>
    </w:p>
    <w:p w14:paraId="69578930" w14:textId="77777777" w:rsidR="007E533A" w:rsidRPr="00F47241" w:rsidRDefault="007E533A" w:rsidP="007E533A">
      <w:pPr>
        <w:rPr>
          <w:szCs w:val="22"/>
          <w:lang w:val="sr-Latn-ME"/>
        </w:rPr>
      </w:pPr>
    </w:p>
    <w:p w14:paraId="5E36F72A" w14:textId="77777777" w:rsidR="007E533A" w:rsidRPr="00F47241" w:rsidRDefault="007E533A" w:rsidP="007E533A">
      <w:pPr>
        <w:rPr>
          <w:b/>
          <w:szCs w:val="22"/>
          <w:lang w:val="sr-Latn-ME"/>
        </w:rPr>
      </w:pPr>
      <w:r w:rsidRPr="00F47241">
        <w:rPr>
          <w:b/>
          <w:szCs w:val="22"/>
          <w:lang w:val="sr-Latn-ME"/>
        </w:rPr>
        <w:lastRenderedPageBreak/>
        <w:t>Perioperativna profilaksa</w:t>
      </w:r>
    </w:p>
    <w:p w14:paraId="7DB4E257" w14:textId="77777777" w:rsidR="007E533A" w:rsidRPr="00F47241" w:rsidRDefault="007E533A" w:rsidP="007E533A">
      <w:pPr>
        <w:rPr>
          <w:lang w:val="sr-Latn-ME"/>
        </w:rPr>
      </w:pPr>
    </w:p>
    <w:p w14:paraId="1F5C2CE0" w14:textId="77777777" w:rsidR="007E533A" w:rsidRPr="00F47241" w:rsidRDefault="007E533A" w:rsidP="007E533A">
      <w:pPr>
        <w:rPr>
          <w:b/>
          <w:szCs w:val="22"/>
          <w:lang w:val="sr-Latn-ME"/>
        </w:rPr>
      </w:pPr>
      <w:r w:rsidRPr="00F47241">
        <w:rPr>
          <w:lang w:val="sr-Latn-ME"/>
        </w:rPr>
        <w:t>U svrhu izbjegavanja postoperativnih infekcija kod kontaminiranih ili potencijalno kontaminiranih hirurških zahvata preporučuju se sledeće doze:</w:t>
      </w:r>
    </w:p>
    <w:p w14:paraId="2E325E39" w14:textId="77777777" w:rsidR="007E533A" w:rsidRPr="00F47241" w:rsidRDefault="007E533A" w:rsidP="007E533A">
      <w:pPr>
        <w:pStyle w:val="ListParagraph"/>
        <w:numPr>
          <w:ilvl w:val="0"/>
          <w:numId w:val="10"/>
        </w:numPr>
        <w:rPr>
          <w:szCs w:val="22"/>
          <w:lang w:val="sr-Latn-ME"/>
        </w:rPr>
      </w:pPr>
      <w:r w:rsidRPr="00F47241">
        <w:rPr>
          <w:szCs w:val="22"/>
          <w:lang w:val="sr-Latn-ME"/>
        </w:rPr>
        <w:t xml:space="preserve">1 g do 2g intravenski , primjenjuje se 30 minuta do 1 sat prije početka operacije; </w:t>
      </w:r>
    </w:p>
    <w:p w14:paraId="5D558A2C" w14:textId="77777777" w:rsidR="007E533A" w:rsidRPr="00F47241" w:rsidRDefault="007E533A" w:rsidP="007E533A">
      <w:pPr>
        <w:pStyle w:val="ListParagraph"/>
        <w:numPr>
          <w:ilvl w:val="0"/>
          <w:numId w:val="10"/>
        </w:numPr>
        <w:rPr>
          <w:szCs w:val="22"/>
          <w:lang w:val="sr-Latn-ME"/>
        </w:rPr>
      </w:pPr>
      <w:r w:rsidRPr="00F47241">
        <w:rPr>
          <w:szCs w:val="22"/>
          <w:lang w:val="sr-Latn-ME"/>
        </w:rPr>
        <w:t xml:space="preserve"> za dugotrajne hirurške intervencije primjenjuje se 500 mg – 1g intravenski tokom operacije (uz prilagođavanje doza i intervala doziranja u skladu sa trajanjem operacije); </w:t>
      </w:r>
    </w:p>
    <w:p w14:paraId="35A28F2E" w14:textId="77777777" w:rsidR="007E533A" w:rsidRPr="00F47241" w:rsidRDefault="007E533A" w:rsidP="007E533A">
      <w:pPr>
        <w:pStyle w:val="ListParagraph"/>
        <w:numPr>
          <w:ilvl w:val="0"/>
          <w:numId w:val="10"/>
        </w:numPr>
        <w:rPr>
          <w:szCs w:val="22"/>
          <w:lang w:val="sr-Latn-ME"/>
        </w:rPr>
      </w:pPr>
      <w:r w:rsidRPr="00F47241">
        <w:rPr>
          <w:szCs w:val="22"/>
          <w:lang w:val="sr-Latn-ME"/>
        </w:rPr>
        <w:t xml:space="preserve"> 500 mg – 1 g intravenski, svakih 6-8 sati, u toku 24 sata postoperativno </w:t>
      </w:r>
    </w:p>
    <w:p w14:paraId="385B9F58" w14:textId="77777777" w:rsidR="007E533A" w:rsidRPr="00F47241" w:rsidRDefault="007E533A" w:rsidP="007E533A">
      <w:pPr>
        <w:pStyle w:val="ListParagraph"/>
        <w:rPr>
          <w:szCs w:val="22"/>
          <w:lang w:val="sr-Latn-ME"/>
        </w:rPr>
      </w:pPr>
    </w:p>
    <w:p w14:paraId="2DFCBF52" w14:textId="77777777" w:rsidR="007E533A" w:rsidRPr="00F47241" w:rsidRDefault="007E533A" w:rsidP="007E533A">
      <w:pPr>
        <w:pStyle w:val="ListParagraph"/>
        <w:ind w:left="0"/>
        <w:rPr>
          <w:szCs w:val="22"/>
          <w:lang w:val="sr-Latn-ME"/>
        </w:rPr>
      </w:pPr>
      <w:r w:rsidRPr="00F47241">
        <w:rPr>
          <w:szCs w:val="22"/>
          <w:lang w:val="sr-Latn-ME"/>
        </w:rPr>
        <w:t>Značajno je da se (1) preoperativna doza primijeni neposredno prije početka operacije (30 minuta do 1 sat), kako bi se postigle odgovarajuće koncentracije antibiotika u serumu i tkivima u trenutku početnog hirurškog reza; i (2) cefazolin primijeni, ako je potrebno, u odgovarajućim intervalima tokom operacije, kako bi se obezbijedila dovoljna koncentracija antibiotika u trenucima kada se očekuje najveća izloženost infektivnim mikroorganizmima.</w:t>
      </w:r>
      <w:r w:rsidRPr="00F47241">
        <w:rPr>
          <w:lang w:val="sr-Latn-ME"/>
        </w:rPr>
        <w:t xml:space="preserve"> Preporučeni interval ponovnog doziranja je 4 sata (od prve preoperativne doze). Profilaktička primjena cefazolina mora se obično prekinuti u toku 24 sata nakon hirurškog zahvata. Kod kardiohirurškog zahvata, profilaktička primjena cefazolina može se nastaviti tokom 48 sati nakon završetka hirurškog zahvata, zavisno od kliničke situacije. </w:t>
      </w:r>
      <w:r w:rsidRPr="00F47241">
        <w:rPr>
          <w:szCs w:val="22"/>
          <w:lang w:val="sr-Latn-ME"/>
        </w:rPr>
        <w:t xml:space="preserve"> </w:t>
      </w:r>
    </w:p>
    <w:p w14:paraId="54448A26" w14:textId="77777777" w:rsidR="007E533A" w:rsidRPr="00F47241" w:rsidRDefault="007E533A" w:rsidP="007E533A">
      <w:pPr>
        <w:pStyle w:val="ListParagraph"/>
        <w:ind w:left="0"/>
        <w:rPr>
          <w:szCs w:val="22"/>
          <w:lang w:val="sr-Latn-ME"/>
        </w:rPr>
      </w:pPr>
    </w:p>
    <w:p w14:paraId="6474BA14" w14:textId="77777777" w:rsidR="007E533A" w:rsidRPr="00F47241" w:rsidRDefault="007E533A" w:rsidP="007E533A">
      <w:pPr>
        <w:pStyle w:val="ListParagraph"/>
        <w:ind w:left="0"/>
        <w:rPr>
          <w:b/>
          <w:szCs w:val="22"/>
          <w:lang w:val="sr-Latn-ME"/>
        </w:rPr>
      </w:pPr>
      <w:r w:rsidRPr="00F47241">
        <w:rPr>
          <w:b/>
          <w:szCs w:val="22"/>
          <w:lang w:val="sr-Latn-ME"/>
        </w:rPr>
        <w:t>Odrasli pacijenti sa oštećenjem funkcije bubrega</w:t>
      </w:r>
    </w:p>
    <w:p w14:paraId="6D138F25" w14:textId="77777777" w:rsidR="007E533A" w:rsidRPr="00F47241" w:rsidRDefault="007E533A" w:rsidP="007E533A">
      <w:pPr>
        <w:pStyle w:val="ListParagraph"/>
        <w:ind w:left="0"/>
        <w:rPr>
          <w:szCs w:val="22"/>
          <w:lang w:val="sr-Latn-ME"/>
        </w:rPr>
      </w:pPr>
    </w:p>
    <w:p w14:paraId="22675E47" w14:textId="77777777" w:rsidR="007E533A" w:rsidRPr="00F47241" w:rsidRDefault="007E533A" w:rsidP="007E533A">
      <w:pPr>
        <w:pStyle w:val="ListParagraph"/>
        <w:ind w:left="0"/>
        <w:rPr>
          <w:szCs w:val="22"/>
          <w:lang w:val="sr-Latn-ME"/>
        </w:rPr>
      </w:pPr>
      <w:r w:rsidRPr="00F47241">
        <w:rPr>
          <w:szCs w:val="22"/>
          <w:lang w:val="sr-Latn-ME"/>
        </w:rPr>
        <w:t>Potrebno je dati odgovarajuću početnu dozu. Dalje doziranje je potrebno prilagoditi stepenu oštećenja funkcije bubrega, težini infekcije i osjetljivosti patogena na cefazolin.</w:t>
      </w:r>
    </w:p>
    <w:p w14:paraId="7298898E" w14:textId="77777777" w:rsidR="007E533A" w:rsidRPr="00F47241" w:rsidRDefault="007E533A" w:rsidP="007E533A">
      <w:pPr>
        <w:pStyle w:val="ListParagraph"/>
        <w:ind w:left="0"/>
        <w:rPr>
          <w:szCs w:val="22"/>
          <w:lang w:val="sr-Latn-ME"/>
        </w:rPr>
      </w:pPr>
    </w:p>
    <w:p w14:paraId="60E1FC87" w14:textId="77777777" w:rsidR="007E533A" w:rsidRPr="00F47241" w:rsidRDefault="007E533A" w:rsidP="007E533A">
      <w:pPr>
        <w:pStyle w:val="ListParagraph"/>
        <w:ind w:left="0"/>
        <w:rPr>
          <w:b/>
          <w:bCs/>
          <w:szCs w:val="22"/>
          <w:lang w:val="sr-Latn-ME"/>
        </w:rPr>
      </w:pPr>
      <w:r w:rsidRPr="00F47241">
        <w:rPr>
          <w:b/>
          <w:bCs/>
          <w:szCs w:val="22"/>
          <w:lang w:val="sr-Latn-ME"/>
        </w:rPr>
        <w:t>Terapija održavanja cefazolinom kod pacijenata s oštećenjem funkcije bubrega</w:t>
      </w:r>
    </w:p>
    <w:p w14:paraId="58A1AF44" w14:textId="77777777" w:rsidR="007E533A" w:rsidRPr="00F47241" w:rsidRDefault="007E533A" w:rsidP="007E533A">
      <w:pPr>
        <w:pStyle w:val="ListParagraph"/>
        <w:ind w:left="0"/>
        <w:rPr>
          <w:szCs w:val="22"/>
          <w:lang w:val="sr-Latn-ME"/>
        </w:rPr>
      </w:pPr>
    </w:p>
    <w:tbl>
      <w:tblPr>
        <w:tblStyle w:val="TableGrid"/>
        <w:tblW w:w="9067" w:type="dxa"/>
        <w:jc w:val="center"/>
        <w:tblLook w:val="04A0" w:firstRow="1" w:lastRow="0" w:firstColumn="1" w:lastColumn="0" w:noHBand="0" w:noVBand="1"/>
      </w:tblPr>
      <w:tblGrid>
        <w:gridCol w:w="1980"/>
        <w:gridCol w:w="1843"/>
        <w:gridCol w:w="2551"/>
        <w:gridCol w:w="2693"/>
      </w:tblGrid>
      <w:tr w:rsidR="007E533A" w:rsidRPr="00F47241" w14:paraId="720C477A" w14:textId="77777777" w:rsidTr="000235D3">
        <w:trPr>
          <w:trHeight w:val="492"/>
          <w:jc w:val="center"/>
        </w:trPr>
        <w:tc>
          <w:tcPr>
            <w:tcW w:w="1980" w:type="dxa"/>
          </w:tcPr>
          <w:p w14:paraId="4DCDB6F1" w14:textId="77777777" w:rsidR="007E533A" w:rsidRPr="00F47241" w:rsidRDefault="007E533A" w:rsidP="000235D3">
            <w:pPr>
              <w:pStyle w:val="ListParagraph"/>
              <w:ind w:left="0"/>
              <w:rPr>
                <w:b/>
                <w:color w:val="222222"/>
                <w:szCs w:val="22"/>
                <w:lang w:val="sr-Latn-ME"/>
              </w:rPr>
            </w:pPr>
            <w:r w:rsidRPr="00F47241">
              <w:rPr>
                <w:b/>
                <w:color w:val="222222"/>
                <w:szCs w:val="22"/>
                <w:lang w:val="sr-Latn-ME"/>
              </w:rPr>
              <w:t xml:space="preserve">Klirens kreatinina </w:t>
            </w:r>
          </w:p>
          <w:p w14:paraId="67F02353" w14:textId="77777777" w:rsidR="007E533A" w:rsidRPr="00F47241" w:rsidRDefault="007E533A" w:rsidP="000235D3">
            <w:pPr>
              <w:pStyle w:val="ListParagraph"/>
              <w:ind w:left="0"/>
              <w:rPr>
                <w:b/>
                <w:szCs w:val="22"/>
                <w:lang w:val="sr-Latn-ME"/>
              </w:rPr>
            </w:pPr>
            <w:r w:rsidRPr="00F47241">
              <w:rPr>
                <w:b/>
                <w:color w:val="222222"/>
                <w:szCs w:val="22"/>
                <w:lang w:val="sr-Latn-ME"/>
              </w:rPr>
              <w:t>(ml/min)</w:t>
            </w:r>
          </w:p>
        </w:tc>
        <w:tc>
          <w:tcPr>
            <w:tcW w:w="1843" w:type="dxa"/>
          </w:tcPr>
          <w:p w14:paraId="028816F3" w14:textId="77777777" w:rsidR="007E533A" w:rsidRPr="00F47241" w:rsidRDefault="007E533A" w:rsidP="000235D3">
            <w:pPr>
              <w:pStyle w:val="ListParagraph"/>
              <w:ind w:left="0"/>
              <w:rPr>
                <w:b/>
                <w:szCs w:val="22"/>
                <w:lang w:val="sr-Latn-ME"/>
              </w:rPr>
            </w:pPr>
            <w:r w:rsidRPr="00F47241">
              <w:rPr>
                <w:b/>
                <w:szCs w:val="22"/>
                <w:lang w:val="sr-Latn-ME"/>
              </w:rPr>
              <w:t xml:space="preserve">Serumski kreatinin </w:t>
            </w:r>
          </w:p>
          <w:p w14:paraId="39E51C0E" w14:textId="77777777" w:rsidR="007E533A" w:rsidRPr="00F47241" w:rsidRDefault="007E533A" w:rsidP="000235D3">
            <w:pPr>
              <w:pStyle w:val="ListParagraph"/>
              <w:ind w:left="0"/>
              <w:rPr>
                <w:b/>
                <w:szCs w:val="22"/>
                <w:lang w:val="sr-Latn-ME"/>
              </w:rPr>
            </w:pPr>
            <w:r w:rsidRPr="00F47241">
              <w:rPr>
                <w:b/>
                <w:szCs w:val="22"/>
                <w:lang w:val="sr-Latn-ME"/>
              </w:rPr>
              <w:t>(mg/100 ml)</w:t>
            </w:r>
          </w:p>
        </w:tc>
        <w:tc>
          <w:tcPr>
            <w:tcW w:w="2551" w:type="dxa"/>
          </w:tcPr>
          <w:p w14:paraId="25720C46" w14:textId="77777777" w:rsidR="007E533A" w:rsidRPr="00F47241" w:rsidRDefault="007E533A" w:rsidP="000235D3">
            <w:pPr>
              <w:pStyle w:val="ListParagraph"/>
              <w:ind w:left="0"/>
              <w:rPr>
                <w:b/>
                <w:szCs w:val="22"/>
                <w:lang w:val="sr-Latn-ME"/>
              </w:rPr>
            </w:pPr>
            <w:r w:rsidRPr="00F47241">
              <w:rPr>
                <w:b/>
                <w:szCs w:val="22"/>
                <w:lang w:val="sr-Latn-ME"/>
              </w:rPr>
              <w:t>Dnevna doza</w:t>
            </w:r>
          </w:p>
        </w:tc>
        <w:tc>
          <w:tcPr>
            <w:tcW w:w="2693" w:type="dxa"/>
          </w:tcPr>
          <w:p w14:paraId="234D92FA" w14:textId="77777777" w:rsidR="007E533A" w:rsidRPr="00F47241" w:rsidRDefault="007E533A" w:rsidP="000235D3">
            <w:pPr>
              <w:pStyle w:val="ListParagraph"/>
              <w:ind w:left="0"/>
              <w:rPr>
                <w:b/>
                <w:szCs w:val="22"/>
                <w:lang w:val="sr-Latn-ME"/>
              </w:rPr>
            </w:pPr>
            <w:r w:rsidRPr="00F47241">
              <w:rPr>
                <w:b/>
                <w:szCs w:val="22"/>
                <w:lang w:val="sr-Latn-ME"/>
              </w:rPr>
              <w:t>Interval doziranja</w:t>
            </w:r>
          </w:p>
        </w:tc>
      </w:tr>
      <w:tr w:rsidR="007E533A" w:rsidRPr="00F47241" w14:paraId="2D93B7D2" w14:textId="77777777" w:rsidTr="000235D3">
        <w:trPr>
          <w:jc w:val="center"/>
        </w:trPr>
        <w:tc>
          <w:tcPr>
            <w:tcW w:w="1980" w:type="dxa"/>
          </w:tcPr>
          <w:p w14:paraId="5C1EF82C" w14:textId="77777777" w:rsidR="007E533A" w:rsidRPr="00F47241" w:rsidRDefault="007E533A" w:rsidP="000235D3">
            <w:pPr>
              <w:pStyle w:val="ListParagraph"/>
              <w:ind w:left="0"/>
              <w:rPr>
                <w:szCs w:val="22"/>
                <w:lang w:val="sr-Latn-ME"/>
              </w:rPr>
            </w:pPr>
            <w:r w:rsidRPr="00F47241">
              <w:rPr>
                <w:szCs w:val="22"/>
                <w:lang w:val="sr-Latn-ME"/>
              </w:rPr>
              <w:t>≥ 55</w:t>
            </w:r>
          </w:p>
        </w:tc>
        <w:tc>
          <w:tcPr>
            <w:tcW w:w="1843" w:type="dxa"/>
          </w:tcPr>
          <w:p w14:paraId="2B239CB5" w14:textId="77777777" w:rsidR="007E533A" w:rsidRPr="00F47241" w:rsidRDefault="007E533A" w:rsidP="000235D3">
            <w:pPr>
              <w:pStyle w:val="ListParagraph"/>
              <w:ind w:left="0"/>
              <w:rPr>
                <w:szCs w:val="22"/>
                <w:lang w:val="sr-Latn-ME"/>
              </w:rPr>
            </w:pPr>
            <w:r w:rsidRPr="00F47241">
              <w:rPr>
                <w:szCs w:val="22"/>
                <w:lang w:val="sr-Latn-ME"/>
              </w:rPr>
              <w:t>≤ 1,5</w:t>
            </w:r>
          </w:p>
        </w:tc>
        <w:tc>
          <w:tcPr>
            <w:tcW w:w="2551" w:type="dxa"/>
          </w:tcPr>
          <w:p w14:paraId="103F94BD" w14:textId="77777777" w:rsidR="007E533A" w:rsidRPr="00F47241" w:rsidRDefault="007E533A" w:rsidP="000235D3">
            <w:pPr>
              <w:pStyle w:val="ListParagraph"/>
              <w:ind w:left="0"/>
              <w:rPr>
                <w:szCs w:val="22"/>
                <w:lang w:val="sr-Latn-ME"/>
              </w:rPr>
            </w:pPr>
            <w:r w:rsidRPr="00F47241">
              <w:rPr>
                <w:szCs w:val="22"/>
                <w:lang w:val="sr-Latn-ME"/>
              </w:rPr>
              <w:t>uobičajena doza*</w:t>
            </w:r>
          </w:p>
        </w:tc>
        <w:tc>
          <w:tcPr>
            <w:tcW w:w="2693" w:type="dxa"/>
          </w:tcPr>
          <w:p w14:paraId="7239C6FC" w14:textId="77777777" w:rsidR="007E533A" w:rsidRPr="00F47241" w:rsidRDefault="007E533A" w:rsidP="000235D3">
            <w:pPr>
              <w:pStyle w:val="ListParagraph"/>
              <w:ind w:left="0"/>
              <w:rPr>
                <w:szCs w:val="22"/>
                <w:lang w:val="sr-Latn-ME"/>
              </w:rPr>
            </w:pPr>
            <w:r w:rsidRPr="00F47241">
              <w:rPr>
                <w:szCs w:val="22"/>
                <w:lang w:val="sr-Latn-ME"/>
              </w:rPr>
              <w:t>nepromijenjen</w:t>
            </w:r>
          </w:p>
        </w:tc>
      </w:tr>
      <w:tr w:rsidR="007E533A" w:rsidRPr="00F47241" w14:paraId="7E7E8F0B" w14:textId="77777777" w:rsidTr="000235D3">
        <w:trPr>
          <w:jc w:val="center"/>
        </w:trPr>
        <w:tc>
          <w:tcPr>
            <w:tcW w:w="1980" w:type="dxa"/>
          </w:tcPr>
          <w:p w14:paraId="16FFB9F3" w14:textId="77777777" w:rsidR="007E533A" w:rsidRPr="00F47241" w:rsidRDefault="007E533A" w:rsidP="000235D3">
            <w:pPr>
              <w:pStyle w:val="ListParagraph"/>
              <w:ind w:left="0"/>
              <w:rPr>
                <w:szCs w:val="22"/>
                <w:lang w:val="sr-Latn-ME"/>
              </w:rPr>
            </w:pPr>
            <w:r w:rsidRPr="00F47241">
              <w:rPr>
                <w:szCs w:val="22"/>
                <w:lang w:val="sr-Latn-ME"/>
              </w:rPr>
              <w:t>35-54</w:t>
            </w:r>
          </w:p>
        </w:tc>
        <w:tc>
          <w:tcPr>
            <w:tcW w:w="1843" w:type="dxa"/>
          </w:tcPr>
          <w:p w14:paraId="6B8D5DC4" w14:textId="77777777" w:rsidR="007E533A" w:rsidRPr="00F47241" w:rsidRDefault="007E533A" w:rsidP="000235D3">
            <w:pPr>
              <w:pStyle w:val="ListParagraph"/>
              <w:ind w:left="0"/>
              <w:rPr>
                <w:szCs w:val="22"/>
                <w:lang w:val="sr-Latn-ME"/>
              </w:rPr>
            </w:pPr>
            <w:r w:rsidRPr="00F47241">
              <w:rPr>
                <w:szCs w:val="22"/>
                <w:lang w:val="sr-Latn-ME"/>
              </w:rPr>
              <w:t>1,6-3,0</w:t>
            </w:r>
          </w:p>
        </w:tc>
        <w:tc>
          <w:tcPr>
            <w:tcW w:w="2551" w:type="dxa"/>
          </w:tcPr>
          <w:p w14:paraId="295314C7" w14:textId="77777777" w:rsidR="007E533A" w:rsidRPr="00F47241" w:rsidRDefault="007E533A" w:rsidP="000235D3">
            <w:pPr>
              <w:pStyle w:val="ListParagraph"/>
              <w:ind w:left="0"/>
              <w:rPr>
                <w:szCs w:val="22"/>
                <w:lang w:val="sr-Latn-ME"/>
              </w:rPr>
            </w:pPr>
            <w:r w:rsidRPr="00F47241">
              <w:rPr>
                <w:szCs w:val="22"/>
                <w:lang w:val="sr-Latn-ME"/>
              </w:rPr>
              <w:t>uobičajena doza*</w:t>
            </w:r>
          </w:p>
        </w:tc>
        <w:tc>
          <w:tcPr>
            <w:tcW w:w="2693" w:type="dxa"/>
          </w:tcPr>
          <w:p w14:paraId="7350D169" w14:textId="77777777" w:rsidR="007E533A" w:rsidRPr="00F47241" w:rsidRDefault="007E533A" w:rsidP="000235D3">
            <w:pPr>
              <w:pStyle w:val="ListParagraph"/>
              <w:ind w:left="0"/>
              <w:rPr>
                <w:szCs w:val="22"/>
                <w:lang w:val="sr-Latn-ME"/>
              </w:rPr>
            </w:pPr>
            <w:r w:rsidRPr="00F47241">
              <w:rPr>
                <w:szCs w:val="22"/>
                <w:lang w:val="sr-Latn-ME"/>
              </w:rPr>
              <w:t>najmanje na svakih 8 sati</w:t>
            </w:r>
          </w:p>
        </w:tc>
      </w:tr>
      <w:tr w:rsidR="007E533A" w:rsidRPr="00F47241" w14:paraId="6F90AC83" w14:textId="77777777" w:rsidTr="000235D3">
        <w:trPr>
          <w:jc w:val="center"/>
        </w:trPr>
        <w:tc>
          <w:tcPr>
            <w:tcW w:w="1980" w:type="dxa"/>
          </w:tcPr>
          <w:p w14:paraId="58429A65" w14:textId="77777777" w:rsidR="007E533A" w:rsidRPr="00F47241" w:rsidRDefault="007E533A" w:rsidP="000235D3">
            <w:pPr>
              <w:pStyle w:val="ListParagraph"/>
              <w:ind w:left="0"/>
              <w:rPr>
                <w:szCs w:val="22"/>
                <w:lang w:val="sr-Latn-ME"/>
              </w:rPr>
            </w:pPr>
            <w:r w:rsidRPr="00F47241">
              <w:rPr>
                <w:szCs w:val="22"/>
                <w:lang w:val="sr-Latn-ME"/>
              </w:rPr>
              <w:t>11-34</w:t>
            </w:r>
          </w:p>
        </w:tc>
        <w:tc>
          <w:tcPr>
            <w:tcW w:w="1843" w:type="dxa"/>
          </w:tcPr>
          <w:p w14:paraId="0E2A0935" w14:textId="77777777" w:rsidR="007E533A" w:rsidRPr="00F47241" w:rsidRDefault="007E533A" w:rsidP="000235D3">
            <w:pPr>
              <w:pStyle w:val="ListParagraph"/>
              <w:ind w:left="0"/>
              <w:rPr>
                <w:szCs w:val="22"/>
                <w:lang w:val="sr-Latn-ME"/>
              </w:rPr>
            </w:pPr>
            <w:r w:rsidRPr="00F47241">
              <w:rPr>
                <w:szCs w:val="22"/>
                <w:lang w:val="sr-Latn-ME"/>
              </w:rPr>
              <w:t>3,1-4,5</w:t>
            </w:r>
          </w:p>
        </w:tc>
        <w:tc>
          <w:tcPr>
            <w:tcW w:w="2551" w:type="dxa"/>
          </w:tcPr>
          <w:p w14:paraId="7DAFFB09" w14:textId="77777777" w:rsidR="007E533A" w:rsidRPr="00F47241" w:rsidRDefault="007E533A" w:rsidP="000235D3">
            <w:pPr>
              <w:pStyle w:val="ListParagraph"/>
              <w:ind w:left="0"/>
              <w:rPr>
                <w:szCs w:val="22"/>
                <w:lang w:val="sr-Latn-ME"/>
              </w:rPr>
            </w:pPr>
            <w:r w:rsidRPr="00F47241">
              <w:rPr>
                <w:szCs w:val="22"/>
                <w:lang w:val="sr-Latn-ME"/>
              </w:rPr>
              <w:t>polovina uobičajene doze</w:t>
            </w:r>
          </w:p>
        </w:tc>
        <w:tc>
          <w:tcPr>
            <w:tcW w:w="2693" w:type="dxa"/>
          </w:tcPr>
          <w:p w14:paraId="633E7EBB" w14:textId="77777777" w:rsidR="007E533A" w:rsidRPr="00F47241" w:rsidRDefault="007E533A" w:rsidP="000235D3">
            <w:pPr>
              <w:pStyle w:val="ListParagraph"/>
              <w:ind w:left="0"/>
              <w:rPr>
                <w:szCs w:val="22"/>
                <w:lang w:val="sr-Latn-ME"/>
              </w:rPr>
            </w:pPr>
            <w:r w:rsidRPr="00F47241">
              <w:rPr>
                <w:szCs w:val="22"/>
                <w:lang w:val="sr-Latn-ME"/>
              </w:rPr>
              <w:t>svakih 12 sati</w:t>
            </w:r>
          </w:p>
        </w:tc>
      </w:tr>
      <w:tr w:rsidR="007E533A" w:rsidRPr="00F47241" w14:paraId="468A5AE4" w14:textId="77777777" w:rsidTr="000235D3">
        <w:trPr>
          <w:jc w:val="center"/>
        </w:trPr>
        <w:tc>
          <w:tcPr>
            <w:tcW w:w="1980" w:type="dxa"/>
          </w:tcPr>
          <w:p w14:paraId="1C3722F7" w14:textId="77777777" w:rsidR="007E533A" w:rsidRPr="00F47241" w:rsidRDefault="007E533A" w:rsidP="000235D3">
            <w:pPr>
              <w:pStyle w:val="ListParagraph"/>
              <w:ind w:left="0"/>
              <w:rPr>
                <w:szCs w:val="22"/>
                <w:lang w:val="sr-Latn-ME"/>
              </w:rPr>
            </w:pPr>
            <w:r w:rsidRPr="00F47241">
              <w:rPr>
                <w:szCs w:val="22"/>
                <w:lang w:val="sr-Latn-ME"/>
              </w:rPr>
              <w:t>≤ 10</w:t>
            </w:r>
          </w:p>
        </w:tc>
        <w:tc>
          <w:tcPr>
            <w:tcW w:w="1843" w:type="dxa"/>
          </w:tcPr>
          <w:p w14:paraId="0A451D80" w14:textId="77777777" w:rsidR="007E533A" w:rsidRPr="00F47241" w:rsidRDefault="007E533A" w:rsidP="000235D3">
            <w:pPr>
              <w:pStyle w:val="ListParagraph"/>
              <w:ind w:left="0"/>
              <w:rPr>
                <w:szCs w:val="22"/>
                <w:lang w:val="sr-Latn-ME"/>
              </w:rPr>
            </w:pPr>
            <w:r w:rsidRPr="00F47241">
              <w:rPr>
                <w:szCs w:val="22"/>
                <w:lang w:val="sr-Latn-ME"/>
              </w:rPr>
              <w:t>≥ 4,6</w:t>
            </w:r>
          </w:p>
        </w:tc>
        <w:tc>
          <w:tcPr>
            <w:tcW w:w="2551" w:type="dxa"/>
          </w:tcPr>
          <w:p w14:paraId="18895AB8" w14:textId="77777777" w:rsidR="007E533A" w:rsidRPr="00F47241" w:rsidRDefault="007E533A" w:rsidP="000235D3">
            <w:pPr>
              <w:pStyle w:val="ListParagraph"/>
              <w:ind w:left="0"/>
              <w:rPr>
                <w:szCs w:val="22"/>
                <w:lang w:val="sr-Latn-ME"/>
              </w:rPr>
            </w:pPr>
            <w:r w:rsidRPr="00F47241">
              <w:rPr>
                <w:szCs w:val="22"/>
                <w:lang w:val="sr-Latn-ME"/>
              </w:rPr>
              <w:t>četvrtina uobičajene doze</w:t>
            </w:r>
          </w:p>
        </w:tc>
        <w:tc>
          <w:tcPr>
            <w:tcW w:w="2693" w:type="dxa"/>
          </w:tcPr>
          <w:p w14:paraId="686A068E" w14:textId="77777777" w:rsidR="007E533A" w:rsidRPr="00F47241" w:rsidRDefault="007E533A" w:rsidP="000235D3">
            <w:pPr>
              <w:pStyle w:val="ListParagraph"/>
              <w:ind w:left="0"/>
              <w:rPr>
                <w:szCs w:val="22"/>
                <w:lang w:val="sr-Latn-ME"/>
              </w:rPr>
            </w:pPr>
            <w:r w:rsidRPr="00F47241">
              <w:rPr>
                <w:szCs w:val="22"/>
                <w:lang w:val="sr-Latn-ME"/>
              </w:rPr>
              <w:t>svakih 18-24 sata</w:t>
            </w:r>
          </w:p>
        </w:tc>
      </w:tr>
    </w:tbl>
    <w:p w14:paraId="44CDA67C" w14:textId="77777777" w:rsidR="007E533A" w:rsidRPr="00F47241" w:rsidRDefault="007E533A" w:rsidP="007E533A">
      <w:pPr>
        <w:pStyle w:val="ListParagraph"/>
        <w:ind w:left="0"/>
        <w:rPr>
          <w:szCs w:val="22"/>
          <w:u w:val="single"/>
          <w:lang w:val="sr-Latn-ME"/>
        </w:rPr>
      </w:pPr>
      <w:r w:rsidRPr="00F47241">
        <w:rPr>
          <w:u w:val="single"/>
          <w:lang w:val="sr-Latn-ME"/>
        </w:rPr>
        <w:t>*Dnevna doza kod odraslih pacijenata sa normalnom funkcijom bubrega</w:t>
      </w:r>
    </w:p>
    <w:p w14:paraId="2078ABBB" w14:textId="77777777" w:rsidR="007E533A" w:rsidRPr="00F47241" w:rsidRDefault="007E533A" w:rsidP="007E533A">
      <w:pPr>
        <w:pStyle w:val="ListParagraph"/>
        <w:ind w:left="0"/>
        <w:rPr>
          <w:b/>
          <w:i/>
          <w:iCs/>
          <w:szCs w:val="22"/>
          <w:lang w:val="sr-Latn-ME"/>
        </w:rPr>
      </w:pPr>
    </w:p>
    <w:p w14:paraId="5060DFC0" w14:textId="77777777" w:rsidR="007E533A" w:rsidRPr="00F47241" w:rsidRDefault="007E533A" w:rsidP="007E533A">
      <w:pPr>
        <w:rPr>
          <w:bCs/>
          <w:szCs w:val="22"/>
          <w:lang w:val="sr-Latn-ME"/>
        </w:rPr>
      </w:pPr>
      <w:r w:rsidRPr="00F47241">
        <w:rPr>
          <w:bCs/>
          <w:szCs w:val="22"/>
          <w:lang w:val="sr-Latn-ME"/>
        </w:rPr>
        <w:t>Kod pacijenata na hemodijalizi, raspored liječenja zavisi od uslova dijalize.</w:t>
      </w:r>
    </w:p>
    <w:p w14:paraId="2F74B925" w14:textId="77777777" w:rsidR="007E533A" w:rsidRPr="00F47241" w:rsidRDefault="007E533A" w:rsidP="007E533A">
      <w:pPr>
        <w:pStyle w:val="ListParagraph"/>
        <w:ind w:left="0"/>
        <w:rPr>
          <w:bCs/>
          <w:szCs w:val="22"/>
          <w:lang w:val="sr-Latn-ME"/>
        </w:rPr>
      </w:pPr>
      <w:r w:rsidRPr="00F47241">
        <w:rPr>
          <w:bCs/>
          <w:szCs w:val="22"/>
          <w:lang w:val="sr-Latn-ME"/>
        </w:rPr>
        <w:t>Pogledati takodje dio 4.4.</w:t>
      </w:r>
    </w:p>
    <w:p w14:paraId="2BEF859A" w14:textId="77777777" w:rsidR="007E533A" w:rsidRPr="00F47241" w:rsidRDefault="007E533A" w:rsidP="007E533A">
      <w:pPr>
        <w:pStyle w:val="ListParagraph"/>
        <w:ind w:left="0"/>
        <w:rPr>
          <w:b/>
          <w:i/>
          <w:iCs/>
          <w:szCs w:val="22"/>
          <w:lang w:val="sr-Latn-ME"/>
        </w:rPr>
      </w:pPr>
    </w:p>
    <w:p w14:paraId="1EE53186" w14:textId="77777777" w:rsidR="007E533A" w:rsidRPr="00F47241" w:rsidRDefault="007E533A" w:rsidP="007E533A">
      <w:pPr>
        <w:pStyle w:val="ListParagraph"/>
        <w:ind w:left="0"/>
        <w:rPr>
          <w:b/>
          <w:bCs/>
          <w:i/>
          <w:iCs/>
          <w:lang w:val="sr-Latn-ME"/>
        </w:rPr>
      </w:pPr>
      <w:r w:rsidRPr="00F47241">
        <w:rPr>
          <w:b/>
          <w:bCs/>
          <w:i/>
          <w:iCs/>
          <w:lang w:val="sr-Latn-ME"/>
        </w:rPr>
        <w:t xml:space="preserve">Pedijatrijska populacija </w:t>
      </w:r>
    </w:p>
    <w:p w14:paraId="59A9AD95" w14:textId="77777777" w:rsidR="007E533A" w:rsidRPr="00F47241" w:rsidRDefault="007E533A" w:rsidP="007E533A">
      <w:pPr>
        <w:pStyle w:val="ListParagraph"/>
        <w:ind w:left="0"/>
        <w:rPr>
          <w:b/>
          <w:bCs/>
          <w:i/>
          <w:iCs/>
          <w:lang w:val="sr-Latn-ME"/>
        </w:rPr>
      </w:pPr>
    </w:p>
    <w:p w14:paraId="5D75070B" w14:textId="77777777" w:rsidR="007E533A" w:rsidRPr="00F47241" w:rsidRDefault="007E533A" w:rsidP="007E533A">
      <w:pPr>
        <w:pStyle w:val="ListParagraph"/>
        <w:ind w:left="0"/>
        <w:rPr>
          <w:b/>
          <w:bCs/>
          <w:lang w:val="sr-Latn-ME"/>
        </w:rPr>
      </w:pPr>
      <w:r w:rsidRPr="00F47241">
        <w:rPr>
          <w:b/>
          <w:bCs/>
          <w:lang w:val="sr-Latn-ME"/>
        </w:rPr>
        <w:t>Infekcije koje su uzrokovali veoma osjetljivi mikroorganizmi</w:t>
      </w:r>
    </w:p>
    <w:p w14:paraId="6D9C09A2" w14:textId="77777777" w:rsidR="007E533A" w:rsidRPr="00F47241" w:rsidRDefault="007E533A" w:rsidP="007E533A">
      <w:pPr>
        <w:pStyle w:val="ListParagraph"/>
        <w:ind w:left="0"/>
        <w:rPr>
          <w:lang w:val="sr-Latn-ME"/>
        </w:rPr>
      </w:pPr>
    </w:p>
    <w:p w14:paraId="162A877C" w14:textId="77777777" w:rsidR="007E533A" w:rsidRPr="00F47241" w:rsidRDefault="007E533A" w:rsidP="007E533A">
      <w:pPr>
        <w:pStyle w:val="ListParagraph"/>
        <w:ind w:left="0"/>
        <w:rPr>
          <w:b/>
          <w:bCs/>
          <w:lang w:val="sr-Latn-ME"/>
        </w:rPr>
      </w:pPr>
      <w:r w:rsidRPr="00F47241">
        <w:rPr>
          <w:lang w:val="sr-Latn-ME"/>
        </w:rPr>
        <w:t>Preporučena doza je 25-50 mg/kg tjelesne težine podijeljena u dvije do četiri jednake doze (jedna doza svakih 6, 8 ili 12 sati).</w:t>
      </w:r>
    </w:p>
    <w:p w14:paraId="789C6ECB" w14:textId="77777777" w:rsidR="007E533A" w:rsidRPr="00F47241" w:rsidRDefault="007E533A" w:rsidP="007E533A">
      <w:pPr>
        <w:pStyle w:val="ListParagraph"/>
        <w:ind w:left="0"/>
        <w:rPr>
          <w:b/>
          <w:bCs/>
          <w:i/>
          <w:iCs/>
          <w:szCs w:val="22"/>
          <w:lang w:val="sr-Latn-ME"/>
        </w:rPr>
      </w:pPr>
    </w:p>
    <w:p w14:paraId="24535E47" w14:textId="77777777" w:rsidR="007E533A" w:rsidRPr="00F47241" w:rsidRDefault="007E533A" w:rsidP="007E533A">
      <w:pPr>
        <w:pStyle w:val="ListParagraph"/>
        <w:ind w:left="0"/>
        <w:rPr>
          <w:lang w:val="sr-Latn-ME"/>
        </w:rPr>
      </w:pPr>
      <w:r w:rsidRPr="00F47241">
        <w:rPr>
          <w:b/>
          <w:bCs/>
          <w:lang w:val="sr-Latn-ME"/>
        </w:rPr>
        <w:t>Infekcije koje su uzrokovali manje osjetljivi mikroorganizmi</w:t>
      </w:r>
      <w:r w:rsidRPr="00F47241">
        <w:rPr>
          <w:lang w:val="sr-Latn-ME"/>
        </w:rPr>
        <w:t xml:space="preserve"> </w:t>
      </w:r>
    </w:p>
    <w:p w14:paraId="2D549F70" w14:textId="77777777" w:rsidR="007E533A" w:rsidRPr="00F47241" w:rsidRDefault="007E533A" w:rsidP="007E533A">
      <w:pPr>
        <w:pStyle w:val="ListParagraph"/>
        <w:ind w:left="0"/>
        <w:rPr>
          <w:lang w:val="sr-Latn-ME"/>
        </w:rPr>
      </w:pPr>
    </w:p>
    <w:p w14:paraId="227556C5" w14:textId="77777777" w:rsidR="007E533A" w:rsidRPr="00F47241" w:rsidRDefault="007E533A" w:rsidP="007E533A">
      <w:pPr>
        <w:pStyle w:val="ListParagraph"/>
        <w:ind w:left="0"/>
        <w:rPr>
          <w:b/>
          <w:bCs/>
          <w:i/>
          <w:iCs/>
          <w:szCs w:val="22"/>
          <w:lang w:val="sr-Latn-ME"/>
        </w:rPr>
      </w:pPr>
      <w:r w:rsidRPr="00F47241">
        <w:rPr>
          <w:lang w:val="sr-Latn-ME"/>
        </w:rPr>
        <w:t>Preporučena doza je do 100 mg/kg tjelesne težine podijeljena u tri do četiri jednake doze (jedna doza svakih 6 ili 8 sati.)</w:t>
      </w:r>
    </w:p>
    <w:p w14:paraId="0A8E7732" w14:textId="77777777" w:rsidR="007E533A" w:rsidRPr="00F47241" w:rsidRDefault="007E533A" w:rsidP="007E533A">
      <w:pPr>
        <w:pStyle w:val="ListParagraph"/>
        <w:ind w:left="0"/>
        <w:rPr>
          <w:b/>
          <w:bCs/>
          <w:i/>
          <w:iCs/>
          <w:szCs w:val="22"/>
          <w:lang w:val="sr-Latn-ME"/>
        </w:rPr>
      </w:pPr>
    </w:p>
    <w:p w14:paraId="167F726A" w14:textId="3D9B913B" w:rsidR="007E533A" w:rsidRPr="00F47241" w:rsidRDefault="007E533A" w:rsidP="007E533A">
      <w:pPr>
        <w:rPr>
          <w:b/>
          <w:bCs/>
          <w:szCs w:val="22"/>
          <w:lang w:val="sr-Latn-ME"/>
        </w:rPr>
      </w:pPr>
      <w:r w:rsidRPr="00F47241">
        <w:rPr>
          <w:b/>
          <w:bCs/>
          <w:szCs w:val="22"/>
          <w:lang w:val="sr-Latn-ME"/>
        </w:rPr>
        <w:t>Prijevremeno rođena djeca i novorođenčad (uzrasta ispod 1 mjeseca)</w:t>
      </w:r>
    </w:p>
    <w:p w14:paraId="3254F74B" w14:textId="77777777" w:rsidR="007E533A" w:rsidRPr="00F47241" w:rsidRDefault="007E533A" w:rsidP="007E533A">
      <w:pPr>
        <w:pStyle w:val="ListParagraph"/>
        <w:ind w:left="0"/>
        <w:rPr>
          <w:lang w:val="sr-Latn-ME"/>
        </w:rPr>
      </w:pPr>
    </w:p>
    <w:p w14:paraId="009FC73A" w14:textId="77777777" w:rsidR="007E533A" w:rsidRPr="00F47241" w:rsidRDefault="007E533A" w:rsidP="007E533A">
      <w:pPr>
        <w:pStyle w:val="ListParagraph"/>
        <w:ind w:left="0"/>
        <w:rPr>
          <w:lang w:val="sr-Latn-ME"/>
        </w:rPr>
      </w:pPr>
      <w:r w:rsidRPr="00F47241">
        <w:rPr>
          <w:lang w:val="sr-Latn-ME"/>
        </w:rPr>
        <w:t>Sigurnost upotrebe kod prerano rodjene djece i odojčadi mladje od mjesec dana nije utvrdjena, pa se zato ne preporučuje primjena cefazolina kod njih. Takodje pogledati dio 4.4.</w:t>
      </w:r>
    </w:p>
    <w:p w14:paraId="0CAA9A6B" w14:textId="77777777" w:rsidR="007E533A" w:rsidRPr="00F47241" w:rsidRDefault="007E533A" w:rsidP="007E533A">
      <w:pPr>
        <w:pStyle w:val="ListParagraph"/>
        <w:ind w:left="0"/>
        <w:rPr>
          <w:lang w:val="sr-Latn-ME"/>
        </w:rPr>
      </w:pPr>
    </w:p>
    <w:p w14:paraId="07F2C402" w14:textId="77777777" w:rsidR="007E533A" w:rsidRPr="00F47241" w:rsidRDefault="007E533A" w:rsidP="007E533A">
      <w:pPr>
        <w:pStyle w:val="ListParagraph"/>
        <w:ind w:left="0"/>
        <w:rPr>
          <w:b/>
          <w:bCs/>
          <w:lang w:val="sr-Latn-ME"/>
        </w:rPr>
      </w:pPr>
    </w:p>
    <w:p w14:paraId="07562422" w14:textId="77777777" w:rsidR="007E533A" w:rsidRPr="00F47241" w:rsidRDefault="007E533A" w:rsidP="007E533A">
      <w:pPr>
        <w:pStyle w:val="ListParagraph"/>
        <w:ind w:left="0"/>
        <w:rPr>
          <w:b/>
          <w:bCs/>
          <w:lang w:val="sr-Latn-ME"/>
        </w:rPr>
      </w:pPr>
    </w:p>
    <w:p w14:paraId="0EB4EC4E" w14:textId="77777777" w:rsidR="007E533A" w:rsidRPr="00F47241" w:rsidRDefault="007E533A" w:rsidP="007E533A">
      <w:pPr>
        <w:pStyle w:val="ListParagraph"/>
        <w:ind w:left="0"/>
        <w:rPr>
          <w:b/>
          <w:bCs/>
          <w:lang w:val="sr-Latn-ME"/>
        </w:rPr>
      </w:pPr>
      <w:r w:rsidRPr="00F47241">
        <w:rPr>
          <w:b/>
          <w:bCs/>
          <w:lang w:val="sr-Latn-ME"/>
        </w:rPr>
        <w:lastRenderedPageBreak/>
        <w:t>Smjernice za doziranje kod pedijatrijske populacije</w:t>
      </w:r>
    </w:p>
    <w:p w14:paraId="4DDA3427" w14:textId="77777777" w:rsidR="007E533A" w:rsidRPr="00F47241" w:rsidRDefault="007E533A" w:rsidP="007E533A">
      <w:pPr>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417"/>
        <w:gridCol w:w="1418"/>
        <w:gridCol w:w="1417"/>
        <w:gridCol w:w="1441"/>
      </w:tblGrid>
      <w:tr w:rsidR="007E533A" w:rsidRPr="00F47241" w14:paraId="581F906B" w14:textId="77777777" w:rsidTr="000235D3">
        <w:tc>
          <w:tcPr>
            <w:tcW w:w="2263" w:type="dxa"/>
            <w:shd w:val="clear" w:color="auto" w:fill="auto"/>
          </w:tcPr>
          <w:p w14:paraId="470FAD1F" w14:textId="77777777" w:rsidR="007E533A" w:rsidRPr="00F47241" w:rsidRDefault="007E533A" w:rsidP="000235D3">
            <w:pPr>
              <w:rPr>
                <w:szCs w:val="22"/>
                <w:lang w:val="sr-Latn-ME"/>
              </w:rPr>
            </w:pPr>
            <w:r w:rsidRPr="00F47241">
              <w:rPr>
                <w:szCs w:val="22"/>
                <w:lang w:val="sr-Latn-ME"/>
              </w:rPr>
              <w:tab/>
              <w:t>Tjelesna težina</w:t>
            </w:r>
          </w:p>
        </w:tc>
        <w:tc>
          <w:tcPr>
            <w:tcW w:w="1560" w:type="dxa"/>
            <w:shd w:val="clear" w:color="auto" w:fill="auto"/>
          </w:tcPr>
          <w:p w14:paraId="3F716477" w14:textId="77777777" w:rsidR="007E533A" w:rsidRPr="00F47241" w:rsidRDefault="007E533A" w:rsidP="000235D3">
            <w:pPr>
              <w:rPr>
                <w:szCs w:val="22"/>
                <w:lang w:val="sr-Latn-ME"/>
              </w:rPr>
            </w:pPr>
            <w:r w:rsidRPr="00F47241">
              <w:rPr>
                <w:szCs w:val="22"/>
                <w:lang w:val="sr-Latn-ME"/>
              </w:rPr>
              <w:t>5 kg</w:t>
            </w:r>
          </w:p>
        </w:tc>
        <w:tc>
          <w:tcPr>
            <w:tcW w:w="1417" w:type="dxa"/>
            <w:shd w:val="clear" w:color="auto" w:fill="auto"/>
          </w:tcPr>
          <w:p w14:paraId="7C27F9C6" w14:textId="77777777" w:rsidR="007E533A" w:rsidRPr="00F47241" w:rsidRDefault="007E533A" w:rsidP="000235D3">
            <w:pPr>
              <w:rPr>
                <w:szCs w:val="22"/>
                <w:lang w:val="sr-Latn-ME"/>
              </w:rPr>
            </w:pPr>
            <w:r w:rsidRPr="00F47241">
              <w:rPr>
                <w:szCs w:val="22"/>
                <w:lang w:val="sr-Latn-ME"/>
              </w:rPr>
              <w:t>10 kg</w:t>
            </w:r>
          </w:p>
        </w:tc>
        <w:tc>
          <w:tcPr>
            <w:tcW w:w="1418" w:type="dxa"/>
            <w:shd w:val="clear" w:color="auto" w:fill="auto"/>
          </w:tcPr>
          <w:p w14:paraId="24A62B40" w14:textId="77777777" w:rsidR="007E533A" w:rsidRPr="00F47241" w:rsidRDefault="007E533A" w:rsidP="000235D3">
            <w:pPr>
              <w:rPr>
                <w:szCs w:val="22"/>
                <w:lang w:val="sr-Latn-ME"/>
              </w:rPr>
            </w:pPr>
            <w:r w:rsidRPr="00F47241">
              <w:rPr>
                <w:szCs w:val="22"/>
                <w:lang w:val="sr-Latn-ME"/>
              </w:rPr>
              <w:t>15 kg</w:t>
            </w:r>
          </w:p>
        </w:tc>
        <w:tc>
          <w:tcPr>
            <w:tcW w:w="1417" w:type="dxa"/>
            <w:shd w:val="clear" w:color="auto" w:fill="auto"/>
          </w:tcPr>
          <w:p w14:paraId="15D5F5B8" w14:textId="77777777" w:rsidR="007E533A" w:rsidRPr="00F47241" w:rsidRDefault="007E533A" w:rsidP="000235D3">
            <w:pPr>
              <w:rPr>
                <w:szCs w:val="22"/>
                <w:lang w:val="sr-Latn-ME"/>
              </w:rPr>
            </w:pPr>
            <w:r w:rsidRPr="00F47241">
              <w:rPr>
                <w:szCs w:val="22"/>
                <w:lang w:val="sr-Latn-ME"/>
              </w:rPr>
              <w:t>20 kg</w:t>
            </w:r>
          </w:p>
        </w:tc>
        <w:tc>
          <w:tcPr>
            <w:tcW w:w="1441" w:type="dxa"/>
            <w:shd w:val="clear" w:color="auto" w:fill="auto"/>
          </w:tcPr>
          <w:p w14:paraId="4C40418D" w14:textId="77777777" w:rsidR="007E533A" w:rsidRPr="00F47241" w:rsidRDefault="007E533A" w:rsidP="000235D3">
            <w:pPr>
              <w:rPr>
                <w:szCs w:val="22"/>
                <w:lang w:val="sr-Latn-ME"/>
              </w:rPr>
            </w:pPr>
            <w:r w:rsidRPr="00F47241">
              <w:rPr>
                <w:szCs w:val="22"/>
                <w:lang w:val="sr-Latn-ME"/>
              </w:rPr>
              <w:t>25 kg</w:t>
            </w:r>
          </w:p>
        </w:tc>
      </w:tr>
      <w:tr w:rsidR="007E533A" w:rsidRPr="00F47241" w14:paraId="084E5395" w14:textId="77777777" w:rsidTr="000235D3">
        <w:tc>
          <w:tcPr>
            <w:tcW w:w="2263" w:type="dxa"/>
            <w:shd w:val="clear" w:color="auto" w:fill="auto"/>
          </w:tcPr>
          <w:p w14:paraId="4DF43CAD" w14:textId="77777777" w:rsidR="007E533A" w:rsidRPr="00F47241" w:rsidRDefault="007E533A" w:rsidP="000235D3">
            <w:pPr>
              <w:rPr>
                <w:szCs w:val="22"/>
                <w:lang w:val="sr-Latn-ME"/>
              </w:rPr>
            </w:pPr>
            <w:r w:rsidRPr="00F47241">
              <w:rPr>
                <w:szCs w:val="22"/>
                <w:lang w:val="sr-Latn-ME"/>
              </w:rPr>
              <w:t>Dozirati svakih 12 sati dozu od 25 mg/kg tjelesne težine dnevno u 2 podijeljene doze</w:t>
            </w:r>
          </w:p>
        </w:tc>
        <w:tc>
          <w:tcPr>
            <w:tcW w:w="1560" w:type="dxa"/>
            <w:shd w:val="clear" w:color="auto" w:fill="auto"/>
          </w:tcPr>
          <w:p w14:paraId="2DC89097" w14:textId="77777777" w:rsidR="007E533A" w:rsidRPr="00F47241" w:rsidRDefault="007E533A" w:rsidP="000235D3">
            <w:pPr>
              <w:rPr>
                <w:szCs w:val="22"/>
                <w:lang w:val="sr-Latn-ME"/>
              </w:rPr>
            </w:pPr>
            <w:r w:rsidRPr="00F47241">
              <w:rPr>
                <w:szCs w:val="22"/>
                <w:lang w:val="sr-Latn-ME"/>
              </w:rPr>
              <w:t>63 mg</w:t>
            </w:r>
          </w:p>
          <w:p w14:paraId="025FBF3C" w14:textId="77777777" w:rsidR="007E533A" w:rsidRPr="00F47241" w:rsidRDefault="007E533A" w:rsidP="000235D3">
            <w:pPr>
              <w:rPr>
                <w:szCs w:val="22"/>
                <w:lang w:val="sr-Latn-ME"/>
              </w:rPr>
            </w:pPr>
          </w:p>
        </w:tc>
        <w:tc>
          <w:tcPr>
            <w:tcW w:w="1417" w:type="dxa"/>
            <w:shd w:val="clear" w:color="auto" w:fill="auto"/>
          </w:tcPr>
          <w:p w14:paraId="2E381420" w14:textId="77777777" w:rsidR="007E533A" w:rsidRPr="00F47241" w:rsidRDefault="007E533A" w:rsidP="000235D3">
            <w:pPr>
              <w:rPr>
                <w:szCs w:val="22"/>
                <w:lang w:val="sr-Latn-ME"/>
              </w:rPr>
            </w:pPr>
            <w:r w:rsidRPr="00F47241">
              <w:rPr>
                <w:szCs w:val="22"/>
                <w:lang w:val="sr-Latn-ME"/>
              </w:rPr>
              <w:t>125 mg</w:t>
            </w:r>
          </w:p>
          <w:p w14:paraId="3868D35D" w14:textId="77777777" w:rsidR="007E533A" w:rsidRPr="00F47241" w:rsidRDefault="007E533A" w:rsidP="000235D3">
            <w:pPr>
              <w:rPr>
                <w:szCs w:val="22"/>
                <w:lang w:val="sr-Latn-ME"/>
              </w:rPr>
            </w:pPr>
          </w:p>
        </w:tc>
        <w:tc>
          <w:tcPr>
            <w:tcW w:w="1418" w:type="dxa"/>
            <w:shd w:val="clear" w:color="auto" w:fill="auto"/>
          </w:tcPr>
          <w:p w14:paraId="2881690F" w14:textId="77777777" w:rsidR="007E533A" w:rsidRPr="00F47241" w:rsidRDefault="007E533A" w:rsidP="000235D3">
            <w:pPr>
              <w:rPr>
                <w:szCs w:val="22"/>
                <w:lang w:val="sr-Latn-ME"/>
              </w:rPr>
            </w:pPr>
            <w:r w:rsidRPr="00F47241">
              <w:rPr>
                <w:szCs w:val="22"/>
                <w:lang w:val="sr-Latn-ME"/>
              </w:rPr>
              <w:t>188 mg</w:t>
            </w:r>
          </w:p>
          <w:p w14:paraId="07A828DD" w14:textId="77777777" w:rsidR="007E533A" w:rsidRPr="00F47241" w:rsidRDefault="007E533A" w:rsidP="000235D3">
            <w:pPr>
              <w:rPr>
                <w:szCs w:val="22"/>
                <w:lang w:val="sr-Latn-ME"/>
              </w:rPr>
            </w:pPr>
          </w:p>
        </w:tc>
        <w:tc>
          <w:tcPr>
            <w:tcW w:w="1417" w:type="dxa"/>
            <w:shd w:val="clear" w:color="auto" w:fill="auto"/>
          </w:tcPr>
          <w:p w14:paraId="5934538A" w14:textId="77777777" w:rsidR="007E533A" w:rsidRPr="00F47241" w:rsidRDefault="007E533A" w:rsidP="000235D3">
            <w:pPr>
              <w:rPr>
                <w:szCs w:val="22"/>
                <w:lang w:val="sr-Latn-ME"/>
              </w:rPr>
            </w:pPr>
            <w:r w:rsidRPr="00F47241">
              <w:rPr>
                <w:szCs w:val="22"/>
                <w:lang w:val="sr-Latn-ME"/>
              </w:rPr>
              <w:t>250 mg</w:t>
            </w:r>
          </w:p>
          <w:p w14:paraId="4775CA3F" w14:textId="77777777" w:rsidR="007E533A" w:rsidRPr="00F47241" w:rsidRDefault="007E533A" w:rsidP="000235D3">
            <w:pPr>
              <w:rPr>
                <w:szCs w:val="22"/>
                <w:lang w:val="sr-Latn-ME"/>
              </w:rPr>
            </w:pPr>
          </w:p>
        </w:tc>
        <w:tc>
          <w:tcPr>
            <w:tcW w:w="1441" w:type="dxa"/>
            <w:shd w:val="clear" w:color="auto" w:fill="auto"/>
          </w:tcPr>
          <w:p w14:paraId="0CDCA90F" w14:textId="77777777" w:rsidR="007E533A" w:rsidRPr="00F47241" w:rsidRDefault="007E533A" w:rsidP="000235D3">
            <w:pPr>
              <w:rPr>
                <w:szCs w:val="22"/>
                <w:lang w:val="sr-Latn-ME"/>
              </w:rPr>
            </w:pPr>
            <w:r w:rsidRPr="00F47241">
              <w:rPr>
                <w:szCs w:val="22"/>
                <w:lang w:val="sr-Latn-ME"/>
              </w:rPr>
              <w:t>313 mg</w:t>
            </w:r>
          </w:p>
        </w:tc>
      </w:tr>
      <w:tr w:rsidR="007E533A" w:rsidRPr="00F47241" w14:paraId="3A8BBD0D" w14:textId="77777777" w:rsidTr="000235D3">
        <w:tc>
          <w:tcPr>
            <w:tcW w:w="2263" w:type="dxa"/>
            <w:shd w:val="clear" w:color="auto" w:fill="auto"/>
          </w:tcPr>
          <w:p w14:paraId="3FE93845" w14:textId="77777777" w:rsidR="007E533A" w:rsidRPr="00F47241" w:rsidRDefault="007E533A" w:rsidP="000235D3">
            <w:pPr>
              <w:rPr>
                <w:szCs w:val="22"/>
                <w:lang w:val="sr-Latn-ME"/>
              </w:rPr>
            </w:pPr>
            <w:r w:rsidRPr="00F47241">
              <w:rPr>
                <w:szCs w:val="22"/>
                <w:lang w:val="sr-Latn-ME"/>
              </w:rPr>
              <w:t>Dozirati svakih 8 sati dozu od 25 mg/kg tjelesne težine dnevno u 3 podijeljene doze</w:t>
            </w:r>
          </w:p>
        </w:tc>
        <w:tc>
          <w:tcPr>
            <w:tcW w:w="1560" w:type="dxa"/>
            <w:shd w:val="clear" w:color="auto" w:fill="auto"/>
          </w:tcPr>
          <w:p w14:paraId="7120914B" w14:textId="77777777" w:rsidR="007E533A" w:rsidRPr="00F47241" w:rsidRDefault="007E533A" w:rsidP="000235D3">
            <w:pPr>
              <w:rPr>
                <w:szCs w:val="22"/>
                <w:lang w:val="sr-Latn-ME"/>
              </w:rPr>
            </w:pPr>
            <w:r w:rsidRPr="00F47241">
              <w:rPr>
                <w:szCs w:val="22"/>
                <w:lang w:val="sr-Latn-ME"/>
              </w:rPr>
              <w:t>42 mg</w:t>
            </w:r>
          </w:p>
          <w:p w14:paraId="0972EF79" w14:textId="77777777" w:rsidR="007E533A" w:rsidRPr="00F47241" w:rsidRDefault="007E533A" w:rsidP="000235D3">
            <w:pPr>
              <w:rPr>
                <w:szCs w:val="22"/>
                <w:lang w:val="sr-Latn-ME"/>
              </w:rPr>
            </w:pPr>
          </w:p>
        </w:tc>
        <w:tc>
          <w:tcPr>
            <w:tcW w:w="1417" w:type="dxa"/>
            <w:shd w:val="clear" w:color="auto" w:fill="auto"/>
          </w:tcPr>
          <w:p w14:paraId="1959A6F0" w14:textId="77777777" w:rsidR="007E533A" w:rsidRPr="00F47241" w:rsidRDefault="007E533A" w:rsidP="000235D3">
            <w:pPr>
              <w:rPr>
                <w:szCs w:val="22"/>
                <w:lang w:val="sr-Latn-ME"/>
              </w:rPr>
            </w:pPr>
            <w:r w:rsidRPr="00F47241">
              <w:rPr>
                <w:szCs w:val="22"/>
                <w:lang w:val="sr-Latn-ME"/>
              </w:rPr>
              <w:t>85 mg</w:t>
            </w:r>
          </w:p>
          <w:p w14:paraId="1F65FE96" w14:textId="77777777" w:rsidR="007E533A" w:rsidRPr="00F47241" w:rsidRDefault="007E533A" w:rsidP="000235D3">
            <w:pPr>
              <w:rPr>
                <w:szCs w:val="22"/>
                <w:lang w:val="sr-Latn-ME"/>
              </w:rPr>
            </w:pPr>
          </w:p>
        </w:tc>
        <w:tc>
          <w:tcPr>
            <w:tcW w:w="1418" w:type="dxa"/>
            <w:shd w:val="clear" w:color="auto" w:fill="auto"/>
          </w:tcPr>
          <w:p w14:paraId="26E47937" w14:textId="77777777" w:rsidR="007E533A" w:rsidRPr="00F47241" w:rsidRDefault="007E533A" w:rsidP="000235D3">
            <w:pPr>
              <w:rPr>
                <w:szCs w:val="22"/>
                <w:lang w:val="sr-Latn-ME"/>
              </w:rPr>
            </w:pPr>
            <w:r w:rsidRPr="00F47241">
              <w:rPr>
                <w:szCs w:val="22"/>
                <w:lang w:val="sr-Latn-ME"/>
              </w:rPr>
              <w:t>125 mg</w:t>
            </w:r>
          </w:p>
          <w:p w14:paraId="260AF9B7" w14:textId="77777777" w:rsidR="007E533A" w:rsidRPr="00F47241" w:rsidRDefault="007E533A" w:rsidP="000235D3">
            <w:pPr>
              <w:rPr>
                <w:szCs w:val="22"/>
                <w:lang w:val="sr-Latn-ME"/>
              </w:rPr>
            </w:pPr>
          </w:p>
        </w:tc>
        <w:tc>
          <w:tcPr>
            <w:tcW w:w="1417" w:type="dxa"/>
            <w:shd w:val="clear" w:color="auto" w:fill="auto"/>
          </w:tcPr>
          <w:p w14:paraId="0E1AA6F1" w14:textId="77777777" w:rsidR="007E533A" w:rsidRPr="00F47241" w:rsidRDefault="007E533A" w:rsidP="000235D3">
            <w:pPr>
              <w:rPr>
                <w:szCs w:val="22"/>
                <w:lang w:val="sr-Latn-ME"/>
              </w:rPr>
            </w:pPr>
            <w:r w:rsidRPr="00F47241">
              <w:rPr>
                <w:szCs w:val="22"/>
                <w:lang w:val="sr-Latn-ME"/>
              </w:rPr>
              <w:t>167 mg</w:t>
            </w:r>
          </w:p>
          <w:p w14:paraId="2F832DA4" w14:textId="77777777" w:rsidR="007E533A" w:rsidRPr="00F47241" w:rsidRDefault="007E533A" w:rsidP="000235D3">
            <w:pPr>
              <w:rPr>
                <w:szCs w:val="22"/>
                <w:lang w:val="sr-Latn-ME"/>
              </w:rPr>
            </w:pPr>
          </w:p>
        </w:tc>
        <w:tc>
          <w:tcPr>
            <w:tcW w:w="1441" w:type="dxa"/>
            <w:shd w:val="clear" w:color="auto" w:fill="auto"/>
          </w:tcPr>
          <w:p w14:paraId="567AA7FF" w14:textId="77777777" w:rsidR="007E533A" w:rsidRPr="00F47241" w:rsidRDefault="007E533A" w:rsidP="000235D3">
            <w:pPr>
              <w:rPr>
                <w:szCs w:val="22"/>
                <w:lang w:val="sr-Latn-ME"/>
              </w:rPr>
            </w:pPr>
            <w:r w:rsidRPr="00F47241">
              <w:rPr>
                <w:szCs w:val="22"/>
                <w:lang w:val="sr-Latn-ME"/>
              </w:rPr>
              <w:t>208 mg</w:t>
            </w:r>
          </w:p>
        </w:tc>
      </w:tr>
      <w:tr w:rsidR="007E533A" w:rsidRPr="00F47241" w14:paraId="2DE045A6" w14:textId="77777777" w:rsidTr="000235D3">
        <w:tc>
          <w:tcPr>
            <w:tcW w:w="2263" w:type="dxa"/>
            <w:shd w:val="clear" w:color="auto" w:fill="auto"/>
          </w:tcPr>
          <w:p w14:paraId="1DE06647" w14:textId="77777777" w:rsidR="007E533A" w:rsidRPr="00F47241" w:rsidRDefault="007E533A" w:rsidP="000235D3">
            <w:pPr>
              <w:rPr>
                <w:szCs w:val="22"/>
                <w:lang w:val="sr-Latn-ME"/>
              </w:rPr>
            </w:pPr>
            <w:r w:rsidRPr="00F47241">
              <w:rPr>
                <w:szCs w:val="22"/>
                <w:lang w:val="sr-Latn-ME"/>
              </w:rPr>
              <w:t>Dozirati svakih 6 sati dozu od 25 mg/kg tjelesne težine dnevno u 4 podijeljene doze</w:t>
            </w:r>
          </w:p>
        </w:tc>
        <w:tc>
          <w:tcPr>
            <w:tcW w:w="1560" w:type="dxa"/>
            <w:shd w:val="clear" w:color="auto" w:fill="auto"/>
          </w:tcPr>
          <w:p w14:paraId="44C0815E" w14:textId="77777777" w:rsidR="007E533A" w:rsidRPr="00F47241" w:rsidRDefault="007E533A" w:rsidP="000235D3">
            <w:pPr>
              <w:rPr>
                <w:szCs w:val="22"/>
                <w:lang w:val="sr-Latn-ME"/>
              </w:rPr>
            </w:pPr>
            <w:r w:rsidRPr="00F47241">
              <w:rPr>
                <w:szCs w:val="22"/>
                <w:lang w:val="sr-Latn-ME"/>
              </w:rPr>
              <w:t>31 mg</w:t>
            </w:r>
          </w:p>
          <w:p w14:paraId="282FC93E" w14:textId="77777777" w:rsidR="007E533A" w:rsidRPr="00F47241" w:rsidRDefault="007E533A" w:rsidP="000235D3">
            <w:pPr>
              <w:rPr>
                <w:szCs w:val="22"/>
                <w:lang w:val="sr-Latn-ME"/>
              </w:rPr>
            </w:pPr>
          </w:p>
        </w:tc>
        <w:tc>
          <w:tcPr>
            <w:tcW w:w="1417" w:type="dxa"/>
            <w:shd w:val="clear" w:color="auto" w:fill="auto"/>
          </w:tcPr>
          <w:p w14:paraId="4C481E0C" w14:textId="77777777" w:rsidR="007E533A" w:rsidRPr="00F47241" w:rsidRDefault="007E533A" w:rsidP="000235D3">
            <w:pPr>
              <w:rPr>
                <w:szCs w:val="22"/>
                <w:lang w:val="sr-Latn-ME"/>
              </w:rPr>
            </w:pPr>
            <w:r w:rsidRPr="00F47241">
              <w:rPr>
                <w:szCs w:val="22"/>
                <w:lang w:val="sr-Latn-ME"/>
              </w:rPr>
              <w:t>62 mg</w:t>
            </w:r>
          </w:p>
          <w:p w14:paraId="05B599FD" w14:textId="77777777" w:rsidR="007E533A" w:rsidRPr="00F47241" w:rsidRDefault="007E533A" w:rsidP="000235D3">
            <w:pPr>
              <w:rPr>
                <w:szCs w:val="22"/>
                <w:lang w:val="sr-Latn-ME"/>
              </w:rPr>
            </w:pPr>
          </w:p>
        </w:tc>
        <w:tc>
          <w:tcPr>
            <w:tcW w:w="1418" w:type="dxa"/>
            <w:shd w:val="clear" w:color="auto" w:fill="auto"/>
          </w:tcPr>
          <w:p w14:paraId="22E13A68" w14:textId="77777777" w:rsidR="007E533A" w:rsidRPr="00F47241" w:rsidRDefault="007E533A" w:rsidP="000235D3">
            <w:pPr>
              <w:rPr>
                <w:szCs w:val="22"/>
                <w:lang w:val="sr-Latn-ME"/>
              </w:rPr>
            </w:pPr>
            <w:r w:rsidRPr="00F47241">
              <w:rPr>
                <w:szCs w:val="22"/>
                <w:lang w:val="sr-Latn-ME"/>
              </w:rPr>
              <w:t>94 mg</w:t>
            </w:r>
          </w:p>
          <w:p w14:paraId="358A63CD" w14:textId="77777777" w:rsidR="007E533A" w:rsidRPr="00F47241" w:rsidRDefault="007E533A" w:rsidP="000235D3">
            <w:pPr>
              <w:rPr>
                <w:szCs w:val="22"/>
                <w:lang w:val="sr-Latn-ME"/>
              </w:rPr>
            </w:pPr>
          </w:p>
        </w:tc>
        <w:tc>
          <w:tcPr>
            <w:tcW w:w="1417" w:type="dxa"/>
            <w:shd w:val="clear" w:color="auto" w:fill="auto"/>
          </w:tcPr>
          <w:p w14:paraId="192375E8" w14:textId="77777777" w:rsidR="007E533A" w:rsidRPr="00F47241" w:rsidRDefault="007E533A" w:rsidP="000235D3">
            <w:pPr>
              <w:rPr>
                <w:szCs w:val="22"/>
                <w:lang w:val="sr-Latn-ME"/>
              </w:rPr>
            </w:pPr>
            <w:r w:rsidRPr="00F47241">
              <w:rPr>
                <w:szCs w:val="22"/>
                <w:lang w:val="sr-Latn-ME"/>
              </w:rPr>
              <w:t>125 mg</w:t>
            </w:r>
          </w:p>
          <w:p w14:paraId="006F153C" w14:textId="77777777" w:rsidR="007E533A" w:rsidRPr="00F47241" w:rsidRDefault="007E533A" w:rsidP="000235D3">
            <w:pPr>
              <w:rPr>
                <w:szCs w:val="22"/>
                <w:lang w:val="sr-Latn-ME"/>
              </w:rPr>
            </w:pPr>
          </w:p>
        </w:tc>
        <w:tc>
          <w:tcPr>
            <w:tcW w:w="1441" w:type="dxa"/>
            <w:shd w:val="clear" w:color="auto" w:fill="auto"/>
          </w:tcPr>
          <w:p w14:paraId="408E4B01" w14:textId="77777777" w:rsidR="007E533A" w:rsidRPr="00F47241" w:rsidRDefault="007E533A" w:rsidP="000235D3">
            <w:pPr>
              <w:rPr>
                <w:szCs w:val="22"/>
                <w:lang w:val="sr-Latn-ME"/>
              </w:rPr>
            </w:pPr>
            <w:r w:rsidRPr="00F47241">
              <w:rPr>
                <w:szCs w:val="22"/>
                <w:lang w:val="sr-Latn-ME"/>
              </w:rPr>
              <w:t>156 mg</w:t>
            </w:r>
          </w:p>
        </w:tc>
      </w:tr>
      <w:tr w:rsidR="007E533A" w:rsidRPr="00F47241" w14:paraId="0F53C424" w14:textId="77777777" w:rsidTr="000235D3">
        <w:tc>
          <w:tcPr>
            <w:tcW w:w="2263" w:type="dxa"/>
            <w:shd w:val="clear" w:color="auto" w:fill="auto"/>
          </w:tcPr>
          <w:p w14:paraId="0FDCBFE8" w14:textId="77777777" w:rsidR="007E533A" w:rsidRPr="00F47241" w:rsidRDefault="007E533A" w:rsidP="000235D3">
            <w:pPr>
              <w:rPr>
                <w:szCs w:val="22"/>
                <w:lang w:val="sr-Latn-ME"/>
              </w:rPr>
            </w:pPr>
            <w:r w:rsidRPr="00F47241">
              <w:rPr>
                <w:szCs w:val="22"/>
                <w:lang w:val="sr-Latn-ME"/>
              </w:rPr>
              <w:t>Dozirati svakih 12 sati dozu od 50 mg/kg tjelesne težine dnevno u 2 podijeljene doze</w:t>
            </w:r>
          </w:p>
        </w:tc>
        <w:tc>
          <w:tcPr>
            <w:tcW w:w="1560" w:type="dxa"/>
            <w:shd w:val="clear" w:color="auto" w:fill="auto"/>
          </w:tcPr>
          <w:p w14:paraId="22BAEF84" w14:textId="77777777" w:rsidR="007E533A" w:rsidRPr="00F47241" w:rsidRDefault="007E533A" w:rsidP="000235D3">
            <w:pPr>
              <w:rPr>
                <w:szCs w:val="22"/>
                <w:lang w:val="sr-Latn-ME"/>
              </w:rPr>
            </w:pPr>
            <w:r w:rsidRPr="00F47241">
              <w:rPr>
                <w:szCs w:val="22"/>
                <w:lang w:val="sr-Latn-ME"/>
              </w:rPr>
              <w:t>125 mg</w:t>
            </w:r>
          </w:p>
          <w:p w14:paraId="78835252" w14:textId="77777777" w:rsidR="007E533A" w:rsidRPr="00F47241" w:rsidRDefault="007E533A" w:rsidP="000235D3">
            <w:pPr>
              <w:rPr>
                <w:szCs w:val="22"/>
                <w:lang w:val="sr-Latn-ME"/>
              </w:rPr>
            </w:pPr>
          </w:p>
        </w:tc>
        <w:tc>
          <w:tcPr>
            <w:tcW w:w="1417" w:type="dxa"/>
            <w:shd w:val="clear" w:color="auto" w:fill="auto"/>
          </w:tcPr>
          <w:p w14:paraId="60FA1CE8" w14:textId="77777777" w:rsidR="007E533A" w:rsidRPr="00F47241" w:rsidRDefault="007E533A" w:rsidP="000235D3">
            <w:pPr>
              <w:rPr>
                <w:szCs w:val="22"/>
                <w:lang w:val="sr-Latn-ME"/>
              </w:rPr>
            </w:pPr>
            <w:r w:rsidRPr="00F47241">
              <w:rPr>
                <w:szCs w:val="22"/>
                <w:lang w:val="sr-Latn-ME"/>
              </w:rPr>
              <w:t>250 mg</w:t>
            </w:r>
          </w:p>
          <w:p w14:paraId="7633D9B4" w14:textId="77777777" w:rsidR="007E533A" w:rsidRPr="00F47241" w:rsidRDefault="007E533A" w:rsidP="000235D3">
            <w:pPr>
              <w:rPr>
                <w:szCs w:val="22"/>
                <w:lang w:val="sr-Latn-ME"/>
              </w:rPr>
            </w:pPr>
          </w:p>
        </w:tc>
        <w:tc>
          <w:tcPr>
            <w:tcW w:w="1418" w:type="dxa"/>
            <w:shd w:val="clear" w:color="auto" w:fill="auto"/>
          </w:tcPr>
          <w:p w14:paraId="3E33BE09" w14:textId="77777777" w:rsidR="007E533A" w:rsidRPr="00F47241" w:rsidRDefault="007E533A" w:rsidP="000235D3">
            <w:pPr>
              <w:rPr>
                <w:szCs w:val="22"/>
                <w:lang w:val="sr-Latn-ME"/>
              </w:rPr>
            </w:pPr>
            <w:r w:rsidRPr="00F47241">
              <w:rPr>
                <w:szCs w:val="22"/>
                <w:lang w:val="sr-Latn-ME"/>
              </w:rPr>
              <w:t>375 mg</w:t>
            </w:r>
          </w:p>
          <w:p w14:paraId="620E2B9F" w14:textId="77777777" w:rsidR="007E533A" w:rsidRPr="00F47241" w:rsidRDefault="007E533A" w:rsidP="000235D3">
            <w:pPr>
              <w:rPr>
                <w:szCs w:val="22"/>
                <w:lang w:val="sr-Latn-ME"/>
              </w:rPr>
            </w:pPr>
          </w:p>
        </w:tc>
        <w:tc>
          <w:tcPr>
            <w:tcW w:w="1417" w:type="dxa"/>
            <w:shd w:val="clear" w:color="auto" w:fill="auto"/>
          </w:tcPr>
          <w:p w14:paraId="54AC501F" w14:textId="77777777" w:rsidR="007E533A" w:rsidRPr="00F47241" w:rsidRDefault="007E533A" w:rsidP="000235D3">
            <w:pPr>
              <w:rPr>
                <w:szCs w:val="22"/>
                <w:lang w:val="sr-Latn-ME"/>
              </w:rPr>
            </w:pPr>
            <w:r w:rsidRPr="00F47241">
              <w:rPr>
                <w:szCs w:val="22"/>
                <w:lang w:val="sr-Latn-ME"/>
              </w:rPr>
              <w:t>500 mg</w:t>
            </w:r>
          </w:p>
          <w:p w14:paraId="718A9B89" w14:textId="77777777" w:rsidR="007E533A" w:rsidRPr="00F47241" w:rsidRDefault="007E533A" w:rsidP="000235D3">
            <w:pPr>
              <w:rPr>
                <w:szCs w:val="22"/>
                <w:lang w:val="sr-Latn-ME"/>
              </w:rPr>
            </w:pPr>
          </w:p>
        </w:tc>
        <w:tc>
          <w:tcPr>
            <w:tcW w:w="1441" w:type="dxa"/>
            <w:shd w:val="clear" w:color="auto" w:fill="auto"/>
          </w:tcPr>
          <w:p w14:paraId="6D7DD4A6" w14:textId="77777777" w:rsidR="007E533A" w:rsidRPr="00F47241" w:rsidRDefault="007E533A" w:rsidP="000235D3">
            <w:pPr>
              <w:rPr>
                <w:szCs w:val="22"/>
                <w:lang w:val="sr-Latn-ME"/>
              </w:rPr>
            </w:pPr>
            <w:r w:rsidRPr="00F47241">
              <w:rPr>
                <w:szCs w:val="22"/>
                <w:lang w:val="sr-Latn-ME"/>
              </w:rPr>
              <w:t>625 mg</w:t>
            </w:r>
          </w:p>
        </w:tc>
      </w:tr>
      <w:tr w:rsidR="007E533A" w:rsidRPr="00F47241" w14:paraId="51FA8016" w14:textId="77777777" w:rsidTr="000235D3">
        <w:tc>
          <w:tcPr>
            <w:tcW w:w="2263" w:type="dxa"/>
            <w:shd w:val="clear" w:color="auto" w:fill="auto"/>
          </w:tcPr>
          <w:p w14:paraId="1B9858D8" w14:textId="77777777" w:rsidR="007E533A" w:rsidRPr="00F47241" w:rsidRDefault="007E533A" w:rsidP="000235D3">
            <w:pPr>
              <w:rPr>
                <w:szCs w:val="22"/>
                <w:lang w:val="sr-Latn-ME"/>
              </w:rPr>
            </w:pPr>
            <w:r w:rsidRPr="00F47241">
              <w:rPr>
                <w:szCs w:val="22"/>
                <w:lang w:val="sr-Latn-ME"/>
              </w:rPr>
              <w:t>Dozirati svakih 8 sati dozu od 50 mg/kg tjelesne težine dnevno u 3 podijeljene doze</w:t>
            </w:r>
          </w:p>
        </w:tc>
        <w:tc>
          <w:tcPr>
            <w:tcW w:w="1560" w:type="dxa"/>
            <w:shd w:val="clear" w:color="auto" w:fill="auto"/>
          </w:tcPr>
          <w:p w14:paraId="3E95200C" w14:textId="77777777" w:rsidR="007E533A" w:rsidRPr="00F47241" w:rsidRDefault="007E533A" w:rsidP="000235D3">
            <w:pPr>
              <w:rPr>
                <w:szCs w:val="22"/>
                <w:lang w:val="sr-Latn-ME"/>
              </w:rPr>
            </w:pPr>
            <w:r w:rsidRPr="00F47241">
              <w:rPr>
                <w:szCs w:val="22"/>
                <w:lang w:val="sr-Latn-ME"/>
              </w:rPr>
              <w:t>83 mg</w:t>
            </w:r>
          </w:p>
          <w:p w14:paraId="79FB546E" w14:textId="77777777" w:rsidR="007E533A" w:rsidRPr="00F47241" w:rsidRDefault="007E533A" w:rsidP="000235D3">
            <w:pPr>
              <w:rPr>
                <w:szCs w:val="22"/>
                <w:lang w:val="sr-Latn-ME"/>
              </w:rPr>
            </w:pPr>
          </w:p>
        </w:tc>
        <w:tc>
          <w:tcPr>
            <w:tcW w:w="1417" w:type="dxa"/>
            <w:shd w:val="clear" w:color="auto" w:fill="auto"/>
          </w:tcPr>
          <w:p w14:paraId="39E30BA1" w14:textId="77777777" w:rsidR="007E533A" w:rsidRPr="00F47241" w:rsidRDefault="007E533A" w:rsidP="000235D3">
            <w:pPr>
              <w:rPr>
                <w:szCs w:val="22"/>
                <w:lang w:val="sr-Latn-ME"/>
              </w:rPr>
            </w:pPr>
            <w:r w:rsidRPr="00F47241">
              <w:rPr>
                <w:szCs w:val="22"/>
                <w:lang w:val="sr-Latn-ME"/>
              </w:rPr>
              <w:t>166 mg</w:t>
            </w:r>
          </w:p>
          <w:p w14:paraId="5641E924" w14:textId="77777777" w:rsidR="007E533A" w:rsidRPr="00F47241" w:rsidRDefault="007E533A" w:rsidP="000235D3">
            <w:pPr>
              <w:rPr>
                <w:szCs w:val="22"/>
                <w:lang w:val="sr-Latn-ME"/>
              </w:rPr>
            </w:pPr>
          </w:p>
        </w:tc>
        <w:tc>
          <w:tcPr>
            <w:tcW w:w="1418" w:type="dxa"/>
            <w:shd w:val="clear" w:color="auto" w:fill="auto"/>
          </w:tcPr>
          <w:p w14:paraId="3999F91F" w14:textId="77777777" w:rsidR="007E533A" w:rsidRPr="00F47241" w:rsidRDefault="007E533A" w:rsidP="000235D3">
            <w:pPr>
              <w:rPr>
                <w:szCs w:val="22"/>
                <w:lang w:val="sr-Latn-ME"/>
              </w:rPr>
            </w:pPr>
            <w:r w:rsidRPr="00F47241">
              <w:rPr>
                <w:szCs w:val="22"/>
                <w:lang w:val="sr-Latn-ME"/>
              </w:rPr>
              <w:t>250 mg</w:t>
            </w:r>
          </w:p>
          <w:p w14:paraId="62F6FB71" w14:textId="77777777" w:rsidR="007E533A" w:rsidRPr="00F47241" w:rsidRDefault="007E533A" w:rsidP="000235D3">
            <w:pPr>
              <w:rPr>
                <w:szCs w:val="22"/>
                <w:lang w:val="sr-Latn-ME"/>
              </w:rPr>
            </w:pPr>
          </w:p>
        </w:tc>
        <w:tc>
          <w:tcPr>
            <w:tcW w:w="1417" w:type="dxa"/>
            <w:shd w:val="clear" w:color="auto" w:fill="auto"/>
          </w:tcPr>
          <w:p w14:paraId="38190E72" w14:textId="77777777" w:rsidR="007E533A" w:rsidRPr="00F47241" w:rsidRDefault="007E533A" w:rsidP="000235D3">
            <w:pPr>
              <w:rPr>
                <w:szCs w:val="22"/>
                <w:lang w:val="sr-Latn-ME"/>
              </w:rPr>
            </w:pPr>
            <w:r w:rsidRPr="00F47241">
              <w:rPr>
                <w:szCs w:val="22"/>
                <w:lang w:val="sr-Latn-ME"/>
              </w:rPr>
              <w:t>333 mg</w:t>
            </w:r>
          </w:p>
          <w:p w14:paraId="344BF093" w14:textId="77777777" w:rsidR="007E533A" w:rsidRPr="00F47241" w:rsidRDefault="007E533A" w:rsidP="000235D3">
            <w:pPr>
              <w:rPr>
                <w:szCs w:val="22"/>
                <w:lang w:val="sr-Latn-ME"/>
              </w:rPr>
            </w:pPr>
          </w:p>
        </w:tc>
        <w:tc>
          <w:tcPr>
            <w:tcW w:w="1441" w:type="dxa"/>
            <w:shd w:val="clear" w:color="auto" w:fill="auto"/>
          </w:tcPr>
          <w:p w14:paraId="605903FA" w14:textId="77777777" w:rsidR="007E533A" w:rsidRPr="00F47241" w:rsidRDefault="007E533A" w:rsidP="000235D3">
            <w:pPr>
              <w:rPr>
                <w:szCs w:val="22"/>
                <w:lang w:val="sr-Latn-ME"/>
              </w:rPr>
            </w:pPr>
            <w:r w:rsidRPr="00F47241">
              <w:rPr>
                <w:szCs w:val="22"/>
                <w:lang w:val="sr-Latn-ME"/>
              </w:rPr>
              <w:t>417 mg</w:t>
            </w:r>
          </w:p>
        </w:tc>
      </w:tr>
      <w:tr w:rsidR="007E533A" w:rsidRPr="00F47241" w14:paraId="738BD734" w14:textId="77777777" w:rsidTr="000235D3">
        <w:tc>
          <w:tcPr>
            <w:tcW w:w="2263" w:type="dxa"/>
            <w:shd w:val="clear" w:color="auto" w:fill="auto"/>
          </w:tcPr>
          <w:p w14:paraId="1210A5E9" w14:textId="77777777" w:rsidR="007E533A" w:rsidRPr="00F47241" w:rsidRDefault="007E533A" w:rsidP="000235D3">
            <w:pPr>
              <w:rPr>
                <w:szCs w:val="22"/>
                <w:lang w:val="sr-Latn-ME"/>
              </w:rPr>
            </w:pPr>
            <w:r w:rsidRPr="00F47241">
              <w:rPr>
                <w:szCs w:val="22"/>
                <w:lang w:val="sr-Latn-ME"/>
              </w:rPr>
              <w:t>Dozirati svakih 6 sati dozu od 50 mg/kg tjelesne težine dnevno u 4 podijeljene doze</w:t>
            </w:r>
          </w:p>
        </w:tc>
        <w:tc>
          <w:tcPr>
            <w:tcW w:w="1560" w:type="dxa"/>
            <w:shd w:val="clear" w:color="auto" w:fill="auto"/>
          </w:tcPr>
          <w:p w14:paraId="23B98DEC" w14:textId="77777777" w:rsidR="007E533A" w:rsidRPr="00F47241" w:rsidRDefault="007E533A" w:rsidP="000235D3">
            <w:pPr>
              <w:rPr>
                <w:szCs w:val="22"/>
                <w:lang w:val="sr-Latn-ME"/>
              </w:rPr>
            </w:pPr>
            <w:r w:rsidRPr="00F47241">
              <w:rPr>
                <w:szCs w:val="22"/>
                <w:lang w:val="sr-Latn-ME"/>
              </w:rPr>
              <w:t>63 mg</w:t>
            </w:r>
          </w:p>
          <w:p w14:paraId="20866C01" w14:textId="77777777" w:rsidR="007E533A" w:rsidRPr="00F47241" w:rsidRDefault="007E533A" w:rsidP="000235D3">
            <w:pPr>
              <w:rPr>
                <w:szCs w:val="22"/>
                <w:lang w:val="sr-Latn-ME"/>
              </w:rPr>
            </w:pPr>
          </w:p>
        </w:tc>
        <w:tc>
          <w:tcPr>
            <w:tcW w:w="1417" w:type="dxa"/>
            <w:shd w:val="clear" w:color="auto" w:fill="auto"/>
          </w:tcPr>
          <w:p w14:paraId="5FEA30F6" w14:textId="77777777" w:rsidR="007E533A" w:rsidRPr="00F47241" w:rsidRDefault="007E533A" w:rsidP="000235D3">
            <w:pPr>
              <w:rPr>
                <w:szCs w:val="22"/>
                <w:lang w:val="sr-Latn-ME"/>
              </w:rPr>
            </w:pPr>
            <w:r w:rsidRPr="00F47241">
              <w:rPr>
                <w:szCs w:val="22"/>
                <w:lang w:val="sr-Latn-ME"/>
              </w:rPr>
              <w:t>125 mg</w:t>
            </w:r>
          </w:p>
          <w:p w14:paraId="36653BF6" w14:textId="77777777" w:rsidR="007E533A" w:rsidRPr="00F47241" w:rsidRDefault="007E533A" w:rsidP="000235D3">
            <w:pPr>
              <w:rPr>
                <w:szCs w:val="22"/>
                <w:lang w:val="sr-Latn-ME"/>
              </w:rPr>
            </w:pPr>
          </w:p>
        </w:tc>
        <w:tc>
          <w:tcPr>
            <w:tcW w:w="1418" w:type="dxa"/>
            <w:shd w:val="clear" w:color="auto" w:fill="auto"/>
          </w:tcPr>
          <w:p w14:paraId="64BA2A1A" w14:textId="77777777" w:rsidR="007E533A" w:rsidRPr="00F47241" w:rsidRDefault="007E533A" w:rsidP="000235D3">
            <w:pPr>
              <w:rPr>
                <w:szCs w:val="22"/>
                <w:lang w:val="sr-Latn-ME"/>
              </w:rPr>
            </w:pPr>
            <w:r w:rsidRPr="00F47241">
              <w:rPr>
                <w:szCs w:val="22"/>
                <w:lang w:val="sr-Latn-ME"/>
              </w:rPr>
              <w:t>188 mg</w:t>
            </w:r>
          </w:p>
          <w:p w14:paraId="54EE0A33" w14:textId="77777777" w:rsidR="007E533A" w:rsidRPr="00F47241" w:rsidRDefault="007E533A" w:rsidP="000235D3">
            <w:pPr>
              <w:rPr>
                <w:szCs w:val="22"/>
                <w:lang w:val="sr-Latn-ME"/>
              </w:rPr>
            </w:pPr>
          </w:p>
        </w:tc>
        <w:tc>
          <w:tcPr>
            <w:tcW w:w="1417" w:type="dxa"/>
            <w:shd w:val="clear" w:color="auto" w:fill="auto"/>
          </w:tcPr>
          <w:p w14:paraId="4B0A2FCD" w14:textId="77777777" w:rsidR="007E533A" w:rsidRPr="00F47241" w:rsidRDefault="007E533A" w:rsidP="000235D3">
            <w:pPr>
              <w:rPr>
                <w:szCs w:val="22"/>
                <w:lang w:val="sr-Latn-ME"/>
              </w:rPr>
            </w:pPr>
            <w:r w:rsidRPr="00F47241">
              <w:rPr>
                <w:szCs w:val="22"/>
                <w:lang w:val="sr-Latn-ME"/>
              </w:rPr>
              <w:t>250 mg</w:t>
            </w:r>
          </w:p>
          <w:p w14:paraId="60D8AD2D" w14:textId="77777777" w:rsidR="007E533A" w:rsidRPr="00F47241" w:rsidRDefault="007E533A" w:rsidP="000235D3">
            <w:pPr>
              <w:rPr>
                <w:szCs w:val="22"/>
                <w:lang w:val="sr-Latn-ME"/>
              </w:rPr>
            </w:pPr>
          </w:p>
        </w:tc>
        <w:tc>
          <w:tcPr>
            <w:tcW w:w="1441" w:type="dxa"/>
            <w:shd w:val="clear" w:color="auto" w:fill="auto"/>
          </w:tcPr>
          <w:p w14:paraId="73789227" w14:textId="77777777" w:rsidR="007E533A" w:rsidRPr="00F47241" w:rsidRDefault="007E533A" w:rsidP="000235D3">
            <w:pPr>
              <w:rPr>
                <w:szCs w:val="22"/>
                <w:lang w:val="sr-Latn-ME"/>
              </w:rPr>
            </w:pPr>
            <w:r w:rsidRPr="00F47241">
              <w:rPr>
                <w:szCs w:val="22"/>
                <w:lang w:val="sr-Latn-ME"/>
              </w:rPr>
              <w:t>313 mg</w:t>
            </w:r>
          </w:p>
        </w:tc>
      </w:tr>
      <w:tr w:rsidR="007E533A" w:rsidRPr="00F47241" w14:paraId="5EE23D72" w14:textId="77777777" w:rsidTr="000235D3">
        <w:tc>
          <w:tcPr>
            <w:tcW w:w="2263" w:type="dxa"/>
            <w:shd w:val="clear" w:color="auto" w:fill="auto"/>
          </w:tcPr>
          <w:p w14:paraId="56CBDB9A" w14:textId="77777777" w:rsidR="007E533A" w:rsidRPr="00F47241" w:rsidRDefault="007E533A" w:rsidP="000235D3">
            <w:pPr>
              <w:rPr>
                <w:szCs w:val="22"/>
                <w:lang w:val="sr-Latn-ME"/>
              </w:rPr>
            </w:pPr>
            <w:r w:rsidRPr="00F47241">
              <w:rPr>
                <w:szCs w:val="22"/>
                <w:lang w:val="sr-Latn-ME"/>
              </w:rPr>
              <w:t>Dozirati svakih 8 sati dozu od 100 mg/kg tjelesne težine dnevno u 3 podijeljene doze</w:t>
            </w:r>
          </w:p>
        </w:tc>
        <w:tc>
          <w:tcPr>
            <w:tcW w:w="1560" w:type="dxa"/>
            <w:shd w:val="clear" w:color="auto" w:fill="auto"/>
          </w:tcPr>
          <w:p w14:paraId="65B48A92" w14:textId="77777777" w:rsidR="007E533A" w:rsidRPr="00F47241" w:rsidRDefault="007E533A" w:rsidP="000235D3">
            <w:pPr>
              <w:rPr>
                <w:szCs w:val="22"/>
                <w:lang w:val="sr-Latn-ME"/>
              </w:rPr>
            </w:pPr>
            <w:r w:rsidRPr="00F47241">
              <w:rPr>
                <w:szCs w:val="22"/>
                <w:lang w:val="sr-Latn-ME"/>
              </w:rPr>
              <w:t>167 mg</w:t>
            </w:r>
          </w:p>
          <w:p w14:paraId="5A34E4E5" w14:textId="77777777" w:rsidR="007E533A" w:rsidRPr="00F47241" w:rsidRDefault="007E533A" w:rsidP="000235D3">
            <w:pPr>
              <w:rPr>
                <w:szCs w:val="22"/>
                <w:lang w:val="sr-Latn-ME"/>
              </w:rPr>
            </w:pPr>
          </w:p>
        </w:tc>
        <w:tc>
          <w:tcPr>
            <w:tcW w:w="1417" w:type="dxa"/>
            <w:shd w:val="clear" w:color="auto" w:fill="auto"/>
          </w:tcPr>
          <w:p w14:paraId="3A3E0793" w14:textId="77777777" w:rsidR="007E533A" w:rsidRPr="00F47241" w:rsidRDefault="007E533A" w:rsidP="000235D3">
            <w:pPr>
              <w:rPr>
                <w:szCs w:val="22"/>
                <w:lang w:val="sr-Latn-ME"/>
              </w:rPr>
            </w:pPr>
            <w:r w:rsidRPr="00F47241">
              <w:rPr>
                <w:szCs w:val="22"/>
                <w:lang w:val="sr-Latn-ME"/>
              </w:rPr>
              <w:t>333 mg</w:t>
            </w:r>
          </w:p>
          <w:p w14:paraId="78B558D5" w14:textId="77777777" w:rsidR="007E533A" w:rsidRPr="00F47241" w:rsidRDefault="007E533A" w:rsidP="000235D3">
            <w:pPr>
              <w:rPr>
                <w:szCs w:val="22"/>
                <w:lang w:val="sr-Latn-ME"/>
              </w:rPr>
            </w:pPr>
          </w:p>
        </w:tc>
        <w:tc>
          <w:tcPr>
            <w:tcW w:w="1418" w:type="dxa"/>
            <w:shd w:val="clear" w:color="auto" w:fill="auto"/>
          </w:tcPr>
          <w:p w14:paraId="601DD9B0" w14:textId="77777777" w:rsidR="007E533A" w:rsidRPr="00F47241" w:rsidRDefault="007E533A" w:rsidP="000235D3">
            <w:pPr>
              <w:rPr>
                <w:szCs w:val="22"/>
                <w:lang w:val="sr-Latn-ME"/>
              </w:rPr>
            </w:pPr>
            <w:r w:rsidRPr="00F47241">
              <w:rPr>
                <w:szCs w:val="22"/>
                <w:lang w:val="sr-Latn-ME"/>
              </w:rPr>
              <w:t>500 mg</w:t>
            </w:r>
          </w:p>
          <w:p w14:paraId="74352DF2" w14:textId="77777777" w:rsidR="007E533A" w:rsidRPr="00F47241" w:rsidRDefault="007E533A" w:rsidP="000235D3">
            <w:pPr>
              <w:rPr>
                <w:szCs w:val="22"/>
                <w:lang w:val="sr-Latn-ME"/>
              </w:rPr>
            </w:pPr>
          </w:p>
        </w:tc>
        <w:tc>
          <w:tcPr>
            <w:tcW w:w="1417" w:type="dxa"/>
            <w:shd w:val="clear" w:color="auto" w:fill="auto"/>
          </w:tcPr>
          <w:p w14:paraId="3730842B" w14:textId="77777777" w:rsidR="007E533A" w:rsidRPr="00F47241" w:rsidRDefault="007E533A" w:rsidP="000235D3">
            <w:pPr>
              <w:rPr>
                <w:szCs w:val="22"/>
                <w:lang w:val="sr-Latn-ME"/>
              </w:rPr>
            </w:pPr>
            <w:r w:rsidRPr="00F47241">
              <w:rPr>
                <w:szCs w:val="22"/>
                <w:lang w:val="sr-Latn-ME"/>
              </w:rPr>
              <w:t>667 mg</w:t>
            </w:r>
          </w:p>
          <w:p w14:paraId="5B4B24C9" w14:textId="77777777" w:rsidR="007E533A" w:rsidRPr="00F47241" w:rsidRDefault="007E533A" w:rsidP="000235D3">
            <w:pPr>
              <w:rPr>
                <w:szCs w:val="22"/>
                <w:lang w:val="sr-Latn-ME"/>
              </w:rPr>
            </w:pPr>
          </w:p>
        </w:tc>
        <w:tc>
          <w:tcPr>
            <w:tcW w:w="1441" w:type="dxa"/>
            <w:shd w:val="clear" w:color="auto" w:fill="auto"/>
          </w:tcPr>
          <w:p w14:paraId="6CCF1194" w14:textId="77777777" w:rsidR="007E533A" w:rsidRPr="00F47241" w:rsidRDefault="007E533A" w:rsidP="000235D3">
            <w:pPr>
              <w:rPr>
                <w:szCs w:val="22"/>
                <w:lang w:val="sr-Latn-ME"/>
              </w:rPr>
            </w:pPr>
            <w:r w:rsidRPr="00F47241">
              <w:rPr>
                <w:szCs w:val="22"/>
                <w:lang w:val="sr-Latn-ME"/>
              </w:rPr>
              <w:t>833 mg</w:t>
            </w:r>
          </w:p>
        </w:tc>
      </w:tr>
      <w:tr w:rsidR="007E533A" w:rsidRPr="00F47241" w14:paraId="6E09006C" w14:textId="77777777" w:rsidTr="000235D3">
        <w:tc>
          <w:tcPr>
            <w:tcW w:w="2263" w:type="dxa"/>
            <w:shd w:val="clear" w:color="auto" w:fill="auto"/>
          </w:tcPr>
          <w:p w14:paraId="285C20CC" w14:textId="77777777" w:rsidR="007E533A" w:rsidRPr="00F47241" w:rsidRDefault="007E533A" w:rsidP="000235D3">
            <w:pPr>
              <w:rPr>
                <w:szCs w:val="22"/>
                <w:lang w:val="sr-Latn-ME"/>
              </w:rPr>
            </w:pPr>
            <w:r w:rsidRPr="00F47241">
              <w:rPr>
                <w:szCs w:val="22"/>
                <w:lang w:val="sr-Latn-ME"/>
              </w:rPr>
              <w:t>Dozirati svakih 6 sati dozu od 100 mg/kg tjelesne težine dnevno u 4 podijeljene doze</w:t>
            </w:r>
          </w:p>
        </w:tc>
        <w:tc>
          <w:tcPr>
            <w:tcW w:w="1560" w:type="dxa"/>
            <w:shd w:val="clear" w:color="auto" w:fill="auto"/>
          </w:tcPr>
          <w:p w14:paraId="7162F88A" w14:textId="77777777" w:rsidR="007E533A" w:rsidRPr="00F47241" w:rsidRDefault="007E533A" w:rsidP="000235D3">
            <w:pPr>
              <w:rPr>
                <w:szCs w:val="22"/>
                <w:lang w:val="sr-Latn-ME"/>
              </w:rPr>
            </w:pPr>
            <w:r w:rsidRPr="00F47241">
              <w:rPr>
                <w:szCs w:val="22"/>
                <w:lang w:val="sr-Latn-ME"/>
              </w:rPr>
              <w:t>125 mg</w:t>
            </w:r>
          </w:p>
          <w:p w14:paraId="7CE5BC71" w14:textId="77777777" w:rsidR="007E533A" w:rsidRPr="00F47241" w:rsidRDefault="007E533A" w:rsidP="000235D3">
            <w:pPr>
              <w:rPr>
                <w:szCs w:val="22"/>
                <w:lang w:val="sr-Latn-ME"/>
              </w:rPr>
            </w:pPr>
          </w:p>
        </w:tc>
        <w:tc>
          <w:tcPr>
            <w:tcW w:w="1417" w:type="dxa"/>
            <w:shd w:val="clear" w:color="auto" w:fill="auto"/>
          </w:tcPr>
          <w:p w14:paraId="147B3410" w14:textId="77777777" w:rsidR="007E533A" w:rsidRPr="00F47241" w:rsidRDefault="007E533A" w:rsidP="000235D3">
            <w:pPr>
              <w:rPr>
                <w:szCs w:val="22"/>
                <w:lang w:val="sr-Latn-ME"/>
              </w:rPr>
            </w:pPr>
            <w:r w:rsidRPr="00F47241">
              <w:rPr>
                <w:szCs w:val="22"/>
                <w:lang w:val="sr-Latn-ME"/>
              </w:rPr>
              <w:t>250 mg</w:t>
            </w:r>
          </w:p>
          <w:p w14:paraId="55890AC6" w14:textId="77777777" w:rsidR="007E533A" w:rsidRPr="00F47241" w:rsidRDefault="007E533A" w:rsidP="000235D3">
            <w:pPr>
              <w:rPr>
                <w:szCs w:val="22"/>
                <w:lang w:val="sr-Latn-ME"/>
              </w:rPr>
            </w:pPr>
          </w:p>
        </w:tc>
        <w:tc>
          <w:tcPr>
            <w:tcW w:w="1418" w:type="dxa"/>
            <w:shd w:val="clear" w:color="auto" w:fill="auto"/>
          </w:tcPr>
          <w:p w14:paraId="056F3A48" w14:textId="77777777" w:rsidR="007E533A" w:rsidRPr="00F47241" w:rsidRDefault="007E533A" w:rsidP="000235D3">
            <w:pPr>
              <w:rPr>
                <w:szCs w:val="22"/>
                <w:lang w:val="sr-Latn-ME"/>
              </w:rPr>
            </w:pPr>
            <w:r w:rsidRPr="00F47241">
              <w:rPr>
                <w:szCs w:val="22"/>
                <w:lang w:val="sr-Latn-ME"/>
              </w:rPr>
              <w:t>375 mg</w:t>
            </w:r>
          </w:p>
          <w:p w14:paraId="171B824C" w14:textId="77777777" w:rsidR="007E533A" w:rsidRPr="00F47241" w:rsidRDefault="007E533A" w:rsidP="000235D3">
            <w:pPr>
              <w:rPr>
                <w:szCs w:val="22"/>
                <w:lang w:val="sr-Latn-ME"/>
              </w:rPr>
            </w:pPr>
          </w:p>
        </w:tc>
        <w:tc>
          <w:tcPr>
            <w:tcW w:w="1417" w:type="dxa"/>
            <w:shd w:val="clear" w:color="auto" w:fill="auto"/>
          </w:tcPr>
          <w:p w14:paraId="1562628C" w14:textId="77777777" w:rsidR="007E533A" w:rsidRPr="00F47241" w:rsidRDefault="007E533A" w:rsidP="000235D3">
            <w:pPr>
              <w:rPr>
                <w:szCs w:val="22"/>
                <w:lang w:val="sr-Latn-ME"/>
              </w:rPr>
            </w:pPr>
            <w:r w:rsidRPr="00F47241">
              <w:rPr>
                <w:szCs w:val="22"/>
                <w:lang w:val="sr-Latn-ME"/>
              </w:rPr>
              <w:t>500 mg</w:t>
            </w:r>
          </w:p>
          <w:p w14:paraId="7A6B4C87" w14:textId="77777777" w:rsidR="007E533A" w:rsidRPr="00F47241" w:rsidRDefault="007E533A" w:rsidP="000235D3">
            <w:pPr>
              <w:rPr>
                <w:szCs w:val="22"/>
                <w:lang w:val="sr-Latn-ME"/>
              </w:rPr>
            </w:pPr>
          </w:p>
        </w:tc>
        <w:tc>
          <w:tcPr>
            <w:tcW w:w="1441" w:type="dxa"/>
            <w:shd w:val="clear" w:color="auto" w:fill="auto"/>
          </w:tcPr>
          <w:p w14:paraId="0163D5AD" w14:textId="77777777" w:rsidR="007E533A" w:rsidRPr="00F47241" w:rsidRDefault="007E533A" w:rsidP="000235D3">
            <w:pPr>
              <w:rPr>
                <w:szCs w:val="22"/>
                <w:lang w:val="sr-Latn-ME"/>
              </w:rPr>
            </w:pPr>
            <w:r w:rsidRPr="00F47241">
              <w:rPr>
                <w:szCs w:val="22"/>
                <w:lang w:val="sr-Latn-ME"/>
              </w:rPr>
              <w:t>625 mg</w:t>
            </w:r>
          </w:p>
        </w:tc>
      </w:tr>
    </w:tbl>
    <w:p w14:paraId="6A622060" w14:textId="77777777" w:rsidR="007E533A" w:rsidRPr="00F47241" w:rsidRDefault="007E533A" w:rsidP="007E533A">
      <w:pPr>
        <w:pStyle w:val="ListParagraph"/>
        <w:ind w:left="0"/>
        <w:rPr>
          <w:szCs w:val="22"/>
          <w:lang w:val="sr-Latn-ME"/>
        </w:rPr>
      </w:pPr>
    </w:p>
    <w:p w14:paraId="5180F2E4" w14:textId="77777777" w:rsidR="007E533A" w:rsidRPr="00F47241" w:rsidRDefault="007E533A" w:rsidP="007E533A">
      <w:pPr>
        <w:rPr>
          <w:b/>
          <w:bCs/>
          <w:szCs w:val="22"/>
          <w:u w:val="single"/>
          <w:lang w:val="sr-Latn-ME"/>
        </w:rPr>
      </w:pPr>
      <w:r w:rsidRPr="00F47241">
        <w:rPr>
          <w:b/>
          <w:bCs/>
          <w:szCs w:val="22"/>
          <w:u w:val="single"/>
          <w:lang w:val="sr-Latn-ME"/>
        </w:rPr>
        <w:t>Pedijatrijski pacijenti sa oštećenjem funkcije bubrega</w:t>
      </w:r>
    </w:p>
    <w:p w14:paraId="5AF303DF" w14:textId="77777777" w:rsidR="007E533A" w:rsidRPr="00F47241" w:rsidRDefault="007E533A" w:rsidP="007E533A">
      <w:pPr>
        <w:rPr>
          <w:bCs/>
          <w:szCs w:val="22"/>
          <w:lang w:val="sr-Latn-ME"/>
        </w:rPr>
      </w:pPr>
    </w:p>
    <w:p w14:paraId="37E86332" w14:textId="77777777" w:rsidR="007E533A" w:rsidRPr="00F47241" w:rsidRDefault="007E533A" w:rsidP="007E533A">
      <w:pPr>
        <w:rPr>
          <w:bCs/>
          <w:szCs w:val="22"/>
          <w:lang w:val="sr-Latn-ME"/>
        </w:rPr>
      </w:pPr>
      <w:r w:rsidRPr="00F47241">
        <w:rPr>
          <w:bCs/>
          <w:szCs w:val="22"/>
          <w:lang w:val="sr-Latn-ME"/>
        </w:rPr>
        <w:t xml:space="preserve">U slučaju oštećenja funkcije bubrega, potrebno je dati odgovarajuću početnu dozu. Dalje doziranje je potrebno prilagoditi stepenu oštećenja funkcije bubrega, težini infekcije i osjetljivosti patogena na cefazolin. </w:t>
      </w:r>
    </w:p>
    <w:p w14:paraId="69323F31" w14:textId="77777777" w:rsidR="007E533A" w:rsidRPr="00F47241" w:rsidRDefault="007E533A" w:rsidP="007E533A">
      <w:pPr>
        <w:rPr>
          <w:szCs w:val="22"/>
          <w:lang w:val="sr-Latn-ME"/>
        </w:rPr>
      </w:pPr>
      <w:r w:rsidRPr="00F47241">
        <w:rPr>
          <w:szCs w:val="22"/>
          <w:lang w:val="sr-Latn-ME"/>
        </w:rPr>
        <w:t>Kod djece sa blagim oštećenjem bubrega (klirens kreatinina 70 – 40 ml/min), primjenjuje se 60% uobičajene dnevne doze, podijeljeno u dvije pojedinačne doze koje se primjenjuju svakih 12 sati.</w:t>
      </w:r>
    </w:p>
    <w:p w14:paraId="47AF2653" w14:textId="77777777" w:rsidR="007E533A" w:rsidRPr="00F47241" w:rsidRDefault="007E533A" w:rsidP="007E533A">
      <w:pPr>
        <w:rPr>
          <w:szCs w:val="22"/>
          <w:lang w:val="sr-Latn-ME"/>
        </w:rPr>
      </w:pPr>
      <w:r w:rsidRPr="00F47241">
        <w:rPr>
          <w:szCs w:val="22"/>
          <w:lang w:val="sr-Latn-ME"/>
        </w:rPr>
        <w:t>Kod djece sa umjerenim oštećenjem bubrega (klirens kreatinina 40 – 20 ml/min), primjenjuje se 25% uobičajene dnevne doze, podijeljeno u dvije pojedinačne doze koje se primjenjuju svakih 12 sati.</w:t>
      </w:r>
    </w:p>
    <w:p w14:paraId="255E0ABB" w14:textId="77777777" w:rsidR="007E533A" w:rsidRPr="00F47241" w:rsidRDefault="007E533A" w:rsidP="007E533A">
      <w:pPr>
        <w:rPr>
          <w:szCs w:val="22"/>
          <w:lang w:val="sr-Latn-ME"/>
        </w:rPr>
      </w:pPr>
      <w:r w:rsidRPr="00F47241">
        <w:rPr>
          <w:szCs w:val="22"/>
          <w:lang w:val="sr-Latn-ME"/>
        </w:rPr>
        <w:t>Kod djece sa teškim oštećenjem bubrega (klirens kreatinina 20 – 5 ml/min), primjenjuje se 10% uobičajene dnevne doze svaka 24 sata.</w:t>
      </w:r>
    </w:p>
    <w:p w14:paraId="23CE73D7" w14:textId="77777777" w:rsidR="007E533A" w:rsidRPr="00F47241" w:rsidRDefault="007E533A" w:rsidP="007E533A">
      <w:pPr>
        <w:rPr>
          <w:szCs w:val="22"/>
          <w:lang w:val="sr-Latn-ME"/>
        </w:rPr>
      </w:pPr>
      <w:r w:rsidRPr="00F47241">
        <w:rPr>
          <w:szCs w:val="22"/>
          <w:lang w:val="sr-Latn-ME"/>
        </w:rPr>
        <w:t>Ove smjernice važe nakon primjene početne doze (pogledati dio 4.4).</w:t>
      </w:r>
    </w:p>
    <w:p w14:paraId="423EB2A8" w14:textId="77777777" w:rsidR="007E533A" w:rsidRPr="00F47241" w:rsidRDefault="007E533A" w:rsidP="007E533A">
      <w:pPr>
        <w:rPr>
          <w:bCs/>
          <w:szCs w:val="22"/>
          <w:lang w:val="sr-Latn-ME"/>
        </w:rPr>
      </w:pPr>
    </w:p>
    <w:p w14:paraId="7A58AFAB" w14:textId="77777777" w:rsidR="007E533A" w:rsidRPr="00F47241" w:rsidRDefault="007E533A" w:rsidP="007E533A">
      <w:pPr>
        <w:rPr>
          <w:b/>
          <w:bCs/>
          <w:i/>
          <w:iCs/>
          <w:szCs w:val="22"/>
          <w:lang w:val="sr-Latn-ME"/>
        </w:rPr>
      </w:pPr>
      <w:r w:rsidRPr="00F47241">
        <w:rPr>
          <w:b/>
          <w:bCs/>
          <w:i/>
          <w:iCs/>
          <w:szCs w:val="22"/>
          <w:lang w:val="sr-Latn-ME"/>
        </w:rPr>
        <w:t>Starije osobe</w:t>
      </w:r>
    </w:p>
    <w:p w14:paraId="37582EC1" w14:textId="77777777" w:rsidR="007E533A" w:rsidRPr="00F47241" w:rsidRDefault="007E533A" w:rsidP="007E533A">
      <w:pPr>
        <w:rPr>
          <w:bCs/>
          <w:szCs w:val="22"/>
          <w:lang w:val="sr-Latn-ME"/>
        </w:rPr>
      </w:pPr>
    </w:p>
    <w:p w14:paraId="4D0670DD" w14:textId="77777777" w:rsidR="007E533A" w:rsidRPr="00F47241" w:rsidRDefault="007E533A" w:rsidP="007E533A">
      <w:pPr>
        <w:rPr>
          <w:bCs/>
          <w:szCs w:val="22"/>
          <w:lang w:val="sr-Latn-ME"/>
        </w:rPr>
      </w:pPr>
      <w:r w:rsidRPr="00F47241">
        <w:rPr>
          <w:bCs/>
          <w:szCs w:val="22"/>
          <w:lang w:val="sr-Latn-ME"/>
        </w:rPr>
        <w:t>Kod starijih pacijenata sa očuvanom funkcijom bubrega nije potrebno prilagođavanje doze.</w:t>
      </w:r>
    </w:p>
    <w:p w14:paraId="0B24A475" w14:textId="77777777" w:rsidR="007E533A" w:rsidRPr="00F47241" w:rsidRDefault="007E533A" w:rsidP="007E533A">
      <w:pPr>
        <w:rPr>
          <w:bCs/>
          <w:szCs w:val="22"/>
          <w:lang w:val="sr-Latn-ME"/>
        </w:rPr>
      </w:pPr>
    </w:p>
    <w:p w14:paraId="17C5CBA3" w14:textId="77777777" w:rsidR="007E533A" w:rsidRPr="00F47241" w:rsidRDefault="007E533A" w:rsidP="007E533A">
      <w:pPr>
        <w:rPr>
          <w:b/>
          <w:szCs w:val="22"/>
          <w:lang w:val="sr-Latn-ME"/>
        </w:rPr>
      </w:pPr>
      <w:r w:rsidRPr="00F47241">
        <w:rPr>
          <w:b/>
          <w:szCs w:val="22"/>
          <w:lang w:val="sr-Latn-ME"/>
        </w:rPr>
        <w:t>Trajanje terapije</w:t>
      </w:r>
    </w:p>
    <w:p w14:paraId="1A21E95C" w14:textId="77777777" w:rsidR="007E533A" w:rsidRPr="00F47241" w:rsidRDefault="007E533A" w:rsidP="007E533A">
      <w:pPr>
        <w:rPr>
          <w:b/>
          <w:bCs/>
          <w:szCs w:val="22"/>
          <w:lang w:val="sr-Latn-ME"/>
        </w:rPr>
      </w:pPr>
      <w:r w:rsidRPr="00F47241">
        <w:rPr>
          <w:szCs w:val="22"/>
          <w:lang w:val="sr-Latn-ME"/>
        </w:rPr>
        <w:t>Zavisi od toka bolesti.</w:t>
      </w:r>
    </w:p>
    <w:p w14:paraId="22022A4B" w14:textId="77777777" w:rsidR="007E533A" w:rsidRPr="00F47241" w:rsidRDefault="007E533A" w:rsidP="007E533A">
      <w:pPr>
        <w:rPr>
          <w:b/>
          <w:bCs/>
          <w:szCs w:val="22"/>
          <w:lang w:val="sr-Latn-ME"/>
        </w:rPr>
      </w:pPr>
    </w:p>
    <w:p w14:paraId="481D37BE" w14:textId="77777777" w:rsidR="007E533A" w:rsidRPr="00F47241" w:rsidRDefault="007E533A" w:rsidP="007E533A">
      <w:pPr>
        <w:rPr>
          <w:bCs/>
          <w:szCs w:val="22"/>
          <w:u w:val="single"/>
          <w:lang w:val="sr-Latn-ME"/>
        </w:rPr>
      </w:pPr>
      <w:r w:rsidRPr="00F47241">
        <w:rPr>
          <w:bCs/>
          <w:szCs w:val="22"/>
          <w:u w:val="single"/>
          <w:lang w:val="sr-Latn-ME"/>
        </w:rPr>
        <w:lastRenderedPageBreak/>
        <w:t>Način primjene</w:t>
      </w:r>
    </w:p>
    <w:p w14:paraId="23F04C37" w14:textId="77777777" w:rsidR="007E533A" w:rsidRPr="00F47241" w:rsidRDefault="007E533A" w:rsidP="007E533A">
      <w:pPr>
        <w:rPr>
          <w:bCs/>
          <w:szCs w:val="22"/>
          <w:u w:val="single"/>
          <w:lang w:val="sr-Latn-ME"/>
        </w:rPr>
      </w:pPr>
    </w:p>
    <w:p w14:paraId="54A8ABCD" w14:textId="77777777" w:rsidR="007E533A" w:rsidRPr="00F47241" w:rsidRDefault="007E533A" w:rsidP="007E533A">
      <w:pPr>
        <w:rPr>
          <w:bCs/>
          <w:szCs w:val="22"/>
          <w:lang w:val="sr-Latn-ME"/>
        </w:rPr>
      </w:pPr>
      <w:r w:rsidRPr="00F47241">
        <w:rPr>
          <w:bCs/>
          <w:szCs w:val="22"/>
          <w:lang w:val="sr-Latn-ME"/>
        </w:rPr>
        <w:t xml:space="preserve">Lijek Cefazolina Qilu se može primjenjivati kao duboka intramuskularna injekcija, spora intravenska injekcija ili spora  intravenska infuzija. </w:t>
      </w:r>
    </w:p>
    <w:p w14:paraId="65D3BECC" w14:textId="77777777" w:rsidR="007E533A" w:rsidRPr="00F47241" w:rsidRDefault="007E533A" w:rsidP="007E533A">
      <w:pPr>
        <w:rPr>
          <w:bCs/>
          <w:szCs w:val="22"/>
          <w:lang w:val="sr-Latn-ME"/>
        </w:rPr>
      </w:pPr>
    </w:p>
    <w:p w14:paraId="074B8476" w14:textId="77777777" w:rsidR="007E533A" w:rsidRPr="00F47241" w:rsidRDefault="007E533A" w:rsidP="007E533A">
      <w:pPr>
        <w:rPr>
          <w:bCs/>
          <w:szCs w:val="22"/>
          <w:lang w:val="sr-Latn-ME"/>
        </w:rPr>
      </w:pPr>
      <w:r w:rsidRPr="00F47241">
        <w:rPr>
          <w:lang w:val="sr-Latn-ME"/>
        </w:rPr>
        <w:t>Ako se lidokain koristi kao rastvarač, dobijeni rastvor nikada se ne smije primijeniti intravenski (pogledati dio 4.3). Treba uzeti u obzir podatke navedene u sažetku karakteristika lidokaina.</w:t>
      </w:r>
    </w:p>
    <w:p w14:paraId="77254901" w14:textId="77777777" w:rsidR="007E533A" w:rsidRPr="00F47241" w:rsidRDefault="007E533A" w:rsidP="007E533A">
      <w:pPr>
        <w:rPr>
          <w:bCs/>
          <w:szCs w:val="22"/>
          <w:lang w:val="sr-Latn-ME"/>
        </w:rPr>
      </w:pPr>
    </w:p>
    <w:p w14:paraId="6C6E96A9" w14:textId="77777777" w:rsidR="007E533A" w:rsidRPr="00F47241" w:rsidRDefault="007E533A" w:rsidP="007E533A">
      <w:pPr>
        <w:rPr>
          <w:bCs/>
          <w:szCs w:val="22"/>
          <w:lang w:val="sr-Latn-ME"/>
        </w:rPr>
      </w:pPr>
      <w:r w:rsidRPr="00F47241">
        <w:rPr>
          <w:bCs/>
          <w:szCs w:val="22"/>
          <w:lang w:val="sr-Latn-ME"/>
        </w:rPr>
        <w:t>Za uputstvo o rekonstituciji i razblaživanju lijeka prije primjene, pogledati dio 6.6.</w:t>
      </w:r>
    </w:p>
    <w:p w14:paraId="6996AF6D" w14:textId="77777777" w:rsidR="007E533A" w:rsidRPr="00F47241" w:rsidRDefault="007E533A" w:rsidP="007E533A">
      <w:pPr>
        <w:rPr>
          <w:bCs/>
          <w:szCs w:val="22"/>
          <w:lang w:val="sr-Latn-ME"/>
        </w:rPr>
      </w:pPr>
    </w:p>
    <w:p w14:paraId="54D4E74D" w14:textId="77777777" w:rsidR="007E533A" w:rsidRPr="00F47241" w:rsidRDefault="007E533A" w:rsidP="007E533A">
      <w:pPr>
        <w:rPr>
          <w:b/>
          <w:bCs/>
          <w:szCs w:val="22"/>
          <w:lang w:val="sr-Latn-ME"/>
        </w:rPr>
      </w:pPr>
      <w:r w:rsidRPr="00F47241">
        <w:rPr>
          <w:b/>
          <w:bCs/>
          <w:szCs w:val="22"/>
          <w:lang w:val="sr-Latn-ME"/>
        </w:rPr>
        <w:t>4.3. Kontraindikacije</w:t>
      </w:r>
    </w:p>
    <w:p w14:paraId="06BA54BC" w14:textId="77777777" w:rsidR="007E533A" w:rsidRPr="00F47241" w:rsidRDefault="007E533A" w:rsidP="007E533A">
      <w:pPr>
        <w:rPr>
          <w:b/>
          <w:bCs/>
          <w:szCs w:val="22"/>
          <w:lang w:val="sr-Latn-ME"/>
        </w:rPr>
      </w:pPr>
    </w:p>
    <w:p w14:paraId="35516905" w14:textId="77777777" w:rsidR="007E533A" w:rsidRPr="00F47241" w:rsidRDefault="007E533A" w:rsidP="007E533A">
      <w:pPr>
        <w:pStyle w:val="ListParagraph"/>
        <w:numPr>
          <w:ilvl w:val="0"/>
          <w:numId w:val="17"/>
        </w:numPr>
        <w:rPr>
          <w:bCs/>
          <w:szCs w:val="22"/>
          <w:lang w:val="sr-Latn-ME"/>
        </w:rPr>
      </w:pPr>
      <w:r w:rsidRPr="00F47241">
        <w:rPr>
          <w:bCs/>
          <w:szCs w:val="22"/>
          <w:lang w:val="sr-Latn-ME"/>
        </w:rPr>
        <w:t xml:space="preserve">Preosjetljivost na cefazolin </w:t>
      </w:r>
    </w:p>
    <w:p w14:paraId="0F36AB8D" w14:textId="77777777" w:rsidR="007E533A" w:rsidRPr="00F47241" w:rsidRDefault="007E533A" w:rsidP="007E533A">
      <w:pPr>
        <w:pStyle w:val="ListParagraph"/>
        <w:numPr>
          <w:ilvl w:val="0"/>
          <w:numId w:val="17"/>
        </w:numPr>
        <w:rPr>
          <w:bCs/>
          <w:szCs w:val="22"/>
          <w:lang w:val="sr-Latn-ME"/>
        </w:rPr>
      </w:pPr>
      <w:r w:rsidRPr="00F47241">
        <w:rPr>
          <w:bCs/>
          <w:szCs w:val="22"/>
          <w:lang w:val="sr-Latn-ME"/>
        </w:rPr>
        <w:t>Anamneza teških reakcija preosjetljivosti (npr anafilaktički šok) na druge beta-laktamske antibiotike (peniciline, monobaktame i karbapeneme).</w:t>
      </w:r>
    </w:p>
    <w:p w14:paraId="3F6005AE" w14:textId="77777777" w:rsidR="007E533A" w:rsidRPr="00F47241" w:rsidRDefault="007E533A" w:rsidP="007E533A">
      <w:pPr>
        <w:tabs>
          <w:tab w:val="clear" w:pos="284"/>
          <w:tab w:val="left" w:pos="5499"/>
        </w:tabs>
        <w:rPr>
          <w:szCs w:val="22"/>
          <w:lang w:val="sr-Latn-ME"/>
        </w:rPr>
      </w:pPr>
      <w:r w:rsidRPr="00F47241">
        <w:rPr>
          <w:szCs w:val="22"/>
          <w:lang w:val="sr-Latn-ME"/>
        </w:rPr>
        <w:tab/>
      </w:r>
    </w:p>
    <w:p w14:paraId="61C6CCA9" w14:textId="77777777" w:rsidR="007E533A" w:rsidRPr="00F47241" w:rsidRDefault="007E533A" w:rsidP="007E533A">
      <w:pPr>
        <w:rPr>
          <w:b/>
          <w:bCs/>
          <w:szCs w:val="22"/>
          <w:lang w:val="sr-Latn-ME"/>
        </w:rPr>
      </w:pPr>
      <w:r w:rsidRPr="00F47241">
        <w:rPr>
          <w:lang w:val="sr-Latn-ME"/>
        </w:rPr>
        <w:t>Mora se isključiti bilo koja kontraindikacija za lidokain prije intramuskularne injekcije gdje se lidokain koristi kao rastvarač (pogledati dio 4.4). Vidjeti informacije u sažetku karakteristika lidokaina, posebno kontraindikacije. Rastvori cefazolina koji sadrže lidokain nikad se ne smiju primijeniti intravenski.</w:t>
      </w:r>
    </w:p>
    <w:p w14:paraId="22A6512E" w14:textId="77777777" w:rsidR="007E533A" w:rsidRPr="00F47241" w:rsidRDefault="007E533A" w:rsidP="007E533A">
      <w:pPr>
        <w:rPr>
          <w:b/>
          <w:bCs/>
          <w:szCs w:val="22"/>
          <w:lang w:val="sr-Latn-ME"/>
        </w:rPr>
      </w:pPr>
    </w:p>
    <w:p w14:paraId="618506C2" w14:textId="77777777" w:rsidR="007E533A" w:rsidRPr="00F47241" w:rsidRDefault="007E533A" w:rsidP="007E533A">
      <w:pPr>
        <w:rPr>
          <w:b/>
          <w:bCs/>
          <w:szCs w:val="22"/>
          <w:lang w:val="sr-Latn-ME"/>
        </w:rPr>
      </w:pPr>
      <w:r w:rsidRPr="00F47241">
        <w:rPr>
          <w:b/>
          <w:bCs/>
          <w:szCs w:val="22"/>
          <w:lang w:val="sr-Latn-ME"/>
        </w:rPr>
        <w:t>4.4. Posebna upozorenja i mjere opreza pri upotrebi lijeka</w:t>
      </w:r>
    </w:p>
    <w:p w14:paraId="47613165" w14:textId="77777777" w:rsidR="007E533A" w:rsidRPr="00F47241" w:rsidRDefault="007E533A" w:rsidP="007E533A">
      <w:pPr>
        <w:rPr>
          <w:szCs w:val="22"/>
          <w:lang w:val="sr-Latn-ME"/>
        </w:rPr>
      </w:pPr>
    </w:p>
    <w:p w14:paraId="76B0BF43" w14:textId="77777777" w:rsidR="007E533A" w:rsidRPr="00F47241" w:rsidRDefault="007E533A" w:rsidP="007E533A">
      <w:pPr>
        <w:rPr>
          <w:i/>
          <w:iCs/>
          <w:szCs w:val="22"/>
          <w:lang w:val="sr-Latn-ME"/>
        </w:rPr>
      </w:pPr>
      <w:r w:rsidRPr="00F47241">
        <w:rPr>
          <w:i/>
          <w:iCs/>
          <w:szCs w:val="22"/>
          <w:lang w:val="sr-Latn-ME"/>
        </w:rPr>
        <w:t>Reakcije preosjetljivosti</w:t>
      </w:r>
    </w:p>
    <w:p w14:paraId="75A669CB" w14:textId="77777777" w:rsidR="007E533A" w:rsidRPr="00F47241" w:rsidRDefault="007E533A" w:rsidP="007E533A">
      <w:pPr>
        <w:rPr>
          <w:szCs w:val="22"/>
          <w:lang w:val="sr-Latn-ME"/>
        </w:rPr>
      </w:pPr>
      <w:r w:rsidRPr="00F47241">
        <w:rPr>
          <w:szCs w:val="22"/>
          <w:lang w:val="sr-Latn-ME"/>
        </w:rPr>
        <w:t xml:space="preserve">Prije početka terapije cefazolinom potrebno je utvrditi da li se u anamnezi navode reakcije preosjetljivosti na druge beta-laktamske antibiotike (peniciline ili cefalosporine). </w:t>
      </w:r>
    </w:p>
    <w:p w14:paraId="0C3585B6" w14:textId="77777777" w:rsidR="007E533A" w:rsidRPr="00F47241" w:rsidRDefault="007E533A" w:rsidP="007E533A">
      <w:pPr>
        <w:rPr>
          <w:szCs w:val="22"/>
          <w:lang w:val="sr-Latn-ME"/>
        </w:rPr>
      </w:pPr>
      <w:r w:rsidRPr="00F47241">
        <w:rPr>
          <w:lang w:val="sr-Latn-ME"/>
        </w:rPr>
        <w:t>Posebna pažnja je potrebna kod pacijenata sa alergijskim reakcijama.</w:t>
      </w:r>
      <w:r w:rsidRPr="00F47241">
        <w:rPr>
          <w:szCs w:val="22"/>
          <w:lang w:val="sr-Latn-ME"/>
        </w:rPr>
        <w:t xml:space="preserve"> Treba uzeti u obzir mogućnost povremene pojave ukrštene alergijske reakcije sa drugim cefalosporinima i penicilinima.</w:t>
      </w:r>
    </w:p>
    <w:p w14:paraId="7C575F6B" w14:textId="77777777" w:rsidR="007E533A" w:rsidRPr="00F47241" w:rsidRDefault="007E533A" w:rsidP="007E533A">
      <w:pPr>
        <w:rPr>
          <w:lang w:val="sr-Latn-ME"/>
        </w:rPr>
      </w:pPr>
      <w:r w:rsidRPr="00F47241">
        <w:rPr>
          <w:lang w:val="sr-Latn-ME"/>
        </w:rPr>
        <w:t>Kao i kod drugih beta-laktamskih antibakterijskih ljekova, postoje podaci o ozbiljnim reakcijama preosjetljivosti, s mogućim smrtnim ishodom. U slučaju teških reakcija preosjetljivosti liječenje cefazolinom mora se odmah prekinuti i primijeniti odgovarajuće hitne mjere.</w:t>
      </w:r>
    </w:p>
    <w:p w14:paraId="3EF496F0" w14:textId="77777777" w:rsidR="007E533A" w:rsidRPr="00F47241" w:rsidRDefault="007E533A" w:rsidP="007E533A">
      <w:pPr>
        <w:rPr>
          <w:lang w:val="sr-Latn-ME"/>
        </w:rPr>
      </w:pPr>
      <w:r w:rsidRPr="00F47241">
        <w:rPr>
          <w:lang w:val="sr-Latn-ME"/>
        </w:rPr>
        <w:t>Prije početka liječenja potrebno je utvrditi ima li pacijent u anamnezi teške reakcije preosjetljivosti na cefazolin, neki drugi cefalosporin ili bilo koju drugu vrstu beta-laktamskih ljekova. Cefazolin treba primjenjivati oprezno kod pacijenata sa anamnezom reakcija preosjetljivosti na druge beta-laktamske antibiotike, a koje su kategorizovane  kao ne-ozbiljne.</w:t>
      </w:r>
    </w:p>
    <w:p w14:paraId="484F53D2" w14:textId="77777777" w:rsidR="007E533A" w:rsidRPr="00F47241" w:rsidRDefault="007E533A" w:rsidP="007E533A">
      <w:pPr>
        <w:rPr>
          <w:lang w:val="sr-Latn-ME"/>
        </w:rPr>
      </w:pPr>
    </w:p>
    <w:p w14:paraId="264F88F1" w14:textId="77777777" w:rsidR="007E533A" w:rsidRPr="00F47241" w:rsidRDefault="007E533A" w:rsidP="007E533A">
      <w:pPr>
        <w:rPr>
          <w:i/>
          <w:iCs/>
          <w:lang w:val="sr-Latn-ME"/>
        </w:rPr>
      </w:pPr>
      <w:r w:rsidRPr="00F47241">
        <w:rPr>
          <w:i/>
          <w:iCs/>
          <w:lang w:val="sr-Latn-ME"/>
        </w:rPr>
        <w:t>Pseudomembranozni kolitis povezan sa primjenom antibiotika</w:t>
      </w:r>
    </w:p>
    <w:p w14:paraId="54453D5F" w14:textId="77777777" w:rsidR="007E533A" w:rsidRPr="00F47241" w:rsidRDefault="007E533A" w:rsidP="007E533A">
      <w:pPr>
        <w:rPr>
          <w:lang w:val="sr-Latn-ME"/>
        </w:rPr>
      </w:pPr>
      <w:r w:rsidRPr="00F47241">
        <w:rPr>
          <w:lang w:val="sr-Latn-ME"/>
        </w:rPr>
        <w:t>U slučaju teške i perzistentne dijareje potrebno je razmotriti mogućnost pseudomembranoznog kolitisa povezanog sa primjenom antibiotika. Ovo stanje može biti opasno po život pa liječenje cefazolinom treba odmah prekinuti te primijeniti odgovarajuću terapiju; antiperistaltički ljekovi su kontraindikovani. Pogledati takodje dio 4.8.</w:t>
      </w:r>
    </w:p>
    <w:p w14:paraId="7F504BB6" w14:textId="77777777" w:rsidR="007E533A" w:rsidRPr="00F47241" w:rsidRDefault="007E533A" w:rsidP="007E533A">
      <w:pPr>
        <w:rPr>
          <w:szCs w:val="22"/>
          <w:lang w:val="sr-Latn-ME"/>
        </w:rPr>
      </w:pPr>
    </w:p>
    <w:p w14:paraId="46757C07" w14:textId="77777777" w:rsidR="007E533A" w:rsidRPr="00F47241" w:rsidRDefault="007E533A" w:rsidP="007E533A">
      <w:pPr>
        <w:rPr>
          <w:i/>
          <w:szCs w:val="22"/>
          <w:lang w:val="sr-Latn-ME"/>
        </w:rPr>
      </w:pPr>
      <w:r w:rsidRPr="00F47241">
        <w:rPr>
          <w:i/>
          <w:szCs w:val="22"/>
          <w:lang w:val="sr-Latn-ME"/>
        </w:rPr>
        <w:t>Oštećenje funkcije bubrega</w:t>
      </w:r>
    </w:p>
    <w:p w14:paraId="2423FC93" w14:textId="77777777" w:rsidR="007E533A" w:rsidRPr="00F47241" w:rsidRDefault="007E533A" w:rsidP="007E533A">
      <w:pPr>
        <w:tabs>
          <w:tab w:val="left" w:pos="5620"/>
        </w:tabs>
        <w:rPr>
          <w:szCs w:val="22"/>
          <w:lang w:val="sr-Latn-ME"/>
        </w:rPr>
      </w:pPr>
      <w:r w:rsidRPr="00F47241">
        <w:rPr>
          <w:szCs w:val="22"/>
          <w:lang w:val="sr-Latn-ME"/>
        </w:rPr>
        <w:t>Kod pacijenata sa oštećenjem funkcije bubrega, dozu i /ili dozni interval treba prilagoditi težini oštećenja bubrega (pogledati dio 4.2). Iako cefazolin rijetko izaziva oštećenje bubrežne funkcije, preporučuje se da se funkcija bubrega ispita, posebno kod pacijenata sa teškim oboljenjima koji primaju maksimalne doze lijeka i pacijentima koji istovremeno primaju ljekove koji su potencijalno nefrotoksični, kao što su aminoglikozidi ili jaki diuretici (npr. furosemid).</w:t>
      </w:r>
    </w:p>
    <w:p w14:paraId="139D59B0" w14:textId="77777777" w:rsidR="007E533A" w:rsidRPr="00F47241" w:rsidRDefault="007E533A" w:rsidP="007E533A">
      <w:pPr>
        <w:rPr>
          <w:szCs w:val="22"/>
          <w:lang w:val="sr-Latn-ME"/>
        </w:rPr>
      </w:pPr>
    </w:p>
    <w:p w14:paraId="168676F4" w14:textId="77777777" w:rsidR="007E533A" w:rsidRPr="00F47241" w:rsidRDefault="007E533A" w:rsidP="007E533A">
      <w:pPr>
        <w:rPr>
          <w:i/>
          <w:szCs w:val="22"/>
          <w:lang w:val="sr-Latn-ME"/>
        </w:rPr>
      </w:pPr>
      <w:r w:rsidRPr="00F47241">
        <w:rPr>
          <w:i/>
          <w:szCs w:val="22"/>
          <w:lang w:val="sr-Latn-ME"/>
        </w:rPr>
        <w:t>Intratekalna primjena</w:t>
      </w:r>
    </w:p>
    <w:p w14:paraId="3F8E2317" w14:textId="77777777" w:rsidR="007E533A" w:rsidRPr="00F47241" w:rsidRDefault="007E533A" w:rsidP="007E533A">
      <w:pPr>
        <w:rPr>
          <w:szCs w:val="22"/>
          <w:lang w:val="sr-Latn-ME"/>
        </w:rPr>
      </w:pPr>
      <w:r w:rsidRPr="00F47241">
        <w:rPr>
          <w:szCs w:val="22"/>
          <w:lang w:val="sr-Latn-ME"/>
        </w:rPr>
        <w:t>Ovaj lijek nije za intratekalnu primjenu. Prijavljena je ozbiljna intoksikacija centralnog nervnog sistema (uključujući i konvulzije) nakon intratekalne primjene cefazolina.</w:t>
      </w:r>
    </w:p>
    <w:p w14:paraId="4AE508E4" w14:textId="77777777" w:rsidR="007E533A" w:rsidRPr="00F47241" w:rsidRDefault="007E533A" w:rsidP="007E533A">
      <w:pPr>
        <w:rPr>
          <w:szCs w:val="22"/>
          <w:lang w:val="sr-Latn-ME"/>
        </w:rPr>
      </w:pPr>
    </w:p>
    <w:p w14:paraId="4F92DD02" w14:textId="77777777" w:rsidR="007E533A" w:rsidRPr="00F47241" w:rsidRDefault="007E533A" w:rsidP="007E533A">
      <w:pPr>
        <w:tabs>
          <w:tab w:val="left" w:pos="5620"/>
        </w:tabs>
        <w:rPr>
          <w:i/>
          <w:szCs w:val="22"/>
          <w:lang w:val="sr-Latn-ME"/>
        </w:rPr>
      </w:pPr>
      <w:r w:rsidRPr="00F47241">
        <w:rPr>
          <w:i/>
          <w:szCs w:val="22"/>
          <w:lang w:val="sr-Latn-ME"/>
        </w:rPr>
        <w:t>Bakterijska rezistancija i superinfekcija</w:t>
      </w:r>
    </w:p>
    <w:p w14:paraId="503568D2" w14:textId="77777777" w:rsidR="007E533A" w:rsidRPr="00F47241" w:rsidRDefault="007E533A" w:rsidP="007E533A">
      <w:pPr>
        <w:rPr>
          <w:szCs w:val="22"/>
          <w:lang w:val="sr-Latn-ME"/>
        </w:rPr>
      </w:pPr>
      <w:r w:rsidRPr="00F47241">
        <w:rPr>
          <w:szCs w:val="22"/>
          <w:lang w:val="sr-Latn-ME"/>
        </w:rPr>
        <w:t>Dugotrajno liječenje cefazolinom može da dovede do rezistencije bakterija na cefazolin. Pacijente treba pažljivo pratiti zbog mogućih superinfekcija. Ukoliko se one jave, potrebno je preduzeti odgovarajuće mjere.</w:t>
      </w:r>
    </w:p>
    <w:p w14:paraId="2C032AFD" w14:textId="77777777" w:rsidR="007E533A" w:rsidRPr="00F47241" w:rsidRDefault="007E533A" w:rsidP="007E533A">
      <w:pPr>
        <w:rPr>
          <w:szCs w:val="22"/>
          <w:lang w:val="sr-Latn-ME"/>
        </w:rPr>
      </w:pPr>
    </w:p>
    <w:p w14:paraId="1094F891" w14:textId="77777777" w:rsidR="007E533A" w:rsidRPr="00F47241" w:rsidRDefault="007E533A" w:rsidP="007E533A">
      <w:pPr>
        <w:tabs>
          <w:tab w:val="left" w:pos="5620"/>
        </w:tabs>
        <w:rPr>
          <w:i/>
          <w:szCs w:val="22"/>
          <w:lang w:val="sr-Latn-ME"/>
        </w:rPr>
      </w:pPr>
      <w:r w:rsidRPr="00F47241">
        <w:rPr>
          <w:i/>
          <w:szCs w:val="22"/>
          <w:lang w:val="sr-Latn-ME"/>
        </w:rPr>
        <w:lastRenderedPageBreak/>
        <w:t>Poremećaji koagulacije</w:t>
      </w:r>
    </w:p>
    <w:p w14:paraId="3E107F2F" w14:textId="77777777" w:rsidR="007E533A" w:rsidRPr="00F47241" w:rsidRDefault="007E533A" w:rsidP="007E533A">
      <w:pPr>
        <w:tabs>
          <w:tab w:val="left" w:pos="5620"/>
        </w:tabs>
        <w:rPr>
          <w:szCs w:val="22"/>
          <w:lang w:val="sr-Latn-ME"/>
        </w:rPr>
      </w:pPr>
      <w:r w:rsidRPr="00F47241">
        <w:rPr>
          <w:szCs w:val="22"/>
          <w:lang w:val="sr-Latn-ME"/>
        </w:rPr>
        <w:t>U izuzetnim slučajevima mogu da se jave poremećaji koagulacije krvi usljed primjene cefazolina.</w:t>
      </w:r>
    </w:p>
    <w:p w14:paraId="19EC03DF" w14:textId="77777777" w:rsidR="007E533A" w:rsidRPr="00F47241" w:rsidRDefault="007E533A" w:rsidP="007E533A">
      <w:pPr>
        <w:tabs>
          <w:tab w:val="left" w:pos="5620"/>
        </w:tabs>
        <w:rPr>
          <w:szCs w:val="22"/>
          <w:lang w:val="sr-Latn-ME"/>
        </w:rPr>
      </w:pPr>
      <w:r w:rsidRPr="00F47241">
        <w:rPr>
          <w:szCs w:val="22"/>
          <w:lang w:val="sr-Latn-ME"/>
        </w:rPr>
        <w:t xml:space="preserve">Faktore rizika predstavljaju deficit vitamina K ili uticaj na druge mehanizme koagulacije (parenteralna ishrana, neadekvatna ishrana, oslabljena funkcija jetre ili bubrega, trombocitopenija). Može doći do poremećaja zgrušavanja krvi ukoliko postoje povezane bolesti (npr. hemofilija, ulkus na želucu ili dvanaestopalačnom crijevu) koje mogu da izazovu ili pogoršaju krvarenje. Stoga, kod pacijenata sa ovim stanjima treba pratiti protrombinsko vrijeme. Ukoliko postoji značajno smanjenje, treba primijeniti suplemente vitamina K (10mg nedjeljno). </w:t>
      </w:r>
    </w:p>
    <w:p w14:paraId="0E5D34AB" w14:textId="77777777" w:rsidR="007E533A" w:rsidRPr="00F47241" w:rsidRDefault="007E533A" w:rsidP="007E533A">
      <w:pPr>
        <w:rPr>
          <w:szCs w:val="22"/>
          <w:lang w:val="sr-Latn-ME"/>
        </w:rPr>
      </w:pPr>
    </w:p>
    <w:p w14:paraId="28BA2F82" w14:textId="77777777" w:rsidR="007E533A" w:rsidRPr="00F47241" w:rsidRDefault="007E533A" w:rsidP="007E533A">
      <w:pPr>
        <w:tabs>
          <w:tab w:val="left" w:pos="5620"/>
        </w:tabs>
        <w:rPr>
          <w:i/>
          <w:szCs w:val="22"/>
          <w:lang w:val="sr-Latn-ME"/>
        </w:rPr>
      </w:pPr>
      <w:r w:rsidRPr="00F47241">
        <w:rPr>
          <w:i/>
          <w:szCs w:val="22"/>
          <w:lang w:val="sr-Latn-ME"/>
        </w:rPr>
        <w:t>Hipertenzija ili srčana insuficijencija</w:t>
      </w:r>
    </w:p>
    <w:p w14:paraId="09BD483A" w14:textId="77777777" w:rsidR="007E533A" w:rsidRPr="00F47241" w:rsidRDefault="007E533A" w:rsidP="007E533A">
      <w:pPr>
        <w:tabs>
          <w:tab w:val="left" w:pos="5620"/>
        </w:tabs>
        <w:rPr>
          <w:szCs w:val="22"/>
          <w:lang w:val="sr-Latn-ME"/>
        </w:rPr>
      </w:pPr>
      <w:r w:rsidRPr="00F47241">
        <w:rPr>
          <w:szCs w:val="22"/>
          <w:lang w:val="sr-Latn-ME"/>
        </w:rPr>
        <w:t>Kod pacijenata sa hipertenzijom ili srčanom insuficijencijom treba uzeti u obzir sadržaj natrijuma u rastvoru za injekcije.</w:t>
      </w:r>
    </w:p>
    <w:p w14:paraId="3D887CD0" w14:textId="77777777" w:rsidR="007E533A" w:rsidRPr="00F47241" w:rsidRDefault="007E533A" w:rsidP="007E533A">
      <w:pPr>
        <w:rPr>
          <w:szCs w:val="22"/>
          <w:lang w:val="sr-Latn-ME"/>
        </w:rPr>
      </w:pPr>
    </w:p>
    <w:p w14:paraId="382903B1" w14:textId="77777777" w:rsidR="007E533A" w:rsidRPr="00F47241" w:rsidRDefault="007E533A" w:rsidP="007E533A">
      <w:pPr>
        <w:rPr>
          <w:i/>
          <w:iCs/>
          <w:lang w:val="sr-Latn-ME"/>
        </w:rPr>
      </w:pPr>
      <w:r w:rsidRPr="00F47241">
        <w:rPr>
          <w:i/>
          <w:iCs/>
          <w:lang w:val="sr-Latn-ME"/>
        </w:rPr>
        <w:t>Primjena lidokaina</w:t>
      </w:r>
    </w:p>
    <w:p w14:paraId="187F65C2" w14:textId="77777777" w:rsidR="007E533A" w:rsidRPr="00F47241" w:rsidRDefault="007E533A" w:rsidP="007E533A">
      <w:pPr>
        <w:rPr>
          <w:lang w:val="sr-Latn-ME"/>
        </w:rPr>
      </w:pPr>
      <w:r w:rsidRPr="00F47241">
        <w:rPr>
          <w:lang w:val="sr-Latn-ME"/>
        </w:rPr>
        <w:t xml:space="preserve">Ukoliko se lidokain upotrijebi kao rastvarač, tako dobijeni rastvor cefazolina smije se primijeniti isključivo za intramuskularnu injekciju. Prije primjene moraju se uzeti u obzir sve kontraindikacije, upozorenja i druge relevantne informacije sadržane u sažetku karakteristika lidokaina (pogledati dio 4.3). </w:t>
      </w:r>
    </w:p>
    <w:p w14:paraId="6A6F8FC0" w14:textId="77777777" w:rsidR="007E533A" w:rsidRPr="00F47241" w:rsidRDefault="007E533A" w:rsidP="007E533A">
      <w:pPr>
        <w:rPr>
          <w:szCs w:val="22"/>
          <w:lang w:val="sr-Latn-ME"/>
        </w:rPr>
      </w:pPr>
      <w:r w:rsidRPr="00F47241">
        <w:rPr>
          <w:lang w:val="sr-Latn-ME"/>
        </w:rPr>
        <w:t>Rastvor lidokaina se nikada ne smije primijeniti intravenski.</w:t>
      </w:r>
    </w:p>
    <w:p w14:paraId="54EAB581" w14:textId="77777777" w:rsidR="007E533A" w:rsidRPr="00F47241" w:rsidRDefault="007E533A" w:rsidP="007E533A">
      <w:pPr>
        <w:rPr>
          <w:szCs w:val="22"/>
          <w:lang w:val="sr-Latn-ME"/>
        </w:rPr>
      </w:pPr>
    </w:p>
    <w:p w14:paraId="4B420043" w14:textId="77777777" w:rsidR="007E533A" w:rsidRPr="00F47241" w:rsidRDefault="007E533A" w:rsidP="007E533A">
      <w:pPr>
        <w:rPr>
          <w:iCs/>
          <w:szCs w:val="22"/>
          <w:u w:val="single"/>
          <w:lang w:val="sr-Latn-ME"/>
        </w:rPr>
      </w:pPr>
      <w:r w:rsidRPr="00F47241">
        <w:rPr>
          <w:iCs/>
          <w:szCs w:val="22"/>
          <w:u w:val="single"/>
          <w:lang w:val="sr-Latn-ME"/>
        </w:rPr>
        <w:t>Pedijatrijska populacija</w:t>
      </w:r>
    </w:p>
    <w:p w14:paraId="3E10E17B" w14:textId="77777777" w:rsidR="007E533A" w:rsidRPr="00F47241" w:rsidRDefault="007E533A" w:rsidP="007E533A">
      <w:pPr>
        <w:rPr>
          <w:i/>
          <w:iCs/>
          <w:szCs w:val="22"/>
          <w:highlight w:val="yellow"/>
          <w:u w:val="single"/>
          <w:lang w:val="sr-Latn-ME"/>
        </w:rPr>
      </w:pPr>
      <w:r w:rsidRPr="00F47241">
        <w:rPr>
          <w:i/>
          <w:iCs/>
          <w:szCs w:val="22"/>
          <w:u w:val="single"/>
          <w:lang w:val="sr-Latn-ME"/>
        </w:rPr>
        <w:t xml:space="preserve">Prevremeno rođene bebe i odojčad do 1 mjeseca starosti </w:t>
      </w:r>
    </w:p>
    <w:p w14:paraId="28A70F0A" w14:textId="77777777" w:rsidR="007E533A" w:rsidRPr="00F47241" w:rsidRDefault="007E533A" w:rsidP="007E533A">
      <w:pPr>
        <w:rPr>
          <w:szCs w:val="22"/>
          <w:lang w:val="sr-Latn-ME"/>
        </w:rPr>
      </w:pPr>
      <w:r w:rsidRPr="00F47241">
        <w:rPr>
          <w:szCs w:val="22"/>
          <w:lang w:val="sr-Latn-ME"/>
        </w:rPr>
        <w:t>Cefazolin ne treba primjenjivati kod prijevremeno rođene djece i odojčadi mlađe od 1 mjeseca jer ne postoje podaci o primjeni lijeka u ovoj populaciji i bezbjednost nije ispitana.</w:t>
      </w:r>
    </w:p>
    <w:p w14:paraId="2BF8C6EE" w14:textId="77777777" w:rsidR="007E533A" w:rsidRPr="00F47241" w:rsidRDefault="007E533A" w:rsidP="007E533A">
      <w:pPr>
        <w:rPr>
          <w:szCs w:val="22"/>
          <w:lang w:val="sr-Latn-ME"/>
        </w:rPr>
      </w:pPr>
    </w:p>
    <w:p w14:paraId="01F45934" w14:textId="77777777" w:rsidR="007E533A" w:rsidRPr="00F47241" w:rsidRDefault="007E533A" w:rsidP="007E533A">
      <w:pPr>
        <w:rPr>
          <w:szCs w:val="22"/>
          <w:lang w:val="sr-Latn-ME"/>
        </w:rPr>
      </w:pPr>
      <w:r w:rsidRPr="00F47241">
        <w:rPr>
          <w:szCs w:val="22"/>
          <w:lang w:val="sr-Latn-ME"/>
        </w:rPr>
        <w:t xml:space="preserve">Lijek Cefazolina Qilu sadrži 2,2 mmol (50,6 mg) natrijuma po bočici, </w:t>
      </w:r>
      <w:r w:rsidRPr="00F47241">
        <w:rPr>
          <w:lang w:val="sr-Latn-ME"/>
        </w:rPr>
        <w:t>što odgovara 2,53 % maksimalnog dnevnog unosa od 2 g natrijuma prema preporukama SZO za odraslu osobu.</w:t>
      </w:r>
    </w:p>
    <w:p w14:paraId="160ED0F9" w14:textId="77777777" w:rsidR="007E533A" w:rsidRPr="00F47241" w:rsidRDefault="007E533A" w:rsidP="007E533A">
      <w:pPr>
        <w:rPr>
          <w:szCs w:val="22"/>
          <w:lang w:val="sr-Latn-ME"/>
        </w:rPr>
      </w:pPr>
    </w:p>
    <w:p w14:paraId="517392F6" w14:textId="77777777" w:rsidR="007E533A" w:rsidRPr="00F47241" w:rsidRDefault="007E533A" w:rsidP="007E533A">
      <w:pPr>
        <w:rPr>
          <w:szCs w:val="22"/>
          <w:lang w:val="sr-Latn-ME"/>
        </w:rPr>
      </w:pPr>
      <w:r w:rsidRPr="00F47241">
        <w:rPr>
          <w:szCs w:val="22"/>
          <w:lang w:val="sr-Latn-ME"/>
        </w:rPr>
        <w:t>Savjetuje se poseban oprez prilikom upotrebe kod pacijenata koji su na dijeti u kojoj se kontroliše unos natrijuma.</w:t>
      </w:r>
    </w:p>
    <w:p w14:paraId="59D9C22E" w14:textId="77777777" w:rsidR="007E533A" w:rsidRPr="00F47241" w:rsidRDefault="007E533A" w:rsidP="007E533A">
      <w:pPr>
        <w:rPr>
          <w:szCs w:val="22"/>
          <w:lang w:val="sr-Latn-ME"/>
        </w:rPr>
      </w:pPr>
    </w:p>
    <w:p w14:paraId="11FB3E3F" w14:textId="77777777" w:rsidR="007E533A" w:rsidRPr="00F47241" w:rsidRDefault="007E533A" w:rsidP="007E533A">
      <w:pPr>
        <w:rPr>
          <w:b/>
          <w:bCs/>
          <w:szCs w:val="22"/>
          <w:lang w:val="sr-Latn-ME"/>
        </w:rPr>
      </w:pPr>
      <w:r w:rsidRPr="00F47241">
        <w:rPr>
          <w:b/>
          <w:bCs/>
          <w:szCs w:val="22"/>
          <w:lang w:val="sr-Latn-ME"/>
        </w:rPr>
        <w:t>4.5. Interakcije sa drugim ljekovima i druge vrste interakcija</w:t>
      </w:r>
    </w:p>
    <w:p w14:paraId="6E8FC110" w14:textId="77777777" w:rsidR="007E533A" w:rsidRPr="00F47241" w:rsidRDefault="007E533A" w:rsidP="007E533A">
      <w:pPr>
        <w:rPr>
          <w:szCs w:val="22"/>
          <w:lang w:val="sr-Latn-ME"/>
        </w:rPr>
      </w:pPr>
    </w:p>
    <w:p w14:paraId="1BEE7C46" w14:textId="77777777" w:rsidR="007E533A" w:rsidRPr="00F47241" w:rsidRDefault="007E533A" w:rsidP="007E533A">
      <w:pPr>
        <w:rPr>
          <w:iCs/>
          <w:szCs w:val="22"/>
          <w:u w:val="single"/>
          <w:lang w:val="sr-Latn-ME"/>
        </w:rPr>
      </w:pPr>
      <w:r w:rsidRPr="00F47241">
        <w:rPr>
          <w:iCs/>
          <w:szCs w:val="22"/>
          <w:u w:val="single"/>
          <w:lang w:val="sr-Latn-ME"/>
        </w:rPr>
        <w:t>Antibiotici</w:t>
      </w:r>
    </w:p>
    <w:p w14:paraId="27224DD7" w14:textId="77777777" w:rsidR="007E533A" w:rsidRPr="00F47241" w:rsidRDefault="007E533A" w:rsidP="007E533A">
      <w:pPr>
        <w:rPr>
          <w:szCs w:val="22"/>
          <w:lang w:val="sr-Latn-ME"/>
        </w:rPr>
      </w:pPr>
      <w:r w:rsidRPr="00F47241">
        <w:rPr>
          <w:szCs w:val="22"/>
          <w:lang w:val="sr-Latn-ME"/>
        </w:rPr>
        <w:t xml:space="preserve">Cefazolin se ne smije primjenjivati istovremeno sa bakteriostatskim antibioticima (npr. tetraciklini, sulfonamidi, eritromicin, hloramfenikol) jer je u </w:t>
      </w:r>
      <w:r w:rsidRPr="00F47241">
        <w:rPr>
          <w:i/>
          <w:szCs w:val="22"/>
          <w:lang w:val="sr-Latn-ME"/>
        </w:rPr>
        <w:t>in vitro</w:t>
      </w:r>
      <w:r w:rsidRPr="00F47241">
        <w:rPr>
          <w:szCs w:val="22"/>
          <w:lang w:val="sr-Latn-ME"/>
        </w:rPr>
        <w:t xml:space="preserve"> ispitivanjima uočeno antagonističko djelovanje.</w:t>
      </w:r>
    </w:p>
    <w:p w14:paraId="6A1104B9" w14:textId="77777777" w:rsidR="007E533A" w:rsidRPr="00F47241" w:rsidRDefault="007E533A" w:rsidP="007E533A">
      <w:pPr>
        <w:rPr>
          <w:i/>
          <w:szCs w:val="22"/>
          <w:lang w:val="sr-Latn-ME"/>
        </w:rPr>
      </w:pPr>
    </w:p>
    <w:p w14:paraId="29EF2252" w14:textId="77777777" w:rsidR="007E533A" w:rsidRPr="00F47241" w:rsidRDefault="007E533A" w:rsidP="007E533A">
      <w:pPr>
        <w:rPr>
          <w:iCs/>
          <w:szCs w:val="22"/>
          <w:u w:val="single"/>
          <w:lang w:val="sr-Latn-ME"/>
        </w:rPr>
      </w:pPr>
      <w:r w:rsidRPr="00F47241">
        <w:rPr>
          <w:iCs/>
          <w:szCs w:val="22"/>
          <w:u w:val="single"/>
          <w:lang w:val="sr-Latn-ME"/>
        </w:rPr>
        <w:t>Probenecid</w:t>
      </w:r>
    </w:p>
    <w:p w14:paraId="560479F5" w14:textId="77777777" w:rsidR="007E533A" w:rsidRPr="00F47241" w:rsidRDefault="007E533A" w:rsidP="007E533A">
      <w:pPr>
        <w:rPr>
          <w:szCs w:val="22"/>
          <w:lang w:val="sr-Latn-ME"/>
        </w:rPr>
      </w:pPr>
      <w:r w:rsidRPr="00F47241">
        <w:rPr>
          <w:szCs w:val="22"/>
          <w:lang w:val="sr-Latn-ME"/>
        </w:rPr>
        <w:t xml:space="preserve">Pri istovremenoj primjeni sa probenecidom smanjuje se renalni klirens cefazolina. </w:t>
      </w:r>
    </w:p>
    <w:p w14:paraId="04C78180" w14:textId="77777777" w:rsidR="007E533A" w:rsidRPr="00F47241" w:rsidRDefault="007E533A" w:rsidP="007E533A">
      <w:pPr>
        <w:rPr>
          <w:b/>
          <w:szCs w:val="22"/>
          <w:u w:val="single"/>
          <w:lang w:val="sr-Latn-ME"/>
        </w:rPr>
      </w:pPr>
    </w:p>
    <w:p w14:paraId="74BFC8A3" w14:textId="77777777" w:rsidR="007E533A" w:rsidRPr="00F47241" w:rsidRDefault="007E533A" w:rsidP="007E533A">
      <w:pPr>
        <w:rPr>
          <w:iCs/>
          <w:szCs w:val="22"/>
          <w:u w:val="single"/>
          <w:lang w:val="sr-Latn-ME"/>
        </w:rPr>
      </w:pPr>
      <w:r w:rsidRPr="00F47241">
        <w:rPr>
          <w:iCs/>
          <w:szCs w:val="22"/>
          <w:u w:val="single"/>
          <w:lang w:val="sr-Latn-ME"/>
        </w:rPr>
        <w:t>Vitamin K1</w:t>
      </w:r>
    </w:p>
    <w:p w14:paraId="7C811DCE" w14:textId="77777777" w:rsidR="007E533A" w:rsidRPr="00F47241" w:rsidRDefault="007E533A" w:rsidP="007E533A">
      <w:pPr>
        <w:rPr>
          <w:szCs w:val="22"/>
          <w:lang w:val="sr-Latn-ME"/>
        </w:rPr>
      </w:pPr>
      <w:r w:rsidRPr="00F47241">
        <w:rPr>
          <w:szCs w:val="22"/>
          <w:lang w:val="sr-Latn-ME"/>
        </w:rPr>
        <w:t>Neki cefalosporini, kao što su cefamandol, cefazolin i cefotetan, mogu da utiču na metabolizam vitamina K1, posebno u slučajevima nedostatka ovog vitamina. Zato može biti potrebno uvođenje terapije vitaminom K1.</w:t>
      </w:r>
    </w:p>
    <w:p w14:paraId="00616D23" w14:textId="77777777" w:rsidR="007E533A" w:rsidRPr="00F47241" w:rsidRDefault="007E533A" w:rsidP="007E533A">
      <w:pPr>
        <w:rPr>
          <w:szCs w:val="22"/>
          <w:lang w:val="sr-Latn-ME"/>
        </w:rPr>
      </w:pPr>
    </w:p>
    <w:p w14:paraId="34A49096" w14:textId="77777777" w:rsidR="007E533A" w:rsidRPr="00F47241" w:rsidRDefault="007E533A" w:rsidP="007E533A">
      <w:pPr>
        <w:rPr>
          <w:iCs/>
          <w:szCs w:val="22"/>
          <w:u w:val="single"/>
          <w:lang w:val="sr-Latn-ME"/>
        </w:rPr>
      </w:pPr>
      <w:r w:rsidRPr="00F47241">
        <w:rPr>
          <w:iCs/>
          <w:szCs w:val="22"/>
          <w:u w:val="single"/>
          <w:lang w:val="sr-Latn-ME"/>
        </w:rPr>
        <w:t>Antikoagulansi</w:t>
      </w:r>
    </w:p>
    <w:p w14:paraId="284B9F2A" w14:textId="77777777" w:rsidR="007E533A" w:rsidRPr="00F47241" w:rsidRDefault="007E533A" w:rsidP="007E533A">
      <w:pPr>
        <w:rPr>
          <w:szCs w:val="22"/>
          <w:lang w:val="sr-Latn-ME"/>
        </w:rPr>
      </w:pPr>
      <w:r w:rsidRPr="00F47241">
        <w:rPr>
          <w:szCs w:val="22"/>
          <w:lang w:val="sr-Latn-ME"/>
        </w:rPr>
        <w:t>U veoma rijetkim slučajevima cefalosporini mogu izazvati poremećaje koagulacije krvi (pogledati dio 4.4). Praćenje parametara koagulacije je neophodno ukoliko se istovremeno primjenjuju antikoagulansi (npr. varfarin ili heparin) u velikim dozama.</w:t>
      </w:r>
      <w:r w:rsidRPr="00F47241">
        <w:rPr>
          <w:lang w:val="sr-Latn-ME"/>
        </w:rPr>
        <w:t xml:space="preserve"> </w:t>
      </w:r>
      <w:r w:rsidRPr="00F47241">
        <w:rPr>
          <w:szCs w:val="22"/>
          <w:lang w:val="sr-Latn-ME"/>
        </w:rPr>
        <w:t>U velikom broju slučajeva, prijavljen je porast aktivnosti koagulansa kod pacijenata koji primaju antibiotike. Infekcija i zapaljenje, uzrast i opšti status pacijenta vjerojatno će predstavljati faktore rizika.</w:t>
      </w:r>
    </w:p>
    <w:p w14:paraId="7825D9DB" w14:textId="77777777" w:rsidR="007E533A" w:rsidRPr="00F47241" w:rsidRDefault="007E533A" w:rsidP="007E533A">
      <w:pPr>
        <w:rPr>
          <w:szCs w:val="22"/>
          <w:lang w:val="sr-Latn-ME"/>
        </w:rPr>
      </w:pPr>
      <w:r w:rsidRPr="00F47241">
        <w:rPr>
          <w:szCs w:val="22"/>
          <w:lang w:val="sr-Latn-ME"/>
        </w:rPr>
        <w:t>Pod tim okolnostima, teško je utvrditi koju ulogu igra infekcija i njeno liječenje kad se pojavi neravnoteža INR-a. Medjutim, neke klase antibiotika više su podrazumijevane, posebno fluorohinoloni, makrolidi, ciklini, kotrimoksazol i neki cefalosporini.</w:t>
      </w:r>
    </w:p>
    <w:p w14:paraId="5F23B153" w14:textId="77777777" w:rsidR="007E533A" w:rsidRPr="00F47241" w:rsidRDefault="007E533A" w:rsidP="007E533A">
      <w:pPr>
        <w:rPr>
          <w:szCs w:val="22"/>
          <w:lang w:val="sr-Latn-ME"/>
        </w:rPr>
      </w:pPr>
    </w:p>
    <w:p w14:paraId="7756A646" w14:textId="77777777" w:rsidR="007E533A" w:rsidRPr="00F47241" w:rsidRDefault="007E533A" w:rsidP="007E533A">
      <w:pPr>
        <w:rPr>
          <w:iCs/>
          <w:szCs w:val="22"/>
          <w:u w:val="single"/>
          <w:lang w:val="sr-Latn-ME"/>
        </w:rPr>
      </w:pPr>
      <w:r w:rsidRPr="00F47241">
        <w:rPr>
          <w:iCs/>
          <w:szCs w:val="22"/>
          <w:u w:val="single"/>
          <w:lang w:val="sr-Latn-ME"/>
        </w:rPr>
        <w:t>Nefrotoksične supstance</w:t>
      </w:r>
    </w:p>
    <w:p w14:paraId="5235C590" w14:textId="77777777" w:rsidR="007E533A" w:rsidRPr="00F47241" w:rsidRDefault="007E533A" w:rsidP="007E533A">
      <w:pPr>
        <w:rPr>
          <w:szCs w:val="22"/>
          <w:lang w:val="sr-Latn-ME"/>
        </w:rPr>
      </w:pPr>
      <w:r w:rsidRPr="00F47241">
        <w:rPr>
          <w:szCs w:val="22"/>
          <w:lang w:val="sr-Latn-ME"/>
        </w:rPr>
        <w:t xml:space="preserve">Ne može se isključiti da cefazolin pojačava nefrotoksični efekat antibiotika (npr. aminoglikozida, kolistina, polimiksina B) kontrastnih sredstava koji sadrže jod, organoplatinskih jedinjenja, visokih doza metotreksata, </w:t>
      </w:r>
      <w:r w:rsidRPr="00F47241">
        <w:rPr>
          <w:szCs w:val="22"/>
          <w:lang w:val="sr-Latn-ME"/>
        </w:rPr>
        <w:lastRenderedPageBreak/>
        <w:t xml:space="preserve">nekih antivirusnih ljekova (npr. aciklovira, foskarneta), pentamidina, ciklosporina, takrolimusa i diuretika (npr. furosemida). </w:t>
      </w:r>
    </w:p>
    <w:p w14:paraId="73E90225" w14:textId="77777777" w:rsidR="007E533A" w:rsidRPr="00F47241" w:rsidRDefault="007E533A" w:rsidP="007E533A">
      <w:pPr>
        <w:rPr>
          <w:szCs w:val="22"/>
          <w:lang w:val="sr-Latn-ME"/>
        </w:rPr>
      </w:pPr>
      <w:r w:rsidRPr="00F47241">
        <w:rPr>
          <w:szCs w:val="22"/>
          <w:lang w:val="sr-Latn-ME"/>
        </w:rPr>
        <w:t>Kod istovremene primjene sa cefazolinom, testovi bubrežne funkcije moraju se pažljivo pratiti.</w:t>
      </w:r>
    </w:p>
    <w:p w14:paraId="4D0447AB" w14:textId="77777777" w:rsidR="007E533A" w:rsidRPr="00F47241" w:rsidRDefault="007E533A" w:rsidP="007E533A">
      <w:pPr>
        <w:rPr>
          <w:szCs w:val="22"/>
          <w:lang w:val="sr-Latn-ME"/>
        </w:rPr>
      </w:pPr>
    </w:p>
    <w:p w14:paraId="383E3946" w14:textId="77777777" w:rsidR="007E533A" w:rsidRPr="00F47241" w:rsidRDefault="007E533A" w:rsidP="007E533A">
      <w:pPr>
        <w:rPr>
          <w:iCs/>
          <w:szCs w:val="22"/>
          <w:u w:val="single"/>
          <w:lang w:val="sr-Latn-ME"/>
        </w:rPr>
      </w:pPr>
      <w:r w:rsidRPr="00F47241">
        <w:rPr>
          <w:iCs/>
          <w:szCs w:val="22"/>
          <w:u w:val="single"/>
          <w:lang w:val="sr-Latn-ME"/>
        </w:rPr>
        <w:t>Uticaj na laboratorijsko-dijagnostička ispitivanja</w:t>
      </w:r>
    </w:p>
    <w:p w14:paraId="4627F737" w14:textId="77777777" w:rsidR="007E533A" w:rsidRPr="00F47241" w:rsidRDefault="007E533A" w:rsidP="007E533A">
      <w:pPr>
        <w:rPr>
          <w:szCs w:val="22"/>
          <w:lang w:val="sr-Latn-ME"/>
        </w:rPr>
      </w:pPr>
      <w:r w:rsidRPr="00F47241">
        <w:rPr>
          <w:szCs w:val="22"/>
          <w:lang w:val="sr-Latn-ME"/>
        </w:rPr>
        <w:t xml:space="preserve">Kod pacijenata koji primaju cefazolin može doći do pojave lažno pozitivnih rezultata mjerenja koncentracija glukoze u urinu u testovim zasnovanim na Benedict rastvoru ili Fehling rastvoru. Cefazolin nema uticaj na enzimska mjerenja glukoze u urinu. </w:t>
      </w:r>
    </w:p>
    <w:p w14:paraId="0643C915" w14:textId="77777777" w:rsidR="007E533A" w:rsidRPr="00F47241" w:rsidRDefault="007E533A" w:rsidP="007E533A">
      <w:pPr>
        <w:rPr>
          <w:szCs w:val="22"/>
          <w:lang w:val="sr-Latn-ME"/>
        </w:rPr>
      </w:pPr>
      <w:r w:rsidRPr="00F47241">
        <w:rPr>
          <w:szCs w:val="22"/>
          <w:lang w:val="sr-Latn-ME"/>
        </w:rPr>
        <w:t>Kod direktnog i indirektnog Coombs testa može takođe doći do lažno pozitivnog očitavanja, npr. kod novorođenčadi čije majke su primale cefalosporine.</w:t>
      </w:r>
    </w:p>
    <w:p w14:paraId="7185E4C5" w14:textId="77777777" w:rsidR="007E533A" w:rsidRPr="00F47241" w:rsidRDefault="007E533A" w:rsidP="007E533A">
      <w:pPr>
        <w:tabs>
          <w:tab w:val="clear" w:pos="284"/>
          <w:tab w:val="left" w:pos="2564"/>
        </w:tabs>
        <w:rPr>
          <w:szCs w:val="22"/>
          <w:lang w:val="sr-Latn-ME"/>
        </w:rPr>
      </w:pPr>
      <w:r w:rsidRPr="00F47241">
        <w:rPr>
          <w:szCs w:val="22"/>
          <w:lang w:val="sr-Latn-ME"/>
        </w:rPr>
        <w:tab/>
      </w:r>
    </w:p>
    <w:p w14:paraId="38A657F9" w14:textId="77777777" w:rsidR="007E533A" w:rsidRPr="00F47241" w:rsidRDefault="007E533A" w:rsidP="007E533A">
      <w:pPr>
        <w:rPr>
          <w:b/>
          <w:bCs/>
          <w:szCs w:val="22"/>
          <w:lang w:val="sr-Latn-ME"/>
        </w:rPr>
      </w:pPr>
      <w:r w:rsidRPr="00F47241">
        <w:rPr>
          <w:b/>
          <w:bCs/>
          <w:szCs w:val="22"/>
          <w:lang w:val="sr-Latn-ME"/>
        </w:rPr>
        <w:t>4.6. Plodnost, trudnoća i dojenje</w:t>
      </w:r>
    </w:p>
    <w:p w14:paraId="6089AF6A" w14:textId="77777777" w:rsidR="007E533A" w:rsidRPr="00F47241" w:rsidRDefault="007E533A" w:rsidP="007E533A">
      <w:pPr>
        <w:rPr>
          <w:szCs w:val="22"/>
          <w:lang w:val="sr-Latn-ME"/>
        </w:rPr>
      </w:pPr>
    </w:p>
    <w:p w14:paraId="1D1B6C0C" w14:textId="77777777" w:rsidR="007E533A" w:rsidRPr="00F47241" w:rsidRDefault="007E533A" w:rsidP="007E533A">
      <w:pPr>
        <w:rPr>
          <w:szCs w:val="22"/>
          <w:u w:val="single"/>
          <w:lang w:val="sr-Latn-ME"/>
        </w:rPr>
      </w:pPr>
      <w:r w:rsidRPr="00F47241">
        <w:rPr>
          <w:szCs w:val="22"/>
          <w:u w:val="single"/>
          <w:lang w:val="sr-Latn-ME"/>
        </w:rPr>
        <w:t>Plodnost</w:t>
      </w:r>
    </w:p>
    <w:p w14:paraId="400CC979" w14:textId="77777777" w:rsidR="007E533A" w:rsidRPr="00F47241" w:rsidRDefault="007E533A" w:rsidP="007E533A">
      <w:pPr>
        <w:rPr>
          <w:szCs w:val="22"/>
          <w:lang w:val="sr-Latn-ME"/>
        </w:rPr>
      </w:pPr>
      <w:r w:rsidRPr="00F47241">
        <w:rPr>
          <w:szCs w:val="22"/>
          <w:lang w:val="sr-Latn-ME"/>
        </w:rPr>
        <w:t>Ispitivanja na životinjama nijesu pokazala efekte na plodnost.</w:t>
      </w:r>
    </w:p>
    <w:p w14:paraId="4599FAE0" w14:textId="77777777" w:rsidR="007E533A" w:rsidRPr="00F47241" w:rsidRDefault="007E533A" w:rsidP="007E533A">
      <w:pPr>
        <w:rPr>
          <w:szCs w:val="22"/>
          <w:u w:val="single"/>
          <w:lang w:val="sr-Latn-ME"/>
        </w:rPr>
      </w:pPr>
    </w:p>
    <w:p w14:paraId="3F3A4E00" w14:textId="77777777" w:rsidR="007E533A" w:rsidRPr="00F47241" w:rsidRDefault="007E533A" w:rsidP="007E533A">
      <w:pPr>
        <w:rPr>
          <w:szCs w:val="22"/>
          <w:u w:val="single"/>
          <w:lang w:val="sr-Latn-ME"/>
        </w:rPr>
      </w:pPr>
      <w:r w:rsidRPr="00F47241">
        <w:rPr>
          <w:szCs w:val="22"/>
          <w:u w:val="single"/>
          <w:lang w:val="sr-Latn-ME"/>
        </w:rPr>
        <w:t>Trudnoća</w:t>
      </w:r>
    </w:p>
    <w:p w14:paraId="3ACF1BAF" w14:textId="77777777" w:rsidR="007E533A" w:rsidRPr="00F47241" w:rsidRDefault="007E533A" w:rsidP="007E533A">
      <w:pPr>
        <w:rPr>
          <w:szCs w:val="22"/>
          <w:lang w:val="sr-Latn-ME"/>
        </w:rPr>
      </w:pPr>
      <w:r w:rsidRPr="00F47241">
        <w:rPr>
          <w:szCs w:val="22"/>
          <w:lang w:val="sr-Latn-ME"/>
        </w:rPr>
        <w:t xml:space="preserve">Ispitivanja na životinjama ne ukazuju na direktan ili indirektan štetan efekat na reproduktivnu toksičnost </w:t>
      </w:r>
    </w:p>
    <w:p w14:paraId="3665DF91" w14:textId="77777777" w:rsidR="007E533A" w:rsidRPr="00F47241" w:rsidRDefault="007E533A" w:rsidP="007E533A">
      <w:pPr>
        <w:rPr>
          <w:szCs w:val="22"/>
          <w:lang w:val="sr-Latn-ME"/>
        </w:rPr>
      </w:pPr>
    </w:p>
    <w:p w14:paraId="7D3E9317" w14:textId="77777777" w:rsidR="007E533A" w:rsidRPr="00F47241" w:rsidRDefault="007E533A" w:rsidP="007E533A">
      <w:pPr>
        <w:rPr>
          <w:szCs w:val="22"/>
          <w:lang w:val="sr-Latn-ME"/>
        </w:rPr>
      </w:pPr>
      <w:r w:rsidRPr="00F47241">
        <w:rPr>
          <w:szCs w:val="22"/>
          <w:lang w:val="sr-Latn-ME"/>
        </w:rPr>
        <w:t>Cefazolina Qilu smije se primjenjivati u trudnoći tokom prvog trimestra nakon pažljive procjene koristi i rizika jer nema dovoljno iskustva, a cefazolin prolazi placentu. Poželjno je po mogućnosti izbjegavati primjenu cefazolina tokom trudnoće osim ako to nije prijeko potrebno.</w:t>
      </w:r>
    </w:p>
    <w:p w14:paraId="649DDC41" w14:textId="77777777" w:rsidR="007E533A" w:rsidRPr="00F47241" w:rsidRDefault="007E533A" w:rsidP="007E533A">
      <w:pPr>
        <w:rPr>
          <w:szCs w:val="22"/>
          <w:lang w:val="sr-Latn-ME"/>
        </w:rPr>
      </w:pPr>
    </w:p>
    <w:p w14:paraId="1717900B" w14:textId="77777777" w:rsidR="007E533A" w:rsidRPr="00F47241" w:rsidRDefault="007E533A" w:rsidP="007E533A">
      <w:pPr>
        <w:rPr>
          <w:szCs w:val="22"/>
          <w:lang w:val="sr-Latn-ME"/>
        </w:rPr>
      </w:pPr>
      <w:r w:rsidRPr="00F47241">
        <w:rPr>
          <w:szCs w:val="22"/>
          <w:u w:val="single"/>
          <w:lang w:val="sr-Latn-ME"/>
        </w:rPr>
        <w:t>Dojenje</w:t>
      </w:r>
    </w:p>
    <w:p w14:paraId="7DFDB515" w14:textId="77777777" w:rsidR="007E533A" w:rsidRPr="00F47241" w:rsidRDefault="007E533A" w:rsidP="007E533A">
      <w:pPr>
        <w:rPr>
          <w:szCs w:val="22"/>
          <w:lang w:val="sr-Latn-ME"/>
        </w:rPr>
      </w:pPr>
      <w:r w:rsidRPr="00F47241">
        <w:rPr>
          <w:szCs w:val="22"/>
          <w:lang w:val="sr-Latn-ME"/>
        </w:rPr>
        <w:t>Cefazolin se izlučuje u majčino mlijeko u malim koncentracijama pa se zato smije koristiti samo nakon pažljive procjene koristi i rizika. Ako se pojave dijareja ili kandidijaza kod odojčadi tokom dojenja, majka ne smije dojiti tokom liječenja ili liječenje treba prekinuti.</w:t>
      </w:r>
    </w:p>
    <w:p w14:paraId="0918E496" w14:textId="77777777" w:rsidR="007E533A" w:rsidRPr="00F47241" w:rsidRDefault="007E533A" w:rsidP="007E533A">
      <w:pPr>
        <w:rPr>
          <w:szCs w:val="22"/>
          <w:lang w:val="sr-Latn-ME"/>
        </w:rPr>
      </w:pPr>
    </w:p>
    <w:p w14:paraId="1B060F02" w14:textId="77777777" w:rsidR="007E533A" w:rsidRPr="00F47241" w:rsidRDefault="007E533A" w:rsidP="007E533A">
      <w:pPr>
        <w:rPr>
          <w:b/>
          <w:bCs/>
          <w:spacing w:val="-8"/>
          <w:szCs w:val="22"/>
          <w:lang w:val="sr-Latn-ME"/>
        </w:rPr>
      </w:pPr>
      <w:r w:rsidRPr="00F47241">
        <w:rPr>
          <w:b/>
          <w:bCs/>
          <w:spacing w:val="-8"/>
          <w:szCs w:val="22"/>
          <w:lang w:val="sr-Latn-ME"/>
        </w:rPr>
        <w:t>4.7. Uticaj na sposobnost upravljanja vozilima i rukovanja mašinama</w:t>
      </w:r>
    </w:p>
    <w:p w14:paraId="527A8243" w14:textId="77777777" w:rsidR="007E533A" w:rsidRPr="00F47241" w:rsidRDefault="007E533A" w:rsidP="007E533A">
      <w:pPr>
        <w:rPr>
          <w:szCs w:val="22"/>
          <w:lang w:val="sr-Latn-ME"/>
        </w:rPr>
      </w:pPr>
    </w:p>
    <w:p w14:paraId="40E42991" w14:textId="77777777" w:rsidR="007E533A" w:rsidRPr="00F47241" w:rsidRDefault="007E533A" w:rsidP="007E533A">
      <w:pPr>
        <w:rPr>
          <w:szCs w:val="22"/>
          <w:lang w:val="sr-Latn-ME"/>
        </w:rPr>
      </w:pPr>
      <w:r w:rsidRPr="00F47241">
        <w:rPr>
          <w:szCs w:val="22"/>
          <w:lang w:val="sr-Latn-ME"/>
        </w:rPr>
        <w:t xml:space="preserve">Cefazolina Qilu ne utiče na sposobnost upravljanja vozilima i rukovanje mašinama. Medjutim, mogu se javiti neželjena dejstva (pogledati dio 4.8 ) koja mogu uticati na sposobnost upravljanja vozilima i rukovanja mašinama. </w:t>
      </w:r>
    </w:p>
    <w:p w14:paraId="0C1B88BB" w14:textId="77777777" w:rsidR="007E533A" w:rsidRPr="00F47241" w:rsidRDefault="007E533A" w:rsidP="007E533A">
      <w:pPr>
        <w:rPr>
          <w:szCs w:val="22"/>
          <w:lang w:val="sr-Latn-ME"/>
        </w:rPr>
      </w:pPr>
    </w:p>
    <w:p w14:paraId="17591460" w14:textId="77777777" w:rsidR="007E533A" w:rsidRPr="00F47241" w:rsidRDefault="007E533A" w:rsidP="007E533A">
      <w:pPr>
        <w:rPr>
          <w:b/>
          <w:bCs/>
          <w:szCs w:val="22"/>
          <w:lang w:val="sr-Latn-ME"/>
        </w:rPr>
      </w:pPr>
      <w:r w:rsidRPr="00F47241">
        <w:rPr>
          <w:b/>
          <w:bCs/>
          <w:szCs w:val="22"/>
          <w:lang w:val="sr-Latn-ME"/>
        </w:rPr>
        <w:t>4.8. Neželjena dejstva</w:t>
      </w:r>
    </w:p>
    <w:p w14:paraId="4F6F6152" w14:textId="77777777" w:rsidR="007E533A" w:rsidRPr="00F47241" w:rsidRDefault="007E533A" w:rsidP="007E533A">
      <w:pPr>
        <w:rPr>
          <w:noProof/>
          <w:szCs w:val="22"/>
          <w:lang w:val="sr-Latn-ME"/>
        </w:rPr>
      </w:pPr>
    </w:p>
    <w:p w14:paraId="7EF55456" w14:textId="77777777" w:rsidR="007E533A" w:rsidRPr="00F47241" w:rsidRDefault="007E533A" w:rsidP="007E533A">
      <w:pPr>
        <w:rPr>
          <w:noProof/>
          <w:szCs w:val="22"/>
          <w:lang w:val="sr-Latn-ME"/>
        </w:rPr>
      </w:pPr>
      <w:r w:rsidRPr="00F47241">
        <w:rPr>
          <w:noProof/>
          <w:szCs w:val="22"/>
          <w:lang w:val="sr-Latn-ME"/>
        </w:rPr>
        <w:t xml:space="preserve">U okviru svake grupe učestalosti, neželjena dejstva su prikazana prema opadajućoj ozbiljnosti. Učestalosti neželjenih dejstava kategorizovane su kao: </w:t>
      </w:r>
    </w:p>
    <w:p w14:paraId="24B1675F" w14:textId="77777777" w:rsidR="007E533A" w:rsidRPr="00F47241" w:rsidRDefault="007E533A" w:rsidP="007E533A">
      <w:pPr>
        <w:rPr>
          <w:noProof/>
          <w:szCs w:val="22"/>
          <w:lang w:val="sr-Latn-ME"/>
        </w:rPr>
      </w:pPr>
      <w:r w:rsidRPr="00F47241">
        <w:rPr>
          <w:noProof/>
          <w:szCs w:val="22"/>
          <w:lang w:val="sr-Latn-ME"/>
        </w:rPr>
        <w:t>veoma česta (≥ 1/10);</w:t>
      </w:r>
    </w:p>
    <w:p w14:paraId="44D7725D" w14:textId="77777777" w:rsidR="007E533A" w:rsidRPr="00F47241" w:rsidRDefault="007E533A" w:rsidP="007E533A">
      <w:pPr>
        <w:rPr>
          <w:noProof/>
          <w:szCs w:val="22"/>
          <w:lang w:val="sr-Latn-ME"/>
        </w:rPr>
      </w:pPr>
      <w:r w:rsidRPr="00F47241">
        <w:rPr>
          <w:noProof/>
          <w:szCs w:val="22"/>
          <w:lang w:val="sr-Latn-ME"/>
        </w:rPr>
        <w:t>česta (≥1/100 do &lt; 1/10);</w:t>
      </w:r>
    </w:p>
    <w:p w14:paraId="184B453C" w14:textId="77777777" w:rsidR="007E533A" w:rsidRPr="00F47241" w:rsidRDefault="007E533A" w:rsidP="007E533A">
      <w:pPr>
        <w:rPr>
          <w:noProof/>
          <w:szCs w:val="22"/>
          <w:lang w:val="sr-Latn-ME"/>
        </w:rPr>
      </w:pPr>
      <w:r w:rsidRPr="00F47241">
        <w:rPr>
          <w:noProof/>
          <w:szCs w:val="22"/>
          <w:lang w:val="sr-Latn-ME"/>
        </w:rPr>
        <w:t>povremena (≥1/1000 do &lt; 1/100);</w:t>
      </w:r>
    </w:p>
    <w:p w14:paraId="1AABD468" w14:textId="77777777" w:rsidR="007E533A" w:rsidRPr="00F47241" w:rsidRDefault="007E533A" w:rsidP="007E533A">
      <w:pPr>
        <w:rPr>
          <w:noProof/>
          <w:szCs w:val="22"/>
          <w:lang w:val="sr-Latn-ME"/>
        </w:rPr>
      </w:pPr>
      <w:r w:rsidRPr="00F47241">
        <w:rPr>
          <w:noProof/>
          <w:szCs w:val="22"/>
          <w:lang w:val="sr-Latn-ME"/>
        </w:rPr>
        <w:t>rijetka (≥1/10 000 do &lt; 1/1000);</w:t>
      </w:r>
    </w:p>
    <w:p w14:paraId="4D0069CE" w14:textId="77777777" w:rsidR="007E533A" w:rsidRPr="00F47241" w:rsidRDefault="007E533A" w:rsidP="007E533A">
      <w:pPr>
        <w:rPr>
          <w:noProof/>
          <w:szCs w:val="22"/>
          <w:lang w:val="sr-Latn-ME"/>
        </w:rPr>
      </w:pPr>
      <w:r w:rsidRPr="00F47241">
        <w:rPr>
          <w:noProof/>
          <w:szCs w:val="22"/>
          <w:lang w:val="sr-Latn-ME"/>
        </w:rPr>
        <w:t xml:space="preserve">veoma rijetka (&lt; 1/10 000) </w:t>
      </w:r>
    </w:p>
    <w:p w14:paraId="23E7DD61" w14:textId="77777777" w:rsidR="007E533A" w:rsidRPr="00F47241" w:rsidRDefault="007E533A" w:rsidP="007E533A">
      <w:pPr>
        <w:rPr>
          <w:noProof/>
          <w:szCs w:val="22"/>
          <w:lang w:val="sr-Latn-M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1350"/>
        <w:gridCol w:w="5580"/>
      </w:tblGrid>
      <w:tr w:rsidR="007E533A" w:rsidRPr="00F47241" w14:paraId="58CC2E9D" w14:textId="77777777" w:rsidTr="000235D3">
        <w:trPr>
          <w:trHeight w:val="751"/>
        </w:trPr>
        <w:tc>
          <w:tcPr>
            <w:tcW w:w="2790" w:type="dxa"/>
          </w:tcPr>
          <w:p w14:paraId="1124880A" w14:textId="77777777" w:rsidR="007E533A" w:rsidRPr="00F47241" w:rsidRDefault="007E533A" w:rsidP="000235D3">
            <w:pPr>
              <w:widowControl w:val="0"/>
              <w:tabs>
                <w:tab w:val="clear" w:pos="284"/>
              </w:tabs>
              <w:autoSpaceDE w:val="0"/>
              <w:autoSpaceDN w:val="0"/>
              <w:ind w:left="4"/>
              <w:rPr>
                <w:b/>
                <w:szCs w:val="22"/>
                <w:lang w:val="sr-Latn-ME"/>
              </w:rPr>
            </w:pPr>
            <w:r w:rsidRPr="00F47241">
              <w:rPr>
                <w:b/>
                <w:szCs w:val="22"/>
                <w:lang w:val="sr-Latn-ME"/>
              </w:rPr>
              <w:t>MedDRA</w:t>
            </w:r>
          </w:p>
          <w:p w14:paraId="4183AB25" w14:textId="77777777" w:rsidR="007E533A" w:rsidRPr="00F47241" w:rsidRDefault="007E533A" w:rsidP="000235D3">
            <w:pPr>
              <w:widowControl w:val="0"/>
              <w:tabs>
                <w:tab w:val="clear" w:pos="284"/>
              </w:tabs>
              <w:autoSpaceDE w:val="0"/>
              <w:autoSpaceDN w:val="0"/>
              <w:ind w:left="4" w:right="643"/>
              <w:rPr>
                <w:b/>
                <w:szCs w:val="22"/>
                <w:lang w:val="sr-Latn-ME"/>
              </w:rPr>
            </w:pPr>
            <w:r w:rsidRPr="00F47241">
              <w:rPr>
                <w:b/>
                <w:szCs w:val="22"/>
                <w:lang w:val="sr-Latn-ME"/>
              </w:rPr>
              <w:t>klasifikacija sistema organa</w:t>
            </w:r>
          </w:p>
        </w:tc>
        <w:tc>
          <w:tcPr>
            <w:tcW w:w="1350" w:type="dxa"/>
          </w:tcPr>
          <w:p w14:paraId="7349772A" w14:textId="77777777" w:rsidR="007E533A" w:rsidRPr="00F47241" w:rsidRDefault="007E533A" w:rsidP="000235D3">
            <w:pPr>
              <w:widowControl w:val="0"/>
              <w:tabs>
                <w:tab w:val="clear" w:pos="284"/>
              </w:tabs>
              <w:autoSpaceDE w:val="0"/>
              <w:autoSpaceDN w:val="0"/>
              <w:ind w:left="4"/>
              <w:rPr>
                <w:b/>
                <w:szCs w:val="22"/>
                <w:lang w:val="sr-Latn-ME"/>
              </w:rPr>
            </w:pPr>
            <w:r w:rsidRPr="00F47241">
              <w:rPr>
                <w:b/>
                <w:szCs w:val="22"/>
                <w:lang w:val="sr-Latn-ME"/>
              </w:rPr>
              <w:t>Učestalost</w:t>
            </w:r>
          </w:p>
        </w:tc>
        <w:tc>
          <w:tcPr>
            <w:tcW w:w="5580" w:type="dxa"/>
          </w:tcPr>
          <w:p w14:paraId="646D8675" w14:textId="77777777" w:rsidR="007E533A" w:rsidRPr="00F47241" w:rsidRDefault="007E533A" w:rsidP="000235D3">
            <w:pPr>
              <w:widowControl w:val="0"/>
              <w:tabs>
                <w:tab w:val="clear" w:pos="284"/>
              </w:tabs>
              <w:autoSpaceDE w:val="0"/>
              <w:autoSpaceDN w:val="0"/>
              <w:ind w:left="4"/>
              <w:rPr>
                <w:b/>
                <w:szCs w:val="22"/>
                <w:lang w:val="sr-Latn-ME"/>
              </w:rPr>
            </w:pPr>
            <w:r w:rsidRPr="00F47241">
              <w:rPr>
                <w:b/>
                <w:szCs w:val="22"/>
                <w:lang w:val="sr-Latn-ME"/>
              </w:rPr>
              <w:t>Neželjena dejstva</w:t>
            </w:r>
          </w:p>
        </w:tc>
      </w:tr>
      <w:tr w:rsidR="007E533A" w:rsidRPr="00F47241" w14:paraId="2654EF9E" w14:textId="77777777" w:rsidTr="000235D3">
        <w:trPr>
          <w:trHeight w:val="255"/>
        </w:trPr>
        <w:tc>
          <w:tcPr>
            <w:tcW w:w="2790" w:type="dxa"/>
            <w:vMerge w:val="restart"/>
          </w:tcPr>
          <w:p w14:paraId="2C251D65"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Infekcije i infestacije</w:t>
            </w:r>
          </w:p>
        </w:tc>
        <w:tc>
          <w:tcPr>
            <w:tcW w:w="1350" w:type="dxa"/>
          </w:tcPr>
          <w:p w14:paraId="26E575CC"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Povremena</w:t>
            </w:r>
          </w:p>
        </w:tc>
        <w:tc>
          <w:tcPr>
            <w:tcW w:w="5580" w:type="dxa"/>
          </w:tcPr>
          <w:p w14:paraId="4BE4DF3C"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Oralna kandidijaza</w:t>
            </w:r>
          </w:p>
        </w:tc>
      </w:tr>
      <w:tr w:rsidR="007E533A" w:rsidRPr="00F47241" w14:paraId="3D5DF217" w14:textId="77777777" w:rsidTr="000235D3">
        <w:trPr>
          <w:trHeight w:val="831"/>
        </w:trPr>
        <w:tc>
          <w:tcPr>
            <w:tcW w:w="2790" w:type="dxa"/>
            <w:vMerge/>
            <w:tcBorders>
              <w:top w:val="nil"/>
            </w:tcBorders>
          </w:tcPr>
          <w:p w14:paraId="23794CAD"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7F7F5F3D"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5475918F" w14:textId="77777777" w:rsidR="007E533A" w:rsidRPr="00F47241" w:rsidRDefault="007E533A" w:rsidP="000235D3">
            <w:pPr>
              <w:widowControl w:val="0"/>
              <w:tabs>
                <w:tab w:val="clear" w:pos="284"/>
              </w:tabs>
              <w:autoSpaceDE w:val="0"/>
              <w:autoSpaceDN w:val="0"/>
              <w:ind w:left="4" w:right="549"/>
              <w:rPr>
                <w:szCs w:val="22"/>
                <w:lang w:val="sr-Latn-ME"/>
              </w:rPr>
            </w:pPr>
            <w:r w:rsidRPr="00F47241">
              <w:rPr>
                <w:szCs w:val="22"/>
                <w:lang w:val="sr-Latn-ME"/>
              </w:rPr>
              <w:t>Genitalna kandidijaza (monolijaza), vaginitis. Kao i sa bilo kojim antibiotikom, produžena primjena može uzrokovati prekomjerni rast neosjetljivih bakterija.</w:t>
            </w:r>
          </w:p>
        </w:tc>
      </w:tr>
      <w:tr w:rsidR="007E533A" w:rsidRPr="00F47241" w14:paraId="2A068362" w14:textId="77777777" w:rsidTr="000235D3">
        <w:trPr>
          <w:trHeight w:val="1252"/>
        </w:trPr>
        <w:tc>
          <w:tcPr>
            <w:tcW w:w="2790" w:type="dxa"/>
            <w:vMerge w:val="restart"/>
          </w:tcPr>
          <w:p w14:paraId="581D3FB6" w14:textId="77777777" w:rsidR="007E533A" w:rsidRPr="00F47241" w:rsidRDefault="007E533A" w:rsidP="000235D3">
            <w:pPr>
              <w:widowControl w:val="0"/>
              <w:tabs>
                <w:tab w:val="clear" w:pos="284"/>
              </w:tabs>
              <w:autoSpaceDE w:val="0"/>
              <w:autoSpaceDN w:val="0"/>
              <w:ind w:left="4" w:right="522"/>
              <w:rPr>
                <w:szCs w:val="22"/>
                <w:lang w:val="sr-Latn-ME"/>
              </w:rPr>
            </w:pPr>
            <w:r w:rsidRPr="00F47241">
              <w:rPr>
                <w:szCs w:val="22"/>
                <w:lang w:val="sr-Latn-ME"/>
              </w:rPr>
              <w:lastRenderedPageBreak/>
              <w:t>Poremećaji krvi i limfnog sistema</w:t>
            </w:r>
          </w:p>
        </w:tc>
        <w:tc>
          <w:tcPr>
            <w:tcW w:w="1350" w:type="dxa"/>
          </w:tcPr>
          <w:p w14:paraId="7521FD69"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34038C3F" w14:textId="77777777" w:rsidR="007E533A" w:rsidRPr="00F47241" w:rsidRDefault="007E533A" w:rsidP="000235D3">
            <w:pPr>
              <w:widowControl w:val="0"/>
              <w:tabs>
                <w:tab w:val="clear" w:pos="284"/>
              </w:tabs>
              <w:autoSpaceDE w:val="0"/>
              <w:autoSpaceDN w:val="0"/>
              <w:ind w:left="4" w:right="561"/>
              <w:rPr>
                <w:szCs w:val="22"/>
                <w:lang w:val="sr-Latn-ME"/>
              </w:rPr>
            </w:pPr>
            <w:r w:rsidRPr="00F47241">
              <w:rPr>
                <w:szCs w:val="22"/>
                <w:lang w:val="sr-Latn-ME"/>
              </w:rPr>
              <w:t>Leukopenija, granulocitopenija, neutropenija, trombocitopenija, leukocitoza, granulocitoza, monocitoza, limfocitopenija, bazofilija i eozinofilija uočene su u krvnoj slici.</w:t>
            </w:r>
          </w:p>
          <w:p w14:paraId="07282455"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Ti su efekti rijetki i reverzibilni.</w:t>
            </w:r>
          </w:p>
        </w:tc>
      </w:tr>
      <w:tr w:rsidR="007E533A" w:rsidRPr="00F47241" w14:paraId="799C0A31" w14:textId="77777777" w:rsidTr="000235D3">
        <w:trPr>
          <w:trHeight w:val="550"/>
        </w:trPr>
        <w:tc>
          <w:tcPr>
            <w:tcW w:w="2790" w:type="dxa"/>
            <w:vMerge/>
            <w:tcBorders>
              <w:top w:val="nil"/>
            </w:tcBorders>
          </w:tcPr>
          <w:p w14:paraId="56EB0A69"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11FB46BF"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Veoma rijetka</w:t>
            </w:r>
          </w:p>
        </w:tc>
        <w:tc>
          <w:tcPr>
            <w:tcW w:w="5580" w:type="dxa"/>
          </w:tcPr>
          <w:p w14:paraId="6FD5D6BD" w14:textId="77777777" w:rsidR="007E533A" w:rsidRPr="00F47241" w:rsidRDefault="007E533A" w:rsidP="000235D3">
            <w:pPr>
              <w:widowControl w:val="0"/>
              <w:tabs>
                <w:tab w:val="clear" w:pos="284"/>
              </w:tabs>
              <w:autoSpaceDE w:val="0"/>
              <w:autoSpaceDN w:val="0"/>
              <w:ind w:left="4" w:right="714"/>
              <w:rPr>
                <w:szCs w:val="22"/>
                <w:lang w:val="sr-Latn-ME"/>
              </w:rPr>
            </w:pPr>
            <w:r w:rsidRPr="00F47241">
              <w:rPr>
                <w:szCs w:val="22"/>
                <w:lang w:val="sr-Latn-ME"/>
              </w:rPr>
              <w:t>Poremećaji koagulacije (zgrušavanja krvi) sa posljedičnim krvarenjem (pogledati dio 4.4).</w:t>
            </w:r>
          </w:p>
        </w:tc>
      </w:tr>
      <w:tr w:rsidR="007E533A" w:rsidRPr="00F47241" w14:paraId="1C9E0874" w14:textId="77777777" w:rsidTr="000235D3">
        <w:trPr>
          <w:trHeight w:val="262"/>
        </w:trPr>
        <w:tc>
          <w:tcPr>
            <w:tcW w:w="2790" w:type="dxa"/>
            <w:vMerge w:val="restart"/>
          </w:tcPr>
          <w:p w14:paraId="723FEB9D" w14:textId="77777777" w:rsidR="007E533A" w:rsidRPr="00F47241" w:rsidRDefault="007E533A" w:rsidP="000235D3">
            <w:pPr>
              <w:widowControl w:val="0"/>
              <w:tabs>
                <w:tab w:val="clear" w:pos="284"/>
              </w:tabs>
              <w:autoSpaceDE w:val="0"/>
              <w:autoSpaceDN w:val="0"/>
              <w:ind w:left="4" w:right="595"/>
              <w:rPr>
                <w:szCs w:val="22"/>
                <w:lang w:val="sr-Latn-ME"/>
              </w:rPr>
            </w:pPr>
            <w:r w:rsidRPr="00F47241">
              <w:rPr>
                <w:szCs w:val="22"/>
                <w:lang w:val="sr-Latn-ME"/>
              </w:rPr>
              <w:t>Poremećaji imunog sistema</w:t>
            </w:r>
          </w:p>
        </w:tc>
        <w:tc>
          <w:tcPr>
            <w:tcW w:w="1350" w:type="dxa"/>
          </w:tcPr>
          <w:p w14:paraId="193EE2F1"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Povremena</w:t>
            </w:r>
          </w:p>
        </w:tc>
        <w:tc>
          <w:tcPr>
            <w:tcW w:w="5580" w:type="dxa"/>
          </w:tcPr>
          <w:p w14:paraId="1C95099A"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Pireksija</w:t>
            </w:r>
          </w:p>
        </w:tc>
      </w:tr>
      <w:tr w:rsidR="007E533A" w:rsidRPr="00F47241" w14:paraId="188F5051" w14:textId="77777777" w:rsidTr="000235D3">
        <w:trPr>
          <w:trHeight w:val="1283"/>
        </w:trPr>
        <w:tc>
          <w:tcPr>
            <w:tcW w:w="2790" w:type="dxa"/>
            <w:vMerge/>
            <w:tcBorders>
              <w:top w:val="nil"/>
            </w:tcBorders>
          </w:tcPr>
          <w:p w14:paraId="75B703C2"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09181D78"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Veoma rijetka</w:t>
            </w:r>
          </w:p>
        </w:tc>
        <w:tc>
          <w:tcPr>
            <w:tcW w:w="5580" w:type="dxa"/>
          </w:tcPr>
          <w:p w14:paraId="7D2F3EF6" w14:textId="77777777" w:rsidR="007E533A" w:rsidRPr="00F47241" w:rsidRDefault="007E533A" w:rsidP="000235D3">
            <w:pPr>
              <w:widowControl w:val="0"/>
              <w:tabs>
                <w:tab w:val="clear" w:pos="284"/>
              </w:tabs>
              <w:autoSpaceDE w:val="0"/>
              <w:autoSpaceDN w:val="0"/>
              <w:ind w:left="4" w:right="96"/>
              <w:rPr>
                <w:szCs w:val="22"/>
                <w:lang w:val="sr-Latn-ME"/>
              </w:rPr>
            </w:pPr>
            <w:r w:rsidRPr="00F47241">
              <w:rPr>
                <w:szCs w:val="22"/>
                <w:lang w:val="sr-Latn-ME"/>
              </w:rPr>
              <w:t>Anafilaktički šok (oticanje larinksa sa suženjem disajnih puteva, povećanim brojem srčanih otkucaja, kratkoćom daha, padom krvnog pritiska, natečenim jezikom, analnim pruritusom, genitalnim pruritusom i edemom lica)</w:t>
            </w:r>
          </w:p>
        </w:tc>
      </w:tr>
      <w:tr w:rsidR="007E533A" w:rsidRPr="00F47241" w14:paraId="28D4C178" w14:textId="77777777" w:rsidTr="000235D3">
        <w:trPr>
          <w:trHeight w:val="521"/>
        </w:trPr>
        <w:tc>
          <w:tcPr>
            <w:tcW w:w="2790" w:type="dxa"/>
          </w:tcPr>
          <w:p w14:paraId="4D08EB19" w14:textId="77777777" w:rsidR="007E533A" w:rsidRPr="00F47241" w:rsidRDefault="007E533A" w:rsidP="000235D3">
            <w:pPr>
              <w:widowControl w:val="0"/>
              <w:tabs>
                <w:tab w:val="clear" w:pos="284"/>
              </w:tabs>
              <w:autoSpaceDE w:val="0"/>
              <w:autoSpaceDN w:val="0"/>
              <w:ind w:left="4" w:right="492"/>
              <w:rPr>
                <w:szCs w:val="22"/>
                <w:lang w:val="sr-Latn-ME"/>
              </w:rPr>
            </w:pPr>
            <w:r w:rsidRPr="00F47241">
              <w:rPr>
                <w:szCs w:val="22"/>
                <w:lang w:val="sr-Latn-ME"/>
              </w:rPr>
              <w:t>Poremećaji metabolizma i ishrane</w:t>
            </w:r>
          </w:p>
        </w:tc>
        <w:tc>
          <w:tcPr>
            <w:tcW w:w="1350" w:type="dxa"/>
          </w:tcPr>
          <w:p w14:paraId="6A2FF658"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4D0A8D1F"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Hiperglikemija, hipoglikemija</w:t>
            </w:r>
          </w:p>
        </w:tc>
      </w:tr>
      <w:tr w:rsidR="007E533A" w:rsidRPr="00F47241" w14:paraId="48DA3B0C" w14:textId="77777777" w:rsidTr="000235D3">
        <w:trPr>
          <w:trHeight w:val="624"/>
        </w:trPr>
        <w:tc>
          <w:tcPr>
            <w:tcW w:w="2790" w:type="dxa"/>
            <w:vMerge w:val="restart"/>
          </w:tcPr>
          <w:p w14:paraId="050EDEF5"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Poremećaji nervnog sistema</w:t>
            </w:r>
          </w:p>
        </w:tc>
        <w:tc>
          <w:tcPr>
            <w:tcW w:w="1350" w:type="dxa"/>
          </w:tcPr>
          <w:p w14:paraId="268BFF9F"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Manje česta</w:t>
            </w:r>
          </w:p>
        </w:tc>
        <w:tc>
          <w:tcPr>
            <w:tcW w:w="5580" w:type="dxa"/>
          </w:tcPr>
          <w:p w14:paraId="63DA4D74" w14:textId="77777777" w:rsidR="007E533A" w:rsidRPr="00F47241" w:rsidRDefault="007E533A" w:rsidP="000235D3">
            <w:pPr>
              <w:widowControl w:val="0"/>
              <w:tabs>
                <w:tab w:val="clear" w:pos="284"/>
              </w:tabs>
              <w:autoSpaceDE w:val="0"/>
              <w:autoSpaceDN w:val="0"/>
              <w:ind w:left="4" w:right="304"/>
              <w:rPr>
                <w:szCs w:val="22"/>
                <w:lang w:val="sr-Latn-ME"/>
              </w:rPr>
            </w:pPr>
            <w:r w:rsidRPr="00F47241">
              <w:rPr>
                <w:szCs w:val="22"/>
                <w:lang w:val="sr-Latn-ME"/>
              </w:rPr>
              <w:t>Napadi (kod pacijenata sa disfunkcijom bubrega liječenih sa neodgovarajuće visokim dozama).</w:t>
            </w:r>
          </w:p>
        </w:tc>
      </w:tr>
      <w:tr w:rsidR="007E533A" w:rsidRPr="00F47241" w14:paraId="23947153" w14:textId="77777777" w:rsidTr="000235D3">
        <w:trPr>
          <w:trHeight w:val="262"/>
        </w:trPr>
        <w:tc>
          <w:tcPr>
            <w:tcW w:w="2790" w:type="dxa"/>
            <w:vMerge/>
            <w:tcBorders>
              <w:top w:val="nil"/>
            </w:tcBorders>
          </w:tcPr>
          <w:p w14:paraId="77182861"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74D1F617"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35DABD14"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Vrtoglavica</w:t>
            </w:r>
          </w:p>
        </w:tc>
      </w:tr>
      <w:tr w:rsidR="007E533A" w:rsidRPr="00F47241" w14:paraId="790EF115" w14:textId="77777777" w:rsidTr="000235D3">
        <w:trPr>
          <w:trHeight w:val="262"/>
        </w:trPr>
        <w:tc>
          <w:tcPr>
            <w:tcW w:w="2790" w:type="dxa"/>
          </w:tcPr>
          <w:p w14:paraId="10CC3474"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Vaskularni poremećaji</w:t>
            </w:r>
          </w:p>
        </w:tc>
        <w:tc>
          <w:tcPr>
            <w:tcW w:w="1350" w:type="dxa"/>
          </w:tcPr>
          <w:p w14:paraId="0504FB92"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Povremena</w:t>
            </w:r>
          </w:p>
        </w:tc>
        <w:tc>
          <w:tcPr>
            <w:tcW w:w="5580" w:type="dxa"/>
          </w:tcPr>
          <w:p w14:paraId="2B33B0B6"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Tromboflebitis</w:t>
            </w:r>
          </w:p>
        </w:tc>
      </w:tr>
      <w:tr w:rsidR="007E533A" w:rsidRPr="00F47241" w14:paraId="27DE2079" w14:textId="77777777" w:rsidTr="000235D3">
        <w:trPr>
          <w:trHeight w:val="579"/>
        </w:trPr>
        <w:tc>
          <w:tcPr>
            <w:tcW w:w="2790" w:type="dxa"/>
          </w:tcPr>
          <w:p w14:paraId="4D43B0F5" w14:textId="77777777" w:rsidR="007E533A" w:rsidRPr="00F47241" w:rsidRDefault="007E533A" w:rsidP="000235D3">
            <w:pPr>
              <w:widowControl w:val="0"/>
              <w:tabs>
                <w:tab w:val="clear" w:pos="284"/>
              </w:tabs>
              <w:autoSpaceDE w:val="0"/>
              <w:autoSpaceDN w:val="0"/>
              <w:ind w:left="4" w:right="400"/>
              <w:rPr>
                <w:szCs w:val="22"/>
                <w:lang w:val="sr-Latn-ME"/>
              </w:rPr>
            </w:pPr>
            <w:r w:rsidRPr="00F47241">
              <w:rPr>
                <w:szCs w:val="22"/>
                <w:lang w:val="sr-Latn-ME"/>
              </w:rPr>
              <w:t>Respiratorni, torakalni i medijastinalni poremećaji</w:t>
            </w:r>
          </w:p>
        </w:tc>
        <w:tc>
          <w:tcPr>
            <w:tcW w:w="1350" w:type="dxa"/>
          </w:tcPr>
          <w:p w14:paraId="38E88A6F"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4C139F96" w14:textId="77777777" w:rsidR="007E533A" w:rsidRPr="00F47241" w:rsidRDefault="007E533A" w:rsidP="000235D3">
            <w:pPr>
              <w:widowControl w:val="0"/>
              <w:tabs>
                <w:tab w:val="clear" w:pos="284"/>
              </w:tabs>
              <w:autoSpaceDE w:val="0"/>
              <w:autoSpaceDN w:val="0"/>
              <w:ind w:left="4" w:right="402"/>
              <w:rPr>
                <w:szCs w:val="22"/>
                <w:lang w:val="sr-Latn-ME"/>
              </w:rPr>
            </w:pPr>
            <w:r w:rsidRPr="00F47241">
              <w:rPr>
                <w:szCs w:val="22"/>
                <w:lang w:val="sr-Latn-ME"/>
              </w:rPr>
              <w:t>Pleuralni izliv, dispneja ili respiratorni distres, kašalj</w:t>
            </w:r>
          </w:p>
        </w:tc>
      </w:tr>
      <w:tr w:rsidR="007E533A" w:rsidRPr="00F47241" w14:paraId="3DCF311C" w14:textId="77777777" w:rsidTr="000235D3">
        <w:trPr>
          <w:trHeight w:val="262"/>
        </w:trPr>
        <w:tc>
          <w:tcPr>
            <w:tcW w:w="2790" w:type="dxa"/>
            <w:vMerge w:val="restart"/>
          </w:tcPr>
          <w:p w14:paraId="0F9099C7"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Gastrointestinalni poremećaji</w:t>
            </w:r>
          </w:p>
        </w:tc>
        <w:tc>
          <w:tcPr>
            <w:tcW w:w="1350" w:type="dxa"/>
          </w:tcPr>
          <w:p w14:paraId="39681646"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Česta</w:t>
            </w:r>
          </w:p>
        </w:tc>
        <w:tc>
          <w:tcPr>
            <w:tcW w:w="5580" w:type="dxa"/>
          </w:tcPr>
          <w:p w14:paraId="692B50FF"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Mučnina, povraćanje, dijareja</w:t>
            </w:r>
          </w:p>
        </w:tc>
      </w:tr>
      <w:tr w:rsidR="007E533A" w:rsidRPr="00F47241" w14:paraId="6839AC37" w14:textId="77777777" w:rsidTr="000235D3">
        <w:trPr>
          <w:trHeight w:val="262"/>
        </w:trPr>
        <w:tc>
          <w:tcPr>
            <w:tcW w:w="2790" w:type="dxa"/>
            <w:vMerge/>
            <w:tcBorders>
              <w:top w:val="nil"/>
            </w:tcBorders>
          </w:tcPr>
          <w:p w14:paraId="509BDD48"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0684F265"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3553BB00"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Anoreksija</w:t>
            </w:r>
          </w:p>
        </w:tc>
      </w:tr>
      <w:tr w:rsidR="007E533A" w:rsidRPr="00F47241" w14:paraId="41AE6845" w14:textId="77777777" w:rsidTr="000235D3">
        <w:trPr>
          <w:trHeight w:val="766"/>
        </w:trPr>
        <w:tc>
          <w:tcPr>
            <w:tcW w:w="2790" w:type="dxa"/>
            <w:vMerge/>
            <w:tcBorders>
              <w:top w:val="nil"/>
            </w:tcBorders>
          </w:tcPr>
          <w:p w14:paraId="0790A32F"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52D0F673"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Veoma rijetko</w:t>
            </w:r>
          </w:p>
        </w:tc>
        <w:tc>
          <w:tcPr>
            <w:tcW w:w="5580" w:type="dxa"/>
          </w:tcPr>
          <w:p w14:paraId="358B7258" w14:textId="77777777" w:rsidR="007E533A" w:rsidRPr="00F47241" w:rsidRDefault="007E533A" w:rsidP="000235D3">
            <w:pPr>
              <w:widowControl w:val="0"/>
              <w:tabs>
                <w:tab w:val="clear" w:pos="284"/>
              </w:tabs>
              <w:autoSpaceDE w:val="0"/>
              <w:autoSpaceDN w:val="0"/>
              <w:ind w:left="4" w:right="236"/>
              <w:rPr>
                <w:szCs w:val="22"/>
                <w:lang w:val="sr-Latn-ME"/>
              </w:rPr>
            </w:pPr>
            <w:r w:rsidRPr="00F47241">
              <w:rPr>
                <w:szCs w:val="22"/>
                <w:lang w:val="sr-Latn-ME"/>
              </w:rPr>
              <w:t>Pseudomembranozni kolitis (ova se komplikacija mora odmah liječiti ako je dijareja povezana sa terapijom antibioticima.)</w:t>
            </w:r>
          </w:p>
        </w:tc>
      </w:tr>
      <w:tr w:rsidR="007E533A" w:rsidRPr="00F47241" w14:paraId="3CF794DE" w14:textId="77777777" w:rsidTr="000235D3">
        <w:trPr>
          <w:trHeight w:val="1047"/>
        </w:trPr>
        <w:tc>
          <w:tcPr>
            <w:tcW w:w="2790" w:type="dxa"/>
          </w:tcPr>
          <w:p w14:paraId="5AE2F1C9"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Hepatobilijarni poremećaji</w:t>
            </w:r>
          </w:p>
        </w:tc>
        <w:tc>
          <w:tcPr>
            <w:tcW w:w="1350" w:type="dxa"/>
          </w:tcPr>
          <w:p w14:paraId="4F629A3D"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Pr>
          <w:p w14:paraId="14C3F76C" w14:textId="77777777" w:rsidR="007E533A" w:rsidRPr="00F47241" w:rsidRDefault="007E533A" w:rsidP="000235D3">
            <w:pPr>
              <w:widowControl w:val="0"/>
              <w:tabs>
                <w:tab w:val="clear" w:pos="284"/>
              </w:tabs>
              <w:autoSpaceDE w:val="0"/>
              <w:autoSpaceDN w:val="0"/>
              <w:ind w:left="4" w:right="292"/>
              <w:rPr>
                <w:szCs w:val="22"/>
                <w:lang w:val="sr-Latn-ME"/>
              </w:rPr>
            </w:pPr>
            <w:r w:rsidRPr="00F47241">
              <w:rPr>
                <w:szCs w:val="22"/>
                <w:lang w:val="sr-Latn-ME"/>
              </w:rPr>
              <w:t>Prolazni porast aspartat aminotransferaza, alanin aminotransferaze ili alkalne fosfataze, gama- glutamil transferaze, bilirubina i/ili laktat dehidrogenaze, prolazni hepatitis i prolazna holestatska žutica.</w:t>
            </w:r>
          </w:p>
        </w:tc>
      </w:tr>
      <w:tr w:rsidR="007E533A" w:rsidRPr="00F47241" w14:paraId="1A8D1035" w14:textId="77777777" w:rsidTr="000235D3">
        <w:trPr>
          <w:trHeight w:val="262"/>
        </w:trPr>
        <w:tc>
          <w:tcPr>
            <w:tcW w:w="2790" w:type="dxa"/>
            <w:vMerge w:val="restart"/>
          </w:tcPr>
          <w:p w14:paraId="0116F00E" w14:textId="77777777" w:rsidR="007E533A" w:rsidRPr="00F47241" w:rsidRDefault="007E533A" w:rsidP="000235D3">
            <w:pPr>
              <w:widowControl w:val="0"/>
              <w:tabs>
                <w:tab w:val="clear" w:pos="284"/>
              </w:tabs>
              <w:autoSpaceDE w:val="0"/>
              <w:autoSpaceDN w:val="0"/>
              <w:ind w:left="4" w:right="229"/>
              <w:rPr>
                <w:szCs w:val="22"/>
                <w:lang w:val="sr-Latn-ME"/>
              </w:rPr>
            </w:pPr>
            <w:r w:rsidRPr="00F47241">
              <w:rPr>
                <w:szCs w:val="22"/>
                <w:lang w:val="sr-Latn-ME"/>
              </w:rPr>
              <w:t>Poremećaji kože i potkožnog tkiva</w:t>
            </w:r>
          </w:p>
        </w:tc>
        <w:tc>
          <w:tcPr>
            <w:tcW w:w="1350" w:type="dxa"/>
          </w:tcPr>
          <w:p w14:paraId="6803EFAC"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Česta</w:t>
            </w:r>
          </w:p>
        </w:tc>
        <w:tc>
          <w:tcPr>
            <w:tcW w:w="5580" w:type="dxa"/>
          </w:tcPr>
          <w:p w14:paraId="7A0E883A"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Osip</w:t>
            </w:r>
          </w:p>
        </w:tc>
      </w:tr>
      <w:tr w:rsidR="007E533A" w:rsidRPr="00F47241" w14:paraId="5303EFAD" w14:textId="77777777" w:rsidTr="000235D3">
        <w:trPr>
          <w:trHeight w:val="521"/>
        </w:trPr>
        <w:tc>
          <w:tcPr>
            <w:tcW w:w="2790" w:type="dxa"/>
            <w:vMerge/>
            <w:tcBorders>
              <w:top w:val="nil"/>
            </w:tcBorders>
          </w:tcPr>
          <w:p w14:paraId="30B393E7"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743DC5CE"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Manje često</w:t>
            </w:r>
          </w:p>
        </w:tc>
        <w:tc>
          <w:tcPr>
            <w:tcW w:w="5580" w:type="dxa"/>
          </w:tcPr>
          <w:p w14:paraId="00DA5538"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Eritem, multiformni eritem, urtikarija, angioedem</w:t>
            </w:r>
          </w:p>
        </w:tc>
      </w:tr>
      <w:tr w:rsidR="007E533A" w:rsidRPr="00F47241" w14:paraId="725D9665" w14:textId="77777777" w:rsidTr="000235D3">
        <w:trPr>
          <w:trHeight w:val="363"/>
        </w:trPr>
        <w:tc>
          <w:tcPr>
            <w:tcW w:w="2790" w:type="dxa"/>
            <w:vMerge/>
            <w:tcBorders>
              <w:top w:val="nil"/>
            </w:tcBorders>
          </w:tcPr>
          <w:p w14:paraId="590EB1BD" w14:textId="77777777" w:rsidR="007E533A" w:rsidRPr="00F47241" w:rsidRDefault="007E533A" w:rsidP="000235D3">
            <w:pPr>
              <w:widowControl w:val="0"/>
              <w:tabs>
                <w:tab w:val="clear" w:pos="284"/>
              </w:tabs>
              <w:autoSpaceDE w:val="0"/>
              <w:autoSpaceDN w:val="0"/>
              <w:rPr>
                <w:sz w:val="2"/>
                <w:szCs w:val="2"/>
                <w:lang w:val="sr-Latn-ME"/>
              </w:rPr>
            </w:pPr>
          </w:p>
        </w:tc>
        <w:tc>
          <w:tcPr>
            <w:tcW w:w="1350" w:type="dxa"/>
          </w:tcPr>
          <w:p w14:paraId="23C58890"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Rijetka</w:t>
            </w:r>
          </w:p>
        </w:tc>
        <w:tc>
          <w:tcPr>
            <w:tcW w:w="5580" w:type="dxa"/>
            <w:tcBorders>
              <w:bottom w:val="single" w:sz="4" w:space="0" w:color="828487"/>
            </w:tcBorders>
          </w:tcPr>
          <w:p w14:paraId="6C14BB2D" w14:textId="77777777" w:rsidR="007E533A" w:rsidRPr="00F47241" w:rsidRDefault="007E533A" w:rsidP="000235D3">
            <w:pPr>
              <w:widowControl w:val="0"/>
              <w:tabs>
                <w:tab w:val="clear" w:pos="284"/>
              </w:tabs>
              <w:autoSpaceDE w:val="0"/>
              <w:autoSpaceDN w:val="0"/>
              <w:ind w:left="4"/>
              <w:rPr>
                <w:szCs w:val="22"/>
                <w:lang w:val="sr-Latn-ME"/>
              </w:rPr>
            </w:pPr>
            <w:r w:rsidRPr="00F47241">
              <w:rPr>
                <w:szCs w:val="22"/>
                <w:lang w:val="sr-Latn-ME"/>
              </w:rPr>
              <w:t>Toksična epidermalna nekroliza, Stevens-Johnsonov sindrom</w:t>
            </w:r>
          </w:p>
        </w:tc>
      </w:tr>
      <w:tr w:rsidR="007E533A" w:rsidRPr="00F47241" w14:paraId="547DCF3D" w14:textId="77777777" w:rsidTr="000235D3">
        <w:trPr>
          <w:trHeight w:val="1155"/>
        </w:trPr>
        <w:tc>
          <w:tcPr>
            <w:tcW w:w="2790" w:type="dxa"/>
          </w:tcPr>
          <w:p w14:paraId="0B5F9402" w14:textId="77777777" w:rsidR="007E533A" w:rsidRPr="00F47241" w:rsidRDefault="007E533A" w:rsidP="000235D3">
            <w:pPr>
              <w:pStyle w:val="TableParagraph"/>
              <w:spacing w:line="240" w:lineRule="auto"/>
              <w:ind w:right="919"/>
              <w:jc w:val="both"/>
              <w:rPr>
                <w:lang w:val="sr-Latn-ME"/>
              </w:rPr>
            </w:pPr>
            <w:r w:rsidRPr="00F47241">
              <w:rPr>
                <w:lang w:val="sr-Latn-ME"/>
              </w:rPr>
              <w:t>Poremećaji bubrega i mokraćnog sistema</w:t>
            </w:r>
          </w:p>
        </w:tc>
        <w:tc>
          <w:tcPr>
            <w:tcW w:w="1350" w:type="dxa"/>
          </w:tcPr>
          <w:p w14:paraId="6CBDD92E" w14:textId="77777777" w:rsidR="007E533A" w:rsidRPr="00F47241" w:rsidRDefault="007E533A" w:rsidP="000235D3">
            <w:pPr>
              <w:pStyle w:val="TableParagraph"/>
              <w:spacing w:line="240" w:lineRule="auto"/>
              <w:jc w:val="both"/>
              <w:rPr>
                <w:lang w:val="sr-Latn-ME"/>
              </w:rPr>
            </w:pPr>
            <w:r w:rsidRPr="00F47241">
              <w:rPr>
                <w:lang w:val="sr-Latn-ME"/>
              </w:rPr>
              <w:t>Rijetka</w:t>
            </w:r>
          </w:p>
        </w:tc>
        <w:tc>
          <w:tcPr>
            <w:tcW w:w="5580" w:type="dxa"/>
          </w:tcPr>
          <w:p w14:paraId="4A41AC5A" w14:textId="77777777" w:rsidR="007E533A" w:rsidRPr="00F47241" w:rsidRDefault="007E533A" w:rsidP="000235D3">
            <w:pPr>
              <w:pStyle w:val="TableParagraph"/>
              <w:spacing w:line="240" w:lineRule="auto"/>
              <w:ind w:right="84"/>
              <w:jc w:val="both"/>
              <w:rPr>
                <w:lang w:val="sr-Latn-ME"/>
              </w:rPr>
            </w:pPr>
            <w:r w:rsidRPr="00F47241">
              <w:rPr>
                <w:lang w:val="sr-Latn-ME"/>
              </w:rPr>
              <w:t>Nefrotoksičnost, intersticijski nefritis, nedefinisana nefropatija, proteinurija, prolazno povećanje uree u krvi (BUN), obično kod pacijenata istovremeno liječenih sa drugim potencijalnim nefrotoksičnim ljekovima.</w:t>
            </w:r>
          </w:p>
        </w:tc>
      </w:tr>
      <w:tr w:rsidR="007E533A" w:rsidRPr="00F47241" w14:paraId="04C02B2F" w14:textId="77777777" w:rsidTr="000235D3">
        <w:trPr>
          <w:trHeight w:val="561"/>
        </w:trPr>
        <w:tc>
          <w:tcPr>
            <w:tcW w:w="2790" w:type="dxa"/>
          </w:tcPr>
          <w:p w14:paraId="79842921" w14:textId="77777777" w:rsidR="007E533A" w:rsidRPr="00F47241" w:rsidRDefault="007E533A" w:rsidP="000235D3">
            <w:pPr>
              <w:pStyle w:val="TableParagraph"/>
              <w:spacing w:line="240" w:lineRule="auto"/>
              <w:ind w:right="388"/>
              <w:jc w:val="both"/>
              <w:rPr>
                <w:lang w:val="sr-Latn-ME"/>
              </w:rPr>
            </w:pPr>
            <w:r w:rsidRPr="00F47241">
              <w:rPr>
                <w:lang w:val="sr-Latn-ME"/>
              </w:rPr>
              <w:t>Poremećaji reproduktivnog sistema i dojki</w:t>
            </w:r>
          </w:p>
        </w:tc>
        <w:tc>
          <w:tcPr>
            <w:tcW w:w="1350" w:type="dxa"/>
          </w:tcPr>
          <w:p w14:paraId="5E2ACC40" w14:textId="77777777" w:rsidR="007E533A" w:rsidRPr="00F47241" w:rsidRDefault="007E533A" w:rsidP="000235D3">
            <w:pPr>
              <w:pStyle w:val="TableParagraph"/>
              <w:spacing w:line="240" w:lineRule="auto"/>
              <w:jc w:val="both"/>
              <w:rPr>
                <w:lang w:val="sr-Latn-ME"/>
              </w:rPr>
            </w:pPr>
            <w:r w:rsidRPr="00F47241">
              <w:rPr>
                <w:lang w:val="sr-Latn-ME"/>
              </w:rPr>
              <w:t>Vrlo rijetka</w:t>
            </w:r>
          </w:p>
        </w:tc>
        <w:tc>
          <w:tcPr>
            <w:tcW w:w="5580" w:type="dxa"/>
          </w:tcPr>
          <w:p w14:paraId="2AEA976E" w14:textId="77777777" w:rsidR="007E533A" w:rsidRPr="00F47241" w:rsidRDefault="007E533A" w:rsidP="000235D3">
            <w:pPr>
              <w:pStyle w:val="TableParagraph"/>
              <w:spacing w:line="240" w:lineRule="auto"/>
              <w:jc w:val="both"/>
              <w:rPr>
                <w:lang w:val="sr-Latn-ME"/>
              </w:rPr>
            </w:pPr>
            <w:r w:rsidRPr="00F47241">
              <w:rPr>
                <w:lang w:val="sr-Latn-ME"/>
              </w:rPr>
              <w:t>Vuvlovaginalni pruritus</w:t>
            </w:r>
          </w:p>
        </w:tc>
      </w:tr>
      <w:tr w:rsidR="007E533A" w:rsidRPr="00F47241" w14:paraId="1BDF8864" w14:textId="77777777" w:rsidTr="000235D3">
        <w:trPr>
          <w:trHeight w:val="530"/>
        </w:trPr>
        <w:tc>
          <w:tcPr>
            <w:tcW w:w="2790" w:type="dxa"/>
            <w:vMerge w:val="restart"/>
          </w:tcPr>
          <w:p w14:paraId="5B4563D8" w14:textId="77777777" w:rsidR="007E533A" w:rsidRPr="00F47241" w:rsidRDefault="007E533A" w:rsidP="000235D3">
            <w:pPr>
              <w:pStyle w:val="TableParagraph"/>
              <w:spacing w:line="240" w:lineRule="auto"/>
              <w:ind w:right="199"/>
              <w:jc w:val="both"/>
              <w:rPr>
                <w:lang w:val="sr-Latn-ME"/>
              </w:rPr>
            </w:pPr>
            <w:r w:rsidRPr="00F47241">
              <w:rPr>
                <w:lang w:val="sr-Latn-ME"/>
              </w:rPr>
              <w:t>Opšti poremećaji i reakcije na mjestu primjene</w:t>
            </w:r>
          </w:p>
        </w:tc>
        <w:tc>
          <w:tcPr>
            <w:tcW w:w="1350" w:type="dxa"/>
          </w:tcPr>
          <w:p w14:paraId="10143109" w14:textId="77777777" w:rsidR="007E533A" w:rsidRPr="00F47241" w:rsidRDefault="007E533A" w:rsidP="000235D3">
            <w:pPr>
              <w:pStyle w:val="TableParagraph"/>
              <w:spacing w:line="240" w:lineRule="auto"/>
              <w:jc w:val="both"/>
              <w:rPr>
                <w:lang w:val="sr-Latn-ME"/>
              </w:rPr>
            </w:pPr>
            <w:r w:rsidRPr="00F47241">
              <w:rPr>
                <w:lang w:val="sr-Latn-ME"/>
              </w:rPr>
              <w:t>Česta</w:t>
            </w:r>
          </w:p>
        </w:tc>
        <w:tc>
          <w:tcPr>
            <w:tcW w:w="5580" w:type="dxa"/>
          </w:tcPr>
          <w:p w14:paraId="71A9D865" w14:textId="77777777" w:rsidR="007E533A" w:rsidRPr="00F47241" w:rsidRDefault="007E533A" w:rsidP="000235D3">
            <w:pPr>
              <w:pStyle w:val="TableParagraph"/>
              <w:spacing w:line="240" w:lineRule="auto"/>
              <w:ind w:right="59"/>
              <w:jc w:val="both"/>
              <w:rPr>
                <w:lang w:val="sr-Latn-ME"/>
              </w:rPr>
            </w:pPr>
            <w:r w:rsidRPr="00F47241">
              <w:rPr>
                <w:lang w:val="sr-Latn-ME"/>
              </w:rPr>
              <w:t>Bol na mjestu intramuskularne injekcije, ponekad sa induracijom.</w:t>
            </w:r>
          </w:p>
        </w:tc>
      </w:tr>
      <w:tr w:rsidR="007E533A" w:rsidRPr="00F47241" w14:paraId="3B241A97" w14:textId="77777777" w:rsidTr="000235D3">
        <w:trPr>
          <w:trHeight w:val="275"/>
        </w:trPr>
        <w:tc>
          <w:tcPr>
            <w:tcW w:w="2790" w:type="dxa"/>
            <w:vMerge/>
            <w:tcBorders>
              <w:top w:val="nil"/>
            </w:tcBorders>
          </w:tcPr>
          <w:p w14:paraId="698014CE" w14:textId="77777777" w:rsidR="007E533A" w:rsidRPr="00F47241" w:rsidRDefault="007E533A" w:rsidP="000235D3">
            <w:pPr>
              <w:rPr>
                <w:sz w:val="2"/>
                <w:szCs w:val="2"/>
                <w:lang w:val="sr-Latn-ME"/>
              </w:rPr>
            </w:pPr>
          </w:p>
        </w:tc>
        <w:tc>
          <w:tcPr>
            <w:tcW w:w="1350" w:type="dxa"/>
          </w:tcPr>
          <w:p w14:paraId="71AB10AE" w14:textId="77777777" w:rsidR="007E533A" w:rsidRPr="00F47241" w:rsidRDefault="007E533A" w:rsidP="000235D3">
            <w:pPr>
              <w:pStyle w:val="TableParagraph"/>
              <w:spacing w:line="240" w:lineRule="auto"/>
              <w:jc w:val="both"/>
              <w:rPr>
                <w:lang w:val="sr-Latn-ME"/>
              </w:rPr>
            </w:pPr>
            <w:r w:rsidRPr="00F47241">
              <w:rPr>
                <w:lang w:val="sr-Latn-ME"/>
              </w:rPr>
              <w:t>Rijetka</w:t>
            </w:r>
          </w:p>
        </w:tc>
        <w:tc>
          <w:tcPr>
            <w:tcW w:w="5580" w:type="dxa"/>
          </w:tcPr>
          <w:p w14:paraId="4AABC7FD" w14:textId="77777777" w:rsidR="007E533A" w:rsidRPr="00F47241" w:rsidRDefault="007E533A" w:rsidP="000235D3">
            <w:pPr>
              <w:pStyle w:val="TableParagraph"/>
              <w:spacing w:line="240" w:lineRule="auto"/>
              <w:jc w:val="both"/>
              <w:rPr>
                <w:lang w:val="sr-Latn-ME"/>
              </w:rPr>
            </w:pPr>
            <w:r w:rsidRPr="00F47241">
              <w:rPr>
                <w:lang w:val="sr-Latn-ME"/>
              </w:rPr>
              <w:t>Slabost, umor, bol u grudima</w:t>
            </w:r>
          </w:p>
        </w:tc>
      </w:tr>
    </w:tbl>
    <w:p w14:paraId="731CD8FC" w14:textId="77777777" w:rsidR="007E533A" w:rsidRPr="00F47241" w:rsidRDefault="007E533A" w:rsidP="007E533A">
      <w:pPr>
        <w:rPr>
          <w:noProof/>
          <w:szCs w:val="22"/>
          <w:lang w:val="sr-Latn-ME"/>
        </w:rPr>
      </w:pPr>
    </w:p>
    <w:p w14:paraId="34BD3C5A" w14:textId="77777777" w:rsidR="007E533A" w:rsidRPr="00F47241" w:rsidRDefault="007E533A" w:rsidP="007E533A">
      <w:pPr>
        <w:rPr>
          <w:rFonts w:eastAsia="Calibri"/>
          <w:szCs w:val="22"/>
          <w:u w:val="single"/>
          <w:lang w:val="sr-Latn-ME"/>
        </w:rPr>
      </w:pPr>
      <w:r w:rsidRPr="00F47241">
        <w:rPr>
          <w:rFonts w:eastAsia="Calibri"/>
          <w:szCs w:val="22"/>
          <w:u w:val="single"/>
          <w:lang w:val="sr-Latn-ME"/>
        </w:rPr>
        <w:t>Prijavljivanje sumnji na neželjena dejstva</w:t>
      </w:r>
    </w:p>
    <w:p w14:paraId="5AC10576" w14:textId="77777777" w:rsidR="007E533A" w:rsidRPr="00F47241" w:rsidRDefault="007E533A" w:rsidP="007E533A">
      <w:pPr>
        <w:rPr>
          <w:rFonts w:eastAsia="Calibri"/>
          <w:szCs w:val="22"/>
          <w:lang w:val="sr-Latn-ME"/>
        </w:rPr>
      </w:pPr>
      <w:r w:rsidRPr="00F47241">
        <w:rPr>
          <w:rFonts w:eastAsia="Calibri"/>
          <w:szCs w:val="22"/>
          <w:lang w:val="sr-Latn-ME"/>
        </w:rPr>
        <w:t>Prijavljivanje neželjenih dejstava nakon dobijanja dozvole za lijek  je od velikog značaja jer obezbjeđuje kontinuirano praćenje odnosa korist/rizik primjene lijeka. Zdravstveni radnici treba da prijave svaku sumnju na neželjeno dejstvo ovog lijeka Institutu za ljekove i medicinska sredstva (CInMED):</w:t>
      </w:r>
    </w:p>
    <w:p w14:paraId="39FB659F"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 xml:space="preserve">Institut za ljekove i medicinska sredstva </w:t>
      </w:r>
    </w:p>
    <w:p w14:paraId="7C7651DC"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Odjeljenje za farmakovigilancu</w:t>
      </w:r>
    </w:p>
    <w:p w14:paraId="622F619A"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Bulevar Ivana Crnojevića 64a, 81000 Podgorica</w:t>
      </w:r>
    </w:p>
    <w:p w14:paraId="4EC03460" w14:textId="77777777" w:rsidR="007E533A" w:rsidRPr="00F47241" w:rsidRDefault="007E533A" w:rsidP="007E533A">
      <w:pPr>
        <w:pStyle w:val="NoSpacing"/>
        <w:jc w:val="both"/>
        <w:rPr>
          <w:rFonts w:eastAsia="Calibri"/>
          <w:sz w:val="22"/>
          <w:szCs w:val="22"/>
          <w:lang w:val="sr-Latn-ME"/>
        </w:rPr>
      </w:pPr>
    </w:p>
    <w:p w14:paraId="3EA62223"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lastRenderedPageBreak/>
        <w:t>tel: +382 (0) 20 310 280</w:t>
      </w:r>
    </w:p>
    <w:p w14:paraId="06787BB3"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fax: +382 (0) 20 310 581</w:t>
      </w:r>
    </w:p>
    <w:p w14:paraId="572E337B" w14:textId="77777777" w:rsidR="007E533A" w:rsidRPr="00F47241" w:rsidRDefault="00AB30ED" w:rsidP="007E533A">
      <w:pPr>
        <w:pStyle w:val="NoSpacing"/>
        <w:jc w:val="both"/>
        <w:rPr>
          <w:rFonts w:eastAsia="Calibri"/>
          <w:sz w:val="22"/>
          <w:szCs w:val="22"/>
          <w:lang w:val="sr-Latn-ME"/>
        </w:rPr>
      </w:pPr>
      <w:hyperlink r:id="rId7" w:history="1">
        <w:r w:rsidR="007E533A" w:rsidRPr="00F47241">
          <w:rPr>
            <w:rStyle w:val="Hyperlink"/>
            <w:rFonts w:eastAsia="Calibri"/>
            <w:sz w:val="22"/>
            <w:szCs w:val="22"/>
            <w:lang w:val="sr-Latn-ME"/>
          </w:rPr>
          <w:t>www.cinmed.me</w:t>
        </w:r>
      </w:hyperlink>
    </w:p>
    <w:p w14:paraId="2279CB07" w14:textId="77777777" w:rsidR="007E533A" w:rsidRPr="00F47241" w:rsidRDefault="00AB30ED" w:rsidP="007E533A">
      <w:pPr>
        <w:pStyle w:val="NoSpacing"/>
        <w:jc w:val="both"/>
        <w:rPr>
          <w:rFonts w:eastAsia="Calibri"/>
          <w:color w:val="0000FF"/>
          <w:sz w:val="22"/>
          <w:szCs w:val="22"/>
          <w:u w:val="single"/>
          <w:lang w:val="sr-Latn-ME"/>
        </w:rPr>
      </w:pPr>
      <w:hyperlink r:id="rId8" w:history="1">
        <w:r w:rsidR="007E533A" w:rsidRPr="00F47241">
          <w:rPr>
            <w:rStyle w:val="Hyperlink"/>
            <w:rFonts w:eastAsia="Calibri"/>
            <w:sz w:val="22"/>
            <w:szCs w:val="22"/>
            <w:lang w:val="sr-Latn-ME"/>
          </w:rPr>
          <w:t>nezeljenadejstva@cinmed.me</w:t>
        </w:r>
      </w:hyperlink>
    </w:p>
    <w:p w14:paraId="356EA11D"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putem IS zdravstvene zaštite</w:t>
      </w:r>
    </w:p>
    <w:p w14:paraId="702799A4"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QR kod za online prijavu sumnje na neželjeno dejstvo lijeka:</w:t>
      </w:r>
    </w:p>
    <w:p w14:paraId="3A3E2D0D" w14:textId="77777777" w:rsidR="007E533A" w:rsidRPr="00F47241" w:rsidRDefault="007E533A" w:rsidP="007E533A">
      <w:pPr>
        <w:pStyle w:val="NoSpacing"/>
        <w:jc w:val="both"/>
        <w:rPr>
          <w:rFonts w:eastAsia="Calibri"/>
          <w:sz w:val="22"/>
          <w:szCs w:val="22"/>
          <w:lang w:val="sr-Latn-ME"/>
        </w:rPr>
      </w:pPr>
    </w:p>
    <w:p w14:paraId="7E532AF4" w14:textId="77777777" w:rsidR="007E533A" w:rsidRPr="00F47241" w:rsidRDefault="007E533A" w:rsidP="007E533A">
      <w:pPr>
        <w:pStyle w:val="NoSpacing"/>
        <w:jc w:val="both"/>
        <w:rPr>
          <w:rFonts w:eastAsia="Calibri"/>
          <w:sz w:val="22"/>
          <w:szCs w:val="22"/>
          <w:lang w:val="sr-Latn-ME"/>
        </w:rPr>
      </w:pPr>
      <w:r w:rsidRPr="00F47241">
        <w:rPr>
          <w:noProof/>
          <w:lang w:val="sr-Latn-ME"/>
        </w:rPr>
        <w:drawing>
          <wp:inline distT="0" distB="0" distL="0" distR="0" wp14:anchorId="2C4E062B" wp14:editId="484F671A">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7A3CDAC" w14:textId="77777777" w:rsidR="007E533A" w:rsidRPr="00F47241" w:rsidRDefault="007E533A" w:rsidP="007E533A">
      <w:pPr>
        <w:rPr>
          <w:szCs w:val="22"/>
          <w:lang w:val="sr-Latn-ME"/>
        </w:rPr>
      </w:pPr>
    </w:p>
    <w:p w14:paraId="42162337" w14:textId="77777777" w:rsidR="007E533A" w:rsidRPr="00F47241" w:rsidRDefault="007E533A" w:rsidP="007E533A">
      <w:pPr>
        <w:rPr>
          <w:szCs w:val="22"/>
          <w:lang w:val="sr-Latn-ME"/>
        </w:rPr>
      </w:pPr>
      <w:r w:rsidRPr="00F47241">
        <w:rPr>
          <w:szCs w:val="22"/>
          <w:lang w:val="sr-Latn-ME"/>
        </w:rPr>
        <w:t>Potrebno se obratiti ljekaru u slučaju teške i istrajne dijareje tokom ili nakon liječenja cefazolinom jer takva dijareja može biti simptom ozbiljne bolesti (pseudomembranoznog kolitisa) koji se mora odmah liječiti. Pacijenti ne smiju ni pod kojim okolnostima uzimati antiperistaltičke ljekove za samoliječenje (pogledati dio 4.4).</w:t>
      </w:r>
    </w:p>
    <w:p w14:paraId="6651C5C0" w14:textId="77777777" w:rsidR="007E533A" w:rsidRPr="00F47241" w:rsidRDefault="007E533A" w:rsidP="007E533A">
      <w:pPr>
        <w:rPr>
          <w:szCs w:val="22"/>
          <w:lang w:val="sr-Latn-ME"/>
        </w:rPr>
      </w:pPr>
    </w:p>
    <w:p w14:paraId="6A1C4F9B" w14:textId="77777777" w:rsidR="007E533A" w:rsidRPr="00F47241" w:rsidRDefault="007E533A" w:rsidP="007E533A">
      <w:pPr>
        <w:rPr>
          <w:szCs w:val="22"/>
          <w:lang w:val="sr-Latn-ME"/>
        </w:rPr>
      </w:pPr>
      <w:r w:rsidRPr="00F47241">
        <w:rPr>
          <w:szCs w:val="22"/>
          <w:lang w:val="sr-Latn-ME"/>
        </w:rPr>
        <w:t>Produžena upotreba cefalosporina može dovesti do prekomjernog rasta bakterija otpornih na cefazolin, posebno sojeva Enterobacter, Citrobacter, Pseudomonas, Enterococcus i Candida. To može uzrokovati superinfekcije ili potencijalnu kolonizaciju sa rezistentnim organizmima ili kvascima (pogledati dio 4.4).</w:t>
      </w:r>
    </w:p>
    <w:p w14:paraId="5B26ECFC" w14:textId="77777777" w:rsidR="007E533A" w:rsidRPr="00F47241" w:rsidRDefault="007E533A" w:rsidP="007E533A">
      <w:pPr>
        <w:rPr>
          <w:szCs w:val="22"/>
          <w:lang w:val="sr-Latn-ME"/>
        </w:rPr>
      </w:pPr>
    </w:p>
    <w:p w14:paraId="7F5E6D2A" w14:textId="77777777" w:rsidR="007E533A" w:rsidRPr="00F47241" w:rsidRDefault="007E533A" w:rsidP="007E533A">
      <w:pPr>
        <w:rPr>
          <w:szCs w:val="22"/>
          <w:u w:val="single"/>
          <w:lang w:val="sr-Latn-ME"/>
        </w:rPr>
      </w:pPr>
      <w:r w:rsidRPr="00F47241">
        <w:rPr>
          <w:szCs w:val="22"/>
          <w:u w:val="single"/>
          <w:lang w:val="sr-Latn-ME"/>
        </w:rPr>
        <w:t>Ispitivanja</w:t>
      </w:r>
    </w:p>
    <w:p w14:paraId="648EDA7E" w14:textId="77777777" w:rsidR="007E533A" w:rsidRPr="00F47241" w:rsidRDefault="007E533A" w:rsidP="007E533A">
      <w:pPr>
        <w:rPr>
          <w:szCs w:val="22"/>
          <w:lang w:val="sr-Latn-ME"/>
        </w:rPr>
      </w:pPr>
      <w:r w:rsidRPr="00F47241">
        <w:rPr>
          <w:szCs w:val="22"/>
          <w:lang w:val="sr-Latn-ME"/>
        </w:rPr>
        <w:t>Prolazni porast AST, ALT, uree u krvi i alkalne fosfataze bez kliničkog dokaza oštećenja bubrega ili jetre.</w:t>
      </w:r>
    </w:p>
    <w:p w14:paraId="576105E3" w14:textId="77777777" w:rsidR="007E533A" w:rsidRPr="00F47241" w:rsidRDefault="007E533A" w:rsidP="007E533A">
      <w:pPr>
        <w:rPr>
          <w:szCs w:val="22"/>
          <w:lang w:val="sr-Latn-ME"/>
        </w:rPr>
      </w:pPr>
    </w:p>
    <w:p w14:paraId="402BC7CE" w14:textId="77777777" w:rsidR="007E533A" w:rsidRPr="00F47241" w:rsidRDefault="007E533A" w:rsidP="007E533A">
      <w:pPr>
        <w:rPr>
          <w:szCs w:val="22"/>
          <w:lang w:val="sr-Latn-ME"/>
        </w:rPr>
      </w:pPr>
      <w:r w:rsidRPr="00F47241">
        <w:rPr>
          <w:szCs w:val="22"/>
          <w:lang w:val="sr-Latn-ME"/>
        </w:rPr>
        <w:t>Podaci na životinjama pokazali su da cefazolin ima potencijalni nefrotoksični efekat. Iako to nije dokazano na ljudima, tu mogućnost treba uzeti u obzir, posebno kod pacijenata koji primaju visoke doze tokom dužeg perioda. U rijetkim slučajevima prijavljeni su intersticijski nefritis i nespecifirana nefropatija. Pogodjeni pacijenti bili su ozbiljno bolesni i primali su nekoliko ljekova. Uloga cefazolina u razvoju intersticijskog nefritisa ili drugih nefropatija nije ustvrdjena.</w:t>
      </w:r>
    </w:p>
    <w:p w14:paraId="6A9D0AB7" w14:textId="77777777" w:rsidR="007E533A" w:rsidRPr="00F47241" w:rsidRDefault="007E533A" w:rsidP="007E533A">
      <w:pPr>
        <w:rPr>
          <w:szCs w:val="22"/>
          <w:lang w:val="sr-Latn-ME"/>
        </w:rPr>
      </w:pPr>
    </w:p>
    <w:p w14:paraId="25B1095D" w14:textId="77777777" w:rsidR="007E533A" w:rsidRPr="00F47241" w:rsidRDefault="007E533A" w:rsidP="007E533A">
      <w:pPr>
        <w:rPr>
          <w:szCs w:val="22"/>
          <w:lang w:val="sr-Latn-ME"/>
        </w:rPr>
      </w:pPr>
      <w:r w:rsidRPr="00F47241">
        <w:rPr>
          <w:szCs w:val="22"/>
          <w:lang w:val="sr-Latn-ME"/>
        </w:rPr>
        <w:t>U rijetkim slučajevima, tokom liječenja je zabilježeno sljedeće:</w:t>
      </w:r>
    </w:p>
    <w:p w14:paraId="13C10A6E" w14:textId="77777777" w:rsidR="007E533A" w:rsidRPr="00F47241" w:rsidRDefault="007E533A" w:rsidP="007E533A">
      <w:pPr>
        <w:rPr>
          <w:szCs w:val="22"/>
          <w:lang w:val="sr-Latn-ME"/>
        </w:rPr>
      </w:pPr>
      <w:r w:rsidRPr="00F47241">
        <w:rPr>
          <w:szCs w:val="22"/>
          <w:lang w:val="sr-Latn-ME"/>
        </w:rPr>
        <w:t>● Smanjen nivo hemoglobina i/ili hematokrita, anemija, agranulocitoza, aplastična anemija, pancitopenija i hemolitička anemija.</w:t>
      </w:r>
    </w:p>
    <w:p w14:paraId="6FB9E909" w14:textId="77777777" w:rsidR="007E533A" w:rsidRPr="00F47241" w:rsidRDefault="007E533A" w:rsidP="007E533A">
      <w:pPr>
        <w:rPr>
          <w:szCs w:val="22"/>
          <w:lang w:val="sr-Latn-ME"/>
        </w:rPr>
      </w:pPr>
      <w:r w:rsidRPr="00F47241">
        <w:rPr>
          <w:szCs w:val="22"/>
          <w:lang w:val="sr-Latn-ME"/>
        </w:rPr>
        <w:t>Sljedeći su slučajevi prijavljeni tokom liječenja odredjenim cefalosporinima:</w:t>
      </w:r>
    </w:p>
    <w:p w14:paraId="4A2DFE9F" w14:textId="77777777" w:rsidR="007E533A" w:rsidRPr="00F47241" w:rsidRDefault="007E533A" w:rsidP="007E533A">
      <w:pPr>
        <w:rPr>
          <w:szCs w:val="22"/>
          <w:lang w:val="sr-Latn-ME"/>
        </w:rPr>
      </w:pPr>
      <w:r w:rsidRPr="00F47241">
        <w:rPr>
          <w:szCs w:val="22"/>
          <w:lang w:val="sr-Latn-ME"/>
        </w:rPr>
        <w:t>● Noćne more, vrtoglavica, hiperaktivnost, nervoza ili anksioznost, nesanica, slabost, crvnilo, oštećen vid za boje, konfuzija i epileptička aktivnost.</w:t>
      </w:r>
    </w:p>
    <w:p w14:paraId="618DF972" w14:textId="77777777" w:rsidR="007E533A" w:rsidRPr="00F47241" w:rsidRDefault="007E533A" w:rsidP="007E533A">
      <w:pPr>
        <w:rPr>
          <w:b/>
          <w:bCs/>
          <w:szCs w:val="22"/>
          <w:lang w:val="sr-Latn-ME"/>
        </w:rPr>
      </w:pPr>
    </w:p>
    <w:p w14:paraId="1EA76288" w14:textId="77777777" w:rsidR="007E533A" w:rsidRPr="00F47241" w:rsidRDefault="007E533A" w:rsidP="007E533A">
      <w:pPr>
        <w:rPr>
          <w:bCs/>
          <w:szCs w:val="22"/>
          <w:lang w:val="sr-Latn-ME"/>
        </w:rPr>
      </w:pPr>
      <w:r w:rsidRPr="00F47241">
        <w:rPr>
          <w:b/>
          <w:bCs/>
          <w:szCs w:val="22"/>
          <w:lang w:val="sr-Latn-ME"/>
        </w:rPr>
        <w:t>4.9. Predoziranje</w:t>
      </w:r>
    </w:p>
    <w:p w14:paraId="167BC643" w14:textId="77777777" w:rsidR="007E533A" w:rsidRPr="00F47241" w:rsidRDefault="007E533A" w:rsidP="007E533A">
      <w:pPr>
        <w:rPr>
          <w:bCs/>
          <w:szCs w:val="22"/>
          <w:lang w:val="sr-Latn-ME"/>
        </w:rPr>
      </w:pPr>
    </w:p>
    <w:p w14:paraId="2571BD6D" w14:textId="77777777" w:rsidR="007E533A" w:rsidRPr="00F47241" w:rsidRDefault="007E533A" w:rsidP="007E533A">
      <w:pPr>
        <w:rPr>
          <w:bCs/>
          <w:szCs w:val="22"/>
          <w:u w:val="single"/>
          <w:lang w:val="sr-Latn-ME"/>
        </w:rPr>
      </w:pPr>
      <w:r w:rsidRPr="00F47241">
        <w:rPr>
          <w:bCs/>
          <w:szCs w:val="22"/>
          <w:u w:val="single"/>
          <w:lang w:val="sr-Latn-ME"/>
        </w:rPr>
        <w:t>Simptomi predoziranja</w:t>
      </w:r>
    </w:p>
    <w:p w14:paraId="177CC435" w14:textId="77777777" w:rsidR="007E533A" w:rsidRPr="00F47241" w:rsidRDefault="007E533A" w:rsidP="007E533A">
      <w:pPr>
        <w:rPr>
          <w:bCs/>
          <w:szCs w:val="22"/>
          <w:lang w:val="sr-Latn-ME"/>
        </w:rPr>
      </w:pPr>
      <w:r w:rsidRPr="00F47241">
        <w:rPr>
          <w:bCs/>
          <w:szCs w:val="22"/>
          <w:lang w:val="sr-Latn-ME"/>
        </w:rPr>
        <w:t xml:space="preserve">Predoziranje cefazolinom može izazvati bol, zapaljenje i flebitis na mjestu primjene lijeka. </w:t>
      </w:r>
    </w:p>
    <w:p w14:paraId="287FF547" w14:textId="77777777" w:rsidR="007E533A" w:rsidRPr="00F47241" w:rsidRDefault="007E533A" w:rsidP="007E533A">
      <w:pPr>
        <w:rPr>
          <w:bCs/>
          <w:szCs w:val="22"/>
          <w:lang w:val="sr-Latn-ME"/>
        </w:rPr>
      </w:pPr>
      <w:r w:rsidRPr="00F47241">
        <w:rPr>
          <w:bCs/>
          <w:szCs w:val="22"/>
          <w:lang w:val="sr-Latn-ME"/>
        </w:rPr>
        <w:t>Primjena veoma velikih doza cefalosporina parenteralnim putem može da ima za posljedicu vrtoglavicu, parestezije i glavobolju. Nakon predoziranja cefalosporinima mogu se javiti konvulzije, pogotovo kod pacijenata sa oboljenjima bubrega.</w:t>
      </w:r>
    </w:p>
    <w:p w14:paraId="4FF17E55" w14:textId="77777777" w:rsidR="007E533A" w:rsidRPr="00F47241" w:rsidRDefault="007E533A" w:rsidP="007E533A">
      <w:pPr>
        <w:rPr>
          <w:bCs/>
          <w:szCs w:val="22"/>
          <w:lang w:val="sr-Latn-ME"/>
        </w:rPr>
      </w:pPr>
    </w:p>
    <w:p w14:paraId="7E885F0A" w14:textId="77777777" w:rsidR="007E533A" w:rsidRPr="00F47241" w:rsidRDefault="007E533A" w:rsidP="007E533A">
      <w:pPr>
        <w:rPr>
          <w:bCs/>
          <w:szCs w:val="22"/>
          <w:lang w:val="sr-Latn-ME"/>
        </w:rPr>
      </w:pPr>
      <w:r w:rsidRPr="00F47241">
        <w:rPr>
          <w:bCs/>
          <w:szCs w:val="22"/>
          <w:lang w:val="sr-Latn-ME"/>
        </w:rPr>
        <w:t>Nakon predoziranja, može doći do pojave sljedećih</w:t>
      </w:r>
      <w:r w:rsidRPr="00F47241" w:rsidDel="005E1A47">
        <w:rPr>
          <w:bCs/>
          <w:szCs w:val="22"/>
          <w:lang w:val="sr-Latn-ME"/>
        </w:rPr>
        <w:t xml:space="preserve"> </w:t>
      </w:r>
      <w:r w:rsidRPr="00F47241">
        <w:rPr>
          <w:bCs/>
          <w:szCs w:val="22"/>
          <w:lang w:val="sr-Latn-ME"/>
        </w:rPr>
        <w:t xml:space="preserve">odstupanja od referentnih opsega u rezultatima laboratorijskih analiza: povećanje koncentracije kreatinina, azotnih materija u krvi (engl. </w:t>
      </w:r>
      <w:r w:rsidRPr="00F47241">
        <w:rPr>
          <w:bCs/>
          <w:i/>
          <w:szCs w:val="22"/>
          <w:lang w:val="sr-Latn-ME"/>
        </w:rPr>
        <w:t>blood urea nitrogen,</w:t>
      </w:r>
      <w:r w:rsidRPr="00F47241">
        <w:rPr>
          <w:bCs/>
          <w:szCs w:val="22"/>
          <w:lang w:val="sr-Latn-ME"/>
        </w:rPr>
        <w:t xml:space="preserve"> BUN), enzima jetre i bilirubina, pozitivan</w:t>
      </w:r>
      <w:r w:rsidRPr="00F47241">
        <w:rPr>
          <w:szCs w:val="22"/>
          <w:lang w:val="sr-Latn-ME"/>
        </w:rPr>
        <w:t xml:space="preserve"> </w:t>
      </w:r>
      <w:r w:rsidRPr="00F47241">
        <w:rPr>
          <w:bCs/>
          <w:i/>
          <w:szCs w:val="22"/>
          <w:lang w:val="sr-Latn-ME"/>
        </w:rPr>
        <w:t>Coombs</w:t>
      </w:r>
      <w:r w:rsidRPr="00F47241">
        <w:rPr>
          <w:bCs/>
          <w:szCs w:val="22"/>
          <w:lang w:val="sr-Latn-ME"/>
        </w:rPr>
        <w:t xml:space="preserve">-ov test, trombocitoza, trombocitopenija, eozinofilija, leukopenija i produženje protrombinskog vremena. </w:t>
      </w:r>
    </w:p>
    <w:p w14:paraId="50B2EC81" w14:textId="77777777" w:rsidR="007E533A" w:rsidRPr="00F47241" w:rsidRDefault="007E533A" w:rsidP="007E533A">
      <w:pPr>
        <w:rPr>
          <w:bCs/>
          <w:szCs w:val="22"/>
          <w:lang w:val="sr-Latn-ME"/>
        </w:rPr>
      </w:pPr>
    </w:p>
    <w:p w14:paraId="7B280406" w14:textId="77777777" w:rsidR="007E533A" w:rsidRPr="00F47241" w:rsidRDefault="007E533A" w:rsidP="007E533A">
      <w:pPr>
        <w:rPr>
          <w:bCs/>
          <w:szCs w:val="22"/>
          <w:u w:val="single"/>
          <w:lang w:val="sr-Latn-ME"/>
        </w:rPr>
      </w:pPr>
      <w:r w:rsidRPr="00F47241">
        <w:rPr>
          <w:bCs/>
          <w:szCs w:val="22"/>
          <w:u w:val="single"/>
          <w:lang w:val="sr-Latn-ME"/>
        </w:rPr>
        <w:t>Terapija predoziranja</w:t>
      </w:r>
    </w:p>
    <w:p w14:paraId="492F615A" w14:textId="77777777" w:rsidR="007E533A" w:rsidRPr="00F47241" w:rsidRDefault="007E533A" w:rsidP="007E533A">
      <w:pPr>
        <w:rPr>
          <w:szCs w:val="22"/>
          <w:lang w:val="sr-Latn-ME"/>
        </w:rPr>
      </w:pPr>
      <w:r w:rsidRPr="00F47241">
        <w:rPr>
          <w:szCs w:val="22"/>
          <w:lang w:val="sr-Latn-ME"/>
        </w:rPr>
        <w:t xml:space="preserve">Ukoliko nastupe konvulzije, primjenu cefazolina treba odmah obustaviti. Može biti potrebna primjena antikonvulzivne terapije. Potrebno je pažljivo praćenje vitalnih funkcija i odgovarajućih vrijednosti laboratorijskih analiza. U slučaju teškog predoziranja, naročito kod pacijenata sa oštećenom funkcijom </w:t>
      </w:r>
      <w:r w:rsidRPr="00F47241">
        <w:rPr>
          <w:szCs w:val="22"/>
          <w:lang w:val="sr-Latn-ME"/>
        </w:rPr>
        <w:lastRenderedPageBreak/>
        <w:t>bubrega, kombinacija hemodijalize i hemoperfuzije može biti od koristi ukoliko druge terapijske mjere ne daju rezultate iako to nije dokazano.</w:t>
      </w:r>
    </w:p>
    <w:p w14:paraId="39B6873F" w14:textId="77777777" w:rsidR="007E533A" w:rsidRPr="00F47241" w:rsidRDefault="007E533A" w:rsidP="007E533A">
      <w:pPr>
        <w:pStyle w:val="NASLOV123"/>
        <w:spacing w:before="0" w:after="0"/>
        <w:jc w:val="both"/>
        <w:rPr>
          <w:lang w:val="sr-Latn-ME"/>
        </w:rPr>
      </w:pPr>
    </w:p>
    <w:p w14:paraId="2A6F55A7" w14:textId="77777777" w:rsidR="007E533A" w:rsidRPr="00F47241" w:rsidRDefault="007E533A" w:rsidP="007E533A">
      <w:pPr>
        <w:pStyle w:val="NASLOV123"/>
        <w:spacing w:before="0" w:after="0"/>
        <w:jc w:val="both"/>
        <w:rPr>
          <w:lang w:val="sr-Latn-ME"/>
        </w:rPr>
      </w:pPr>
    </w:p>
    <w:p w14:paraId="0C35B260" w14:textId="77777777" w:rsidR="007E533A" w:rsidRPr="00F47241" w:rsidRDefault="007E533A" w:rsidP="007E533A">
      <w:pPr>
        <w:pStyle w:val="NASLOV123"/>
        <w:spacing w:before="0" w:after="0"/>
        <w:jc w:val="both"/>
        <w:rPr>
          <w:lang w:val="sr-Latn-ME"/>
        </w:rPr>
      </w:pPr>
      <w:r w:rsidRPr="00F47241">
        <w:rPr>
          <w:lang w:val="sr-Latn-ME"/>
        </w:rPr>
        <w:t>5. FARMAKOLOŠKI PODACI</w:t>
      </w:r>
    </w:p>
    <w:p w14:paraId="0308C407" w14:textId="77777777" w:rsidR="007E533A" w:rsidRPr="00F47241" w:rsidRDefault="007E533A" w:rsidP="007E533A">
      <w:pPr>
        <w:rPr>
          <w:b/>
          <w:bCs/>
          <w:szCs w:val="22"/>
          <w:lang w:val="sr-Latn-ME"/>
        </w:rPr>
      </w:pPr>
    </w:p>
    <w:p w14:paraId="0254E809" w14:textId="77777777" w:rsidR="007E533A" w:rsidRPr="00F47241" w:rsidRDefault="007E533A" w:rsidP="007E533A">
      <w:pPr>
        <w:rPr>
          <w:b/>
          <w:bCs/>
          <w:szCs w:val="22"/>
          <w:lang w:val="sr-Latn-ME"/>
        </w:rPr>
      </w:pPr>
      <w:r w:rsidRPr="00F47241">
        <w:rPr>
          <w:b/>
          <w:bCs/>
          <w:szCs w:val="22"/>
          <w:lang w:val="sr-Latn-ME"/>
        </w:rPr>
        <w:t>5.1. Farmakodinamski podaci</w:t>
      </w:r>
    </w:p>
    <w:p w14:paraId="0E564A30" w14:textId="77777777" w:rsidR="007E533A" w:rsidRPr="00F47241" w:rsidRDefault="007E533A" w:rsidP="007E533A">
      <w:pPr>
        <w:rPr>
          <w:b/>
          <w:bCs/>
          <w:szCs w:val="22"/>
          <w:lang w:val="sr-Latn-ME"/>
        </w:rPr>
      </w:pPr>
    </w:p>
    <w:p w14:paraId="1F68BE4B" w14:textId="77777777" w:rsidR="007E533A" w:rsidRPr="00F47241" w:rsidRDefault="007E533A" w:rsidP="007E533A">
      <w:pPr>
        <w:rPr>
          <w:bCs/>
          <w:szCs w:val="22"/>
          <w:lang w:val="sr-Latn-ME"/>
        </w:rPr>
      </w:pPr>
      <w:r w:rsidRPr="00F47241">
        <w:rPr>
          <w:szCs w:val="22"/>
          <w:lang w:val="sr-Latn-ME"/>
        </w:rPr>
        <w:t>Farmakoterapijska grupa:</w:t>
      </w:r>
      <w:r w:rsidRPr="00F47241">
        <w:rPr>
          <w:b/>
          <w:bCs/>
          <w:szCs w:val="22"/>
          <w:lang w:val="sr-Latn-ME"/>
        </w:rPr>
        <w:t xml:space="preserve"> </w:t>
      </w:r>
      <w:r w:rsidRPr="00F47241">
        <w:rPr>
          <w:bCs/>
          <w:szCs w:val="22"/>
          <w:lang w:val="sr-Latn-ME"/>
        </w:rPr>
        <w:t>Antibakterijski ljekovi za sistemsku primjenu; ostali beta-laktamski antibiotici; cefalosporini I generacija.</w:t>
      </w:r>
    </w:p>
    <w:p w14:paraId="10591191" w14:textId="77777777" w:rsidR="007E533A" w:rsidRPr="00F47241" w:rsidRDefault="007E533A" w:rsidP="007E533A">
      <w:pPr>
        <w:rPr>
          <w:szCs w:val="22"/>
          <w:highlight w:val="magenta"/>
          <w:lang w:val="sr-Latn-ME"/>
        </w:rPr>
      </w:pPr>
    </w:p>
    <w:p w14:paraId="4403B287" w14:textId="77777777" w:rsidR="007E533A" w:rsidRPr="00F47241" w:rsidRDefault="007E533A" w:rsidP="007E533A">
      <w:pPr>
        <w:rPr>
          <w:szCs w:val="22"/>
          <w:lang w:val="sr-Latn-ME"/>
        </w:rPr>
      </w:pPr>
      <w:r w:rsidRPr="00F47241">
        <w:rPr>
          <w:szCs w:val="22"/>
          <w:lang w:val="sr-Latn-ME"/>
        </w:rPr>
        <w:t>ATC kod: J01DB04</w:t>
      </w:r>
    </w:p>
    <w:p w14:paraId="5CE4D07D" w14:textId="77777777" w:rsidR="007E533A" w:rsidRPr="00F47241" w:rsidRDefault="007E533A" w:rsidP="007E533A">
      <w:pPr>
        <w:rPr>
          <w:bCs/>
          <w:szCs w:val="22"/>
          <w:lang w:val="sr-Latn-ME"/>
        </w:rPr>
      </w:pPr>
    </w:p>
    <w:p w14:paraId="511F3762" w14:textId="77777777" w:rsidR="007E533A" w:rsidRPr="00F47241" w:rsidRDefault="007E533A" w:rsidP="007E533A">
      <w:pPr>
        <w:rPr>
          <w:bCs/>
          <w:szCs w:val="22"/>
          <w:u w:val="single"/>
          <w:lang w:val="sr-Latn-ME"/>
        </w:rPr>
      </w:pPr>
      <w:r w:rsidRPr="00F47241">
        <w:rPr>
          <w:bCs/>
          <w:szCs w:val="22"/>
          <w:u w:val="single"/>
          <w:lang w:val="sr-Latn-ME"/>
        </w:rPr>
        <w:t>Mehanizam dejstva</w:t>
      </w:r>
    </w:p>
    <w:p w14:paraId="359C7AA0" w14:textId="77777777" w:rsidR="007E533A" w:rsidRPr="00F47241" w:rsidRDefault="007E533A" w:rsidP="007E533A">
      <w:pPr>
        <w:rPr>
          <w:bCs/>
          <w:szCs w:val="22"/>
          <w:lang w:val="sr-Latn-ME"/>
        </w:rPr>
      </w:pPr>
    </w:p>
    <w:p w14:paraId="4F1925AA" w14:textId="77777777" w:rsidR="007E533A" w:rsidRPr="00F47241" w:rsidRDefault="007E533A" w:rsidP="007E533A">
      <w:pPr>
        <w:rPr>
          <w:bCs/>
          <w:szCs w:val="22"/>
          <w:lang w:val="sr-Latn-ME"/>
        </w:rPr>
      </w:pPr>
      <w:r w:rsidRPr="00F47241">
        <w:rPr>
          <w:bCs/>
          <w:szCs w:val="22"/>
          <w:lang w:val="sr-Latn-ME"/>
        </w:rPr>
        <w:t>Svi cefalosporini (beta-laktamski antibiotici) inhibiraju sintezu ćelijskog zida bakterije i selektivni su inhibitori sinteze peptidoglikana. Prvi korak je vezivanje lijeka za ćelijske receptore (proteine za vezivanje penicilina). Nakon ovog vezivanja, blokirana je reakcija transpeptidaze i inhibirana sinteza peptidoglikana. To dovodi do lize bakterija.</w:t>
      </w:r>
    </w:p>
    <w:p w14:paraId="12C6C6EC" w14:textId="77777777" w:rsidR="007E533A" w:rsidRPr="00F47241" w:rsidRDefault="007E533A" w:rsidP="007E533A">
      <w:pPr>
        <w:rPr>
          <w:bCs/>
          <w:szCs w:val="22"/>
          <w:lang w:val="sr-Latn-ME"/>
        </w:rPr>
      </w:pPr>
    </w:p>
    <w:p w14:paraId="6ECA0F3E" w14:textId="77777777" w:rsidR="007E533A" w:rsidRPr="00F47241" w:rsidRDefault="007E533A" w:rsidP="007E533A">
      <w:pPr>
        <w:rPr>
          <w:b/>
          <w:szCs w:val="22"/>
          <w:u w:val="single"/>
          <w:lang w:val="sr-Latn-ME"/>
        </w:rPr>
      </w:pPr>
      <w:r w:rsidRPr="00F47241">
        <w:rPr>
          <w:b/>
          <w:szCs w:val="22"/>
          <w:u w:val="single"/>
          <w:lang w:val="sr-Latn-ME"/>
        </w:rPr>
        <w:t>Farmakokinetički/farmakodinamski odnos</w:t>
      </w:r>
    </w:p>
    <w:p w14:paraId="58B7B09D" w14:textId="77777777" w:rsidR="007E533A" w:rsidRPr="00F47241" w:rsidRDefault="007E533A" w:rsidP="007E533A">
      <w:pPr>
        <w:rPr>
          <w:bCs/>
          <w:szCs w:val="22"/>
          <w:lang w:val="sr-Latn-ME"/>
        </w:rPr>
      </w:pPr>
      <w:r w:rsidRPr="00F47241">
        <w:rPr>
          <w:bCs/>
          <w:szCs w:val="22"/>
          <w:lang w:val="sr-Latn-ME"/>
        </w:rPr>
        <w:t>Za cefalosporine se pokazalo da je najvažniji farmakokinetički-farmakodinamski indeks koji je povezan sa efikasnošću in vivo procenat intervala doziranja tokom kojeg nivo nevezanog cefazolina u serumu nadmašuje minimalnu inhibitornu koncentraciju (MIK) cefazolina za ciljne mikroorganizme (tj. %T&gt;MIK).</w:t>
      </w:r>
    </w:p>
    <w:p w14:paraId="19FF50E0" w14:textId="77777777" w:rsidR="007E533A" w:rsidRPr="00F47241" w:rsidRDefault="007E533A" w:rsidP="007E533A">
      <w:pPr>
        <w:rPr>
          <w:bCs/>
          <w:szCs w:val="22"/>
          <w:lang w:val="sr-Latn-ME"/>
        </w:rPr>
      </w:pPr>
    </w:p>
    <w:p w14:paraId="72CE730B" w14:textId="77777777" w:rsidR="007E533A" w:rsidRPr="00F47241" w:rsidRDefault="007E533A" w:rsidP="007E533A">
      <w:pPr>
        <w:rPr>
          <w:bCs/>
          <w:szCs w:val="22"/>
          <w:u w:val="single"/>
          <w:lang w:val="sr-Latn-ME"/>
        </w:rPr>
      </w:pPr>
      <w:r w:rsidRPr="00F47241">
        <w:rPr>
          <w:bCs/>
          <w:szCs w:val="22"/>
          <w:u w:val="single"/>
          <w:lang w:val="sr-Latn-ME"/>
        </w:rPr>
        <w:t>Mehanizam rezistencije</w:t>
      </w:r>
    </w:p>
    <w:p w14:paraId="75206CBF" w14:textId="77777777" w:rsidR="007E533A" w:rsidRPr="00F47241" w:rsidRDefault="007E533A" w:rsidP="007E533A">
      <w:pPr>
        <w:rPr>
          <w:szCs w:val="22"/>
          <w:lang w:val="sr-Latn-ME"/>
        </w:rPr>
      </w:pPr>
      <w:r w:rsidRPr="00F47241">
        <w:rPr>
          <w:szCs w:val="22"/>
          <w:lang w:val="sr-Latn-ME"/>
        </w:rPr>
        <w:t>Beta-laktamski antibiotici sadrže tzv. beta-laktamski prsten koji igra ključnu ulogu u antimikrobnom dejstvu. Ukoliko dođe do raskidanja i otvaranja ovog prstena, ovi ljekovi gube svoju antibiotski efekat. Razne bakterije imaju enzime (beta-laktamaze) koje mogu da raskinu ovaj prsten, i time one postaju otporne na ovu vrstu antibiotika.</w:t>
      </w:r>
    </w:p>
    <w:p w14:paraId="77F8D00C" w14:textId="77777777" w:rsidR="007E533A" w:rsidRPr="00F47241" w:rsidRDefault="007E533A" w:rsidP="007E533A">
      <w:pPr>
        <w:rPr>
          <w:bCs/>
          <w:szCs w:val="22"/>
          <w:lang w:val="sr-Latn-ME"/>
        </w:rPr>
      </w:pPr>
    </w:p>
    <w:p w14:paraId="1F525585" w14:textId="77777777" w:rsidR="007E533A" w:rsidRPr="00F47241" w:rsidRDefault="007E533A" w:rsidP="007E533A">
      <w:pPr>
        <w:rPr>
          <w:bCs/>
          <w:szCs w:val="22"/>
          <w:lang w:val="sr-Latn-ME"/>
        </w:rPr>
      </w:pPr>
      <w:r w:rsidRPr="00F47241">
        <w:rPr>
          <w:bCs/>
          <w:szCs w:val="22"/>
          <w:lang w:val="sr-Latn-ME"/>
        </w:rPr>
        <w:t>Kao i kod svih cefalosporina i drugih beta-laktamskih antibiotika, grupe bakterija mogu steći različite mehanizme rezistencije: promjene u meti (proteini koji vežu penicilin, PBP-ovi), enzimska degradacija centralne strukture od strane beta-laktamaza i promijenjeni pristup meti. Postoji ukrštena rezistencija izmedju cefalosporina i penicilina. Gram-negativni mikroorganizmi poput Enterobacter spp, Serratia spp, Citrobacter spp i Providence spp sadrže inducibilne beta-laktamaze vezane za hromozome; njih treba smatrati rezistentnim na cefazolin usprkos in vitro osjetljivosti.</w:t>
      </w:r>
    </w:p>
    <w:p w14:paraId="34A79E38" w14:textId="77777777" w:rsidR="007E533A" w:rsidRPr="00F47241" w:rsidRDefault="007E533A" w:rsidP="007E533A">
      <w:pPr>
        <w:rPr>
          <w:szCs w:val="22"/>
          <w:lang w:val="sr-Latn-ME"/>
        </w:rPr>
      </w:pPr>
    </w:p>
    <w:p w14:paraId="1D6D8816" w14:textId="77777777" w:rsidR="007E533A" w:rsidRPr="00F47241" w:rsidRDefault="007E533A" w:rsidP="007E533A">
      <w:pPr>
        <w:rPr>
          <w:szCs w:val="22"/>
          <w:u w:val="single"/>
          <w:lang w:val="sr-Latn-ME"/>
        </w:rPr>
      </w:pPr>
      <w:r w:rsidRPr="00F47241">
        <w:rPr>
          <w:szCs w:val="22"/>
          <w:u w:val="single"/>
          <w:lang w:val="sr-Latn-ME"/>
        </w:rPr>
        <w:t>Granične vrijednosti testova osjetljivosti</w:t>
      </w:r>
    </w:p>
    <w:p w14:paraId="0E0A813F" w14:textId="77777777" w:rsidR="007E533A" w:rsidRPr="00F47241" w:rsidRDefault="007E533A" w:rsidP="007E533A">
      <w:pPr>
        <w:rPr>
          <w:szCs w:val="22"/>
          <w:lang w:val="sr-Latn-ME"/>
        </w:rPr>
      </w:pPr>
      <w:r w:rsidRPr="00F47241">
        <w:rPr>
          <w:szCs w:val="22"/>
          <w:lang w:val="sr-Latn-ME"/>
        </w:rPr>
        <w:t>Minimalne inhibitorne koncentracije (MIK) koje je uspostavio Evropski komitet za testiranje osjetljivosti na antibiotike (engl. European Committee on Antimicrobial Susceptibility Testing, EUCAST v.11.0):</w:t>
      </w:r>
    </w:p>
    <w:p w14:paraId="440D0BC7" w14:textId="77777777" w:rsidR="007E533A" w:rsidRPr="00F47241" w:rsidRDefault="007E533A" w:rsidP="007E533A">
      <w:pPr>
        <w:rPr>
          <w:szCs w:val="22"/>
          <w:lang w:val="sr-Latn-ME"/>
        </w:rPr>
      </w:pPr>
    </w:p>
    <w:tbl>
      <w:tblPr>
        <w:tblW w:w="95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37"/>
        <w:gridCol w:w="2197"/>
        <w:gridCol w:w="3006"/>
      </w:tblGrid>
      <w:tr w:rsidR="007E533A" w:rsidRPr="00F47241" w14:paraId="1995769B" w14:textId="77777777" w:rsidTr="000235D3">
        <w:trPr>
          <w:trHeight w:val="399"/>
        </w:trPr>
        <w:tc>
          <w:tcPr>
            <w:tcW w:w="4337" w:type="dxa"/>
            <w:vMerge w:val="restart"/>
            <w:tcBorders>
              <w:bottom w:val="single" w:sz="18" w:space="0" w:color="000000"/>
            </w:tcBorders>
          </w:tcPr>
          <w:p w14:paraId="4389AC7B" w14:textId="77777777" w:rsidR="007E533A" w:rsidRPr="00F47241" w:rsidRDefault="007E533A" w:rsidP="000235D3">
            <w:pPr>
              <w:widowControl w:val="0"/>
              <w:tabs>
                <w:tab w:val="clear" w:pos="284"/>
              </w:tabs>
              <w:autoSpaceDE w:val="0"/>
              <w:autoSpaceDN w:val="0"/>
              <w:ind w:left="9"/>
              <w:rPr>
                <w:b/>
                <w:szCs w:val="22"/>
                <w:lang w:val="sr-Latn-ME"/>
              </w:rPr>
            </w:pPr>
            <w:r w:rsidRPr="00F47241">
              <w:rPr>
                <w:b/>
                <w:szCs w:val="22"/>
                <w:lang w:val="sr-Latn-ME"/>
              </w:rPr>
              <w:t>Patogen</w:t>
            </w:r>
          </w:p>
        </w:tc>
        <w:tc>
          <w:tcPr>
            <w:tcW w:w="5203" w:type="dxa"/>
            <w:gridSpan w:val="2"/>
          </w:tcPr>
          <w:p w14:paraId="13AAC6B3" w14:textId="77777777" w:rsidR="007E533A" w:rsidRPr="00F47241" w:rsidRDefault="007E533A" w:rsidP="000235D3">
            <w:pPr>
              <w:widowControl w:val="0"/>
              <w:tabs>
                <w:tab w:val="clear" w:pos="284"/>
              </w:tabs>
              <w:autoSpaceDE w:val="0"/>
              <w:autoSpaceDN w:val="0"/>
              <w:ind w:left="651"/>
              <w:rPr>
                <w:b/>
                <w:szCs w:val="22"/>
                <w:lang w:val="sr-Latn-ME"/>
              </w:rPr>
            </w:pPr>
            <w:r w:rsidRPr="00F47241">
              <w:rPr>
                <w:b/>
                <w:szCs w:val="22"/>
                <w:lang w:val="sr-Latn-ME"/>
              </w:rPr>
              <w:t>Granične vrijednosti (mg/l)</w:t>
            </w:r>
          </w:p>
        </w:tc>
      </w:tr>
      <w:tr w:rsidR="007E533A" w:rsidRPr="00F47241" w14:paraId="476FE159" w14:textId="77777777" w:rsidTr="000235D3">
        <w:trPr>
          <w:trHeight w:val="271"/>
        </w:trPr>
        <w:tc>
          <w:tcPr>
            <w:tcW w:w="4337" w:type="dxa"/>
            <w:vMerge/>
            <w:tcBorders>
              <w:top w:val="nil"/>
              <w:bottom w:val="single" w:sz="18" w:space="0" w:color="000000"/>
            </w:tcBorders>
          </w:tcPr>
          <w:p w14:paraId="15F3C6EB" w14:textId="77777777" w:rsidR="007E533A" w:rsidRPr="00F47241" w:rsidRDefault="007E533A" w:rsidP="000235D3">
            <w:pPr>
              <w:widowControl w:val="0"/>
              <w:tabs>
                <w:tab w:val="clear" w:pos="284"/>
              </w:tabs>
              <w:autoSpaceDE w:val="0"/>
              <w:autoSpaceDN w:val="0"/>
              <w:rPr>
                <w:sz w:val="2"/>
                <w:szCs w:val="2"/>
                <w:lang w:val="sr-Latn-ME"/>
              </w:rPr>
            </w:pPr>
          </w:p>
        </w:tc>
        <w:tc>
          <w:tcPr>
            <w:tcW w:w="2197" w:type="dxa"/>
            <w:tcBorders>
              <w:bottom w:val="single" w:sz="18" w:space="0" w:color="000000"/>
            </w:tcBorders>
          </w:tcPr>
          <w:p w14:paraId="4422D819" w14:textId="77777777" w:rsidR="007E533A" w:rsidRPr="00F47241" w:rsidRDefault="007E533A" w:rsidP="000235D3">
            <w:pPr>
              <w:widowControl w:val="0"/>
              <w:tabs>
                <w:tab w:val="clear" w:pos="284"/>
              </w:tabs>
              <w:autoSpaceDE w:val="0"/>
              <w:autoSpaceDN w:val="0"/>
              <w:ind w:left="8"/>
              <w:rPr>
                <w:b/>
                <w:szCs w:val="22"/>
                <w:lang w:val="sr-Latn-ME"/>
              </w:rPr>
            </w:pPr>
            <w:r w:rsidRPr="00F47241">
              <w:rPr>
                <w:b/>
                <w:szCs w:val="22"/>
                <w:lang w:val="sr-Latn-ME"/>
              </w:rPr>
              <w:t>S</w:t>
            </w:r>
          </w:p>
        </w:tc>
        <w:tc>
          <w:tcPr>
            <w:tcW w:w="3006" w:type="dxa"/>
            <w:tcBorders>
              <w:bottom w:val="single" w:sz="18" w:space="0" w:color="000000"/>
            </w:tcBorders>
          </w:tcPr>
          <w:p w14:paraId="07C90FCD" w14:textId="77777777" w:rsidR="007E533A" w:rsidRPr="00F47241" w:rsidRDefault="007E533A" w:rsidP="000235D3">
            <w:pPr>
              <w:widowControl w:val="0"/>
              <w:tabs>
                <w:tab w:val="clear" w:pos="284"/>
              </w:tabs>
              <w:autoSpaceDE w:val="0"/>
              <w:autoSpaceDN w:val="0"/>
              <w:ind w:left="15"/>
              <w:rPr>
                <w:b/>
                <w:szCs w:val="22"/>
                <w:lang w:val="sr-Latn-ME"/>
              </w:rPr>
            </w:pPr>
            <w:r w:rsidRPr="00F47241">
              <w:rPr>
                <w:b/>
                <w:szCs w:val="22"/>
                <w:lang w:val="sr-Latn-ME"/>
              </w:rPr>
              <w:t>R</w:t>
            </w:r>
          </w:p>
        </w:tc>
      </w:tr>
      <w:tr w:rsidR="007E533A" w:rsidRPr="00F47241" w14:paraId="695803E4" w14:textId="77777777" w:rsidTr="000235D3">
        <w:trPr>
          <w:trHeight w:val="286"/>
        </w:trPr>
        <w:tc>
          <w:tcPr>
            <w:tcW w:w="4337" w:type="dxa"/>
            <w:tcBorders>
              <w:top w:val="single" w:sz="18" w:space="0" w:color="000000"/>
              <w:bottom w:val="single" w:sz="4" w:space="0" w:color="000000"/>
            </w:tcBorders>
          </w:tcPr>
          <w:p w14:paraId="2A24DDD0" w14:textId="77777777" w:rsidR="007E533A" w:rsidRPr="00F47241" w:rsidRDefault="007E533A" w:rsidP="000235D3">
            <w:pPr>
              <w:widowControl w:val="0"/>
              <w:tabs>
                <w:tab w:val="clear" w:pos="284"/>
              </w:tabs>
              <w:autoSpaceDE w:val="0"/>
              <w:autoSpaceDN w:val="0"/>
              <w:ind w:left="9"/>
              <w:rPr>
                <w:szCs w:val="22"/>
                <w:lang w:val="sr-Latn-ME"/>
              </w:rPr>
            </w:pPr>
            <w:r w:rsidRPr="00F47241">
              <w:rPr>
                <w:szCs w:val="22"/>
                <w:lang w:val="sr-Latn-ME"/>
              </w:rPr>
              <w:t>Staphylococcus spp.</w:t>
            </w:r>
          </w:p>
        </w:tc>
        <w:tc>
          <w:tcPr>
            <w:tcW w:w="2197" w:type="dxa"/>
            <w:tcBorders>
              <w:top w:val="single" w:sz="18" w:space="0" w:color="000000"/>
              <w:bottom w:val="single" w:sz="4" w:space="0" w:color="000000"/>
            </w:tcBorders>
          </w:tcPr>
          <w:p w14:paraId="635E3D2B" w14:textId="77777777" w:rsidR="007E533A" w:rsidRPr="00F47241" w:rsidRDefault="007E533A" w:rsidP="000235D3">
            <w:pPr>
              <w:widowControl w:val="0"/>
              <w:tabs>
                <w:tab w:val="clear" w:pos="284"/>
              </w:tabs>
              <w:autoSpaceDE w:val="0"/>
              <w:autoSpaceDN w:val="0"/>
              <w:ind w:left="561" w:right="551"/>
              <w:rPr>
                <w:szCs w:val="22"/>
                <w:lang w:val="sr-Latn-ME"/>
              </w:rPr>
            </w:pPr>
            <w:r w:rsidRPr="00F47241">
              <w:rPr>
                <w:szCs w:val="22"/>
                <w:lang w:val="sr-Latn-ME"/>
              </w:rPr>
              <w:t>Napomena</w:t>
            </w:r>
            <w:r w:rsidRPr="00F47241">
              <w:rPr>
                <w:szCs w:val="22"/>
                <w:vertAlign w:val="superscript"/>
                <w:lang w:val="sr-Latn-ME"/>
              </w:rPr>
              <w:t>1</w:t>
            </w:r>
          </w:p>
        </w:tc>
        <w:tc>
          <w:tcPr>
            <w:tcW w:w="3006" w:type="dxa"/>
            <w:tcBorders>
              <w:top w:val="single" w:sz="18" w:space="0" w:color="000000"/>
              <w:bottom w:val="single" w:sz="4" w:space="0" w:color="000000"/>
            </w:tcBorders>
          </w:tcPr>
          <w:p w14:paraId="315D74D6" w14:textId="77777777" w:rsidR="007E533A" w:rsidRPr="00F47241" w:rsidRDefault="007E533A" w:rsidP="000235D3">
            <w:pPr>
              <w:widowControl w:val="0"/>
              <w:tabs>
                <w:tab w:val="clear" w:pos="284"/>
              </w:tabs>
              <w:autoSpaceDE w:val="0"/>
              <w:autoSpaceDN w:val="0"/>
              <w:ind w:left="349" w:right="335"/>
              <w:rPr>
                <w:szCs w:val="22"/>
                <w:lang w:val="sr-Latn-ME"/>
              </w:rPr>
            </w:pPr>
            <w:r w:rsidRPr="00F47241">
              <w:rPr>
                <w:szCs w:val="22"/>
                <w:lang w:val="sr-Latn-ME"/>
              </w:rPr>
              <w:t>Napomena</w:t>
            </w:r>
            <w:r w:rsidRPr="00F47241">
              <w:rPr>
                <w:szCs w:val="22"/>
                <w:vertAlign w:val="superscript"/>
                <w:lang w:val="sr-Latn-ME"/>
              </w:rPr>
              <w:t>1</w:t>
            </w:r>
          </w:p>
        </w:tc>
      </w:tr>
      <w:tr w:rsidR="007E533A" w:rsidRPr="00F47241" w14:paraId="4B8F726F" w14:textId="77777777" w:rsidTr="000235D3">
        <w:trPr>
          <w:trHeight w:val="505"/>
        </w:trPr>
        <w:tc>
          <w:tcPr>
            <w:tcW w:w="4337" w:type="dxa"/>
            <w:tcBorders>
              <w:top w:val="single" w:sz="4" w:space="0" w:color="000000"/>
            </w:tcBorders>
          </w:tcPr>
          <w:p w14:paraId="709A2CF9" w14:textId="77777777" w:rsidR="007E533A" w:rsidRPr="00F47241" w:rsidRDefault="007E533A" w:rsidP="000235D3">
            <w:pPr>
              <w:widowControl w:val="0"/>
              <w:tabs>
                <w:tab w:val="clear" w:pos="284"/>
              </w:tabs>
              <w:autoSpaceDE w:val="0"/>
              <w:autoSpaceDN w:val="0"/>
              <w:ind w:left="9"/>
              <w:rPr>
                <w:szCs w:val="22"/>
                <w:lang w:val="sr-Latn-ME"/>
              </w:rPr>
            </w:pPr>
            <w:r w:rsidRPr="00F47241">
              <w:rPr>
                <w:szCs w:val="22"/>
                <w:lang w:val="sr-Latn-ME"/>
              </w:rPr>
              <w:t>Streptococcus spp.</w:t>
            </w:r>
          </w:p>
          <w:p w14:paraId="65BC42EB" w14:textId="77777777" w:rsidR="007E533A" w:rsidRPr="00F47241" w:rsidRDefault="007E533A" w:rsidP="000235D3">
            <w:pPr>
              <w:widowControl w:val="0"/>
              <w:tabs>
                <w:tab w:val="clear" w:pos="284"/>
              </w:tabs>
              <w:autoSpaceDE w:val="0"/>
              <w:autoSpaceDN w:val="0"/>
              <w:ind w:left="9"/>
              <w:rPr>
                <w:szCs w:val="22"/>
                <w:lang w:val="sr-Latn-ME"/>
              </w:rPr>
            </w:pPr>
            <w:r w:rsidRPr="00F47241">
              <w:rPr>
                <w:szCs w:val="22"/>
                <w:lang w:val="sr-Latn-ME"/>
              </w:rPr>
              <w:t>grupe A, B, C i G</w:t>
            </w:r>
          </w:p>
        </w:tc>
        <w:tc>
          <w:tcPr>
            <w:tcW w:w="2197" w:type="dxa"/>
            <w:tcBorders>
              <w:top w:val="single" w:sz="4" w:space="0" w:color="000000"/>
            </w:tcBorders>
          </w:tcPr>
          <w:p w14:paraId="026011F5" w14:textId="77777777" w:rsidR="007E533A" w:rsidRPr="00F47241" w:rsidRDefault="007E533A" w:rsidP="000235D3">
            <w:pPr>
              <w:widowControl w:val="0"/>
              <w:tabs>
                <w:tab w:val="clear" w:pos="284"/>
              </w:tabs>
              <w:autoSpaceDE w:val="0"/>
              <w:autoSpaceDN w:val="0"/>
              <w:ind w:left="561" w:right="551"/>
              <w:rPr>
                <w:szCs w:val="22"/>
                <w:lang w:val="sr-Latn-ME"/>
              </w:rPr>
            </w:pPr>
            <w:r w:rsidRPr="00F47241">
              <w:rPr>
                <w:szCs w:val="22"/>
                <w:lang w:val="sr-Latn-ME"/>
              </w:rPr>
              <w:t>Napomena</w:t>
            </w:r>
            <w:r w:rsidRPr="00F47241">
              <w:rPr>
                <w:szCs w:val="22"/>
                <w:vertAlign w:val="superscript"/>
                <w:lang w:val="sr-Latn-ME"/>
              </w:rPr>
              <w:t>2</w:t>
            </w:r>
          </w:p>
        </w:tc>
        <w:tc>
          <w:tcPr>
            <w:tcW w:w="3006" w:type="dxa"/>
            <w:tcBorders>
              <w:top w:val="single" w:sz="4" w:space="0" w:color="000000"/>
            </w:tcBorders>
          </w:tcPr>
          <w:p w14:paraId="3A9D9CA6" w14:textId="77777777" w:rsidR="007E533A" w:rsidRPr="00F47241" w:rsidRDefault="007E533A" w:rsidP="000235D3">
            <w:pPr>
              <w:widowControl w:val="0"/>
              <w:tabs>
                <w:tab w:val="clear" w:pos="284"/>
              </w:tabs>
              <w:autoSpaceDE w:val="0"/>
              <w:autoSpaceDN w:val="0"/>
              <w:ind w:left="349" w:right="335"/>
              <w:rPr>
                <w:szCs w:val="22"/>
                <w:lang w:val="sr-Latn-ME"/>
              </w:rPr>
            </w:pPr>
            <w:r w:rsidRPr="00F47241">
              <w:rPr>
                <w:szCs w:val="22"/>
                <w:lang w:val="sr-Latn-ME"/>
              </w:rPr>
              <w:t>Napomena</w:t>
            </w:r>
            <w:r w:rsidRPr="00F47241">
              <w:rPr>
                <w:szCs w:val="22"/>
                <w:vertAlign w:val="superscript"/>
                <w:lang w:val="sr-Latn-ME"/>
              </w:rPr>
              <w:t>2</w:t>
            </w:r>
          </w:p>
        </w:tc>
      </w:tr>
      <w:tr w:rsidR="007E533A" w:rsidRPr="00F47241" w14:paraId="46ABD432" w14:textId="77777777" w:rsidTr="000235D3">
        <w:trPr>
          <w:trHeight w:val="505"/>
        </w:trPr>
        <w:tc>
          <w:tcPr>
            <w:tcW w:w="4337" w:type="dxa"/>
          </w:tcPr>
          <w:p w14:paraId="5925ECE8" w14:textId="77777777" w:rsidR="007E533A" w:rsidRPr="00F47241" w:rsidRDefault="007E533A" w:rsidP="000235D3">
            <w:pPr>
              <w:widowControl w:val="0"/>
              <w:tabs>
                <w:tab w:val="clear" w:pos="284"/>
              </w:tabs>
              <w:autoSpaceDE w:val="0"/>
              <w:autoSpaceDN w:val="0"/>
              <w:ind w:left="9"/>
              <w:rPr>
                <w:szCs w:val="22"/>
                <w:lang w:val="sr-Latn-ME"/>
              </w:rPr>
            </w:pPr>
            <w:r w:rsidRPr="00F47241">
              <w:rPr>
                <w:szCs w:val="22"/>
                <w:lang w:val="sr-Latn-ME"/>
              </w:rPr>
              <w:t>PK-PD granične vrijednosti nije su povezane s</w:t>
            </w:r>
          </w:p>
          <w:p w14:paraId="1EFE5F4B" w14:textId="77777777" w:rsidR="007E533A" w:rsidRPr="00F47241" w:rsidRDefault="007E533A" w:rsidP="000235D3">
            <w:pPr>
              <w:widowControl w:val="0"/>
              <w:tabs>
                <w:tab w:val="clear" w:pos="284"/>
              </w:tabs>
              <w:autoSpaceDE w:val="0"/>
              <w:autoSpaceDN w:val="0"/>
              <w:ind w:left="9"/>
              <w:rPr>
                <w:szCs w:val="22"/>
                <w:lang w:val="sr-Latn-ME"/>
              </w:rPr>
            </w:pPr>
            <w:r w:rsidRPr="00F47241">
              <w:rPr>
                <w:szCs w:val="22"/>
                <w:lang w:val="sr-Latn-ME"/>
              </w:rPr>
              <w:t>vrstom)</w:t>
            </w:r>
          </w:p>
        </w:tc>
        <w:tc>
          <w:tcPr>
            <w:tcW w:w="2197" w:type="dxa"/>
          </w:tcPr>
          <w:p w14:paraId="1F9A8003" w14:textId="77777777" w:rsidR="007E533A" w:rsidRPr="00F47241" w:rsidRDefault="007E533A" w:rsidP="000235D3">
            <w:pPr>
              <w:widowControl w:val="0"/>
              <w:tabs>
                <w:tab w:val="clear" w:pos="284"/>
              </w:tabs>
              <w:autoSpaceDE w:val="0"/>
              <w:autoSpaceDN w:val="0"/>
              <w:ind w:left="560" w:right="551"/>
              <w:rPr>
                <w:szCs w:val="22"/>
                <w:lang w:val="sr-Latn-ME"/>
              </w:rPr>
            </w:pPr>
            <w:r w:rsidRPr="00F47241">
              <w:rPr>
                <w:szCs w:val="22"/>
                <w:lang w:val="sr-Latn-ME"/>
              </w:rPr>
              <w:t>≤ 1</w:t>
            </w:r>
          </w:p>
        </w:tc>
        <w:tc>
          <w:tcPr>
            <w:tcW w:w="3006" w:type="dxa"/>
          </w:tcPr>
          <w:p w14:paraId="052DBCAC" w14:textId="77777777" w:rsidR="007E533A" w:rsidRPr="00F47241" w:rsidRDefault="007E533A" w:rsidP="000235D3">
            <w:pPr>
              <w:widowControl w:val="0"/>
              <w:tabs>
                <w:tab w:val="clear" w:pos="284"/>
              </w:tabs>
              <w:autoSpaceDE w:val="0"/>
              <w:autoSpaceDN w:val="0"/>
              <w:ind w:left="349" w:right="333"/>
              <w:rPr>
                <w:szCs w:val="22"/>
                <w:lang w:val="sr-Latn-ME"/>
              </w:rPr>
            </w:pPr>
            <w:r w:rsidRPr="00F47241">
              <w:rPr>
                <w:szCs w:val="22"/>
                <w:lang w:val="sr-Latn-ME"/>
              </w:rPr>
              <w:t>&gt; 2</w:t>
            </w:r>
          </w:p>
        </w:tc>
      </w:tr>
    </w:tbl>
    <w:p w14:paraId="48F86778" w14:textId="77777777" w:rsidR="007E533A" w:rsidRPr="00F47241" w:rsidRDefault="007E533A" w:rsidP="007E533A">
      <w:pPr>
        <w:rPr>
          <w:szCs w:val="22"/>
          <w:lang w:val="sr-Latn-ME"/>
        </w:rPr>
      </w:pPr>
    </w:p>
    <w:p w14:paraId="7CA6303F" w14:textId="77777777" w:rsidR="007E533A" w:rsidRPr="00F47241" w:rsidRDefault="007E533A" w:rsidP="007E533A">
      <w:pPr>
        <w:rPr>
          <w:iCs/>
          <w:szCs w:val="22"/>
          <w:lang w:val="sr-Latn-ME"/>
        </w:rPr>
      </w:pPr>
      <w:r w:rsidRPr="00F47241">
        <w:rPr>
          <w:iCs/>
          <w:szCs w:val="22"/>
          <w:lang w:val="sr-Latn-ME"/>
        </w:rPr>
        <w:t>S= osjetljiv, R=otporan.</w:t>
      </w:r>
    </w:p>
    <w:p w14:paraId="0E95CFEF" w14:textId="77777777" w:rsidR="007E533A" w:rsidRPr="00F47241" w:rsidRDefault="007E533A" w:rsidP="007E533A">
      <w:pPr>
        <w:rPr>
          <w:iCs/>
          <w:szCs w:val="22"/>
          <w:lang w:val="sr-Latn-ME"/>
        </w:rPr>
      </w:pPr>
      <w:r w:rsidRPr="00F47241">
        <w:rPr>
          <w:vertAlign w:val="superscript"/>
          <w:lang w:val="sr-Latn-ME"/>
        </w:rPr>
        <w:t>1</w:t>
      </w:r>
      <w:r w:rsidRPr="00F47241">
        <w:rPr>
          <w:lang w:val="sr-Latn-ME"/>
        </w:rPr>
        <w:t xml:space="preserve">O </w:t>
      </w:r>
      <w:r w:rsidRPr="00F47241">
        <w:rPr>
          <w:iCs/>
          <w:szCs w:val="22"/>
          <w:lang w:val="sr-Latn-ME"/>
        </w:rPr>
        <w:t>osjetljivost stafilokoka na cefalosporine zaključuje se na osnovu osjetljivosti na cefotoksin.</w:t>
      </w:r>
    </w:p>
    <w:p w14:paraId="2456BECB" w14:textId="77777777" w:rsidR="007E533A" w:rsidRPr="00F47241" w:rsidRDefault="007E533A" w:rsidP="007E533A">
      <w:pPr>
        <w:rPr>
          <w:iCs/>
          <w:szCs w:val="22"/>
          <w:lang w:val="sr-Latn-ME"/>
        </w:rPr>
      </w:pPr>
      <w:r w:rsidRPr="00F47241">
        <w:rPr>
          <w:vertAlign w:val="superscript"/>
          <w:lang w:val="sr-Latn-ME"/>
        </w:rPr>
        <w:t>2</w:t>
      </w:r>
      <w:r w:rsidRPr="00F47241">
        <w:rPr>
          <w:lang w:val="sr-Latn-ME"/>
        </w:rPr>
        <w:t xml:space="preserve"> O </w:t>
      </w:r>
      <w:r w:rsidRPr="00F47241">
        <w:rPr>
          <w:iCs/>
          <w:szCs w:val="22"/>
          <w:lang w:val="sr-Latn-ME"/>
        </w:rPr>
        <w:t>osjetljivost grupe streptokoka A, B i C na cefalosporine zaključuje se na osnovu osjetljivosti na benzilpenicilin</w:t>
      </w:r>
    </w:p>
    <w:p w14:paraId="2EE249B7" w14:textId="77777777" w:rsidR="007E533A" w:rsidRPr="00F47241" w:rsidRDefault="007E533A" w:rsidP="007E533A">
      <w:pPr>
        <w:rPr>
          <w:i/>
          <w:szCs w:val="22"/>
          <w:lang w:val="sr-Latn-ME"/>
        </w:rPr>
      </w:pPr>
      <w:r w:rsidRPr="00F47241">
        <w:rPr>
          <w:i/>
          <w:szCs w:val="22"/>
          <w:lang w:val="sr-Latn-ME"/>
        </w:rPr>
        <w:lastRenderedPageBreak/>
        <w:t>Mikrobiološka osjetljivost</w:t>
      </w:r>
    </w:p>
    <w:p w14:paraId="3A32AE66" w14:textId="77777777" w:rsidR="007E533A" w:rsidRPr="00F47241" w:rsidRDefault="007E533A" w:rsidP="007E533A">
      <w:pPr>
        <w:rPr>
          <w:szCs w:val="22"/>
          <w:lang w:val="sr-Latn-ME"/>
        </w:rPr>
      </w:pPr>
      <w:r w:rsidRPr="00F47241">
        <w:rPr>
          <w:szCs w:val="22"/>
          <w:lang w:val="sr-Latn-ME"/>
        </w:rPr>
        <w:t>Prevalenca stečene rezistencije može da varira u zavisnosti od geografske lokacije i vremenskog razdoblja kod određenih vrsta i poželjno je znati lokalne podatke o rezistenciji, posebno kada je u pitanju liječenje teških infekcija. Kada je potrebno, treba potražiti savjet eksperta, ako je lokalna prevalenca rezistencije takva da se efikasnost cefazolina u nekim slučajevima može dovesti u pitanje.</w:t>
      </w:r>
    </w:p>
    <w:p w14:paraId="45594C61" w14:textId="77777777" w:rsidR="007E533A" w:rsidRPr="00F47241" w:rsidRDefault="007E533A" w:rsidP="007E533A">
      <w:pPr>
        <w:rPr>
          <w:szCs w:val="22"/>
          <w:lang w:val="sr-Latn-ME"/>
        </w:rPr>
      </w:pPr>
    </w:p>
    <w:tbl>
      <w:tblPr>
        <w:tblW w:w="95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40"/>
      </w:tblGrid>
      <w:tr w:rsidR="007E533A" w:rsidRPr="00F47241" w14:paraId="1B8855F0" w14:textId="77777777" w:rsidTr="000235D3">
        <w:trPr>
          <w:trHeight w:val="375"/>
        </w:trPr>
        <w:tc>
          <w:tcPr>
            <w:tcW w:w="9540" w:type="dxa"/>
          </w:tcPr>
          <w:p w14:paraId="0DD41077" w14:textId="77777777" w:rsidR="007E533A" w:rsidRPr="00F47241" w:rsidRDefault="007E533A" w:rsidP="000235D3">
            <w:pPr>
              <w:widowControl w:val="0"/>
              <w:tabs>
                <w:tab w:val="clear" w:pos="284"/>
              </w:tabs>
              <w:autoSpaceDE w:val="0"/>
              <w:autoSpaceDN w:val="0"/>
              <w:ind w:left="9"/>
              <w:rPr>
                <w:b/>
                <w:szCs w:val="22"/>
                <w:lang w:val="sr-Latn-ME"/>
              </w:rPr>
            </w:pPr>
            <w:r w:rsidRPr="00F47241">
              <w:rPr>
                <w:b/>
                <w:szCs w:val="22"/>
                <w:lang w:val="sr-Latn-ME"/>
              </w:rPr>
              <w:t>Uobičajeno osjetljive vrste</w:t>
            </w:r>
          </w:p>
        </w:tc>
      </w:tr>
      <w:tr w:rsidR="007E533A" w:rsidRPr="00F47241" w14:paraId="044BC7A3" w14:textId="77777777" w:rsidTr="000235D3">
        <w:trPr>
          <w:trHeight w:val="560"/>
        </w:trPr>
        <w:tc>
          <w:tcPr>
            <w:tcW w:w="9540" w:type="dxa"/>
          </w:tcPr>
          <w:p w14:paraId="58558E36" w14:textId="77777777" w:rsidR="007E533A" w:rsidRPr="00F47241" w:rsidRDefault="007E533A" w:rsidP="000235D3">
            <w:pPr>
              <w:widowControl w:val="0"/>
              <w:tabs>
                <w:tab w:val="clear" w:pos="284"/>
              </w:tabs>
              <w:autoSpaceDE w:val="0"/>
              <w:autoSpaceDN w:val="0"/>
              <w:ind w:left="9"/>
              <w:rPr>
                <w:szCs w:val="22"/>
                <w:lang w:val="sr-Latn-ME"/>
              </w:rPr>
            </w:pPr>
            <w:r w:rsidRPr="00F47241">
              <w:rPr>
                <w:szCs w:val="22"/>
                <w:u w:val="single"/>
                <w:lang w:val="sr-Latn-ME"/>
              </w:rPr>
              <w:t>Gram pozitivni</w:t>
            </w:r>
          </w:p>
          <w:p w14:paraId="653D8608" w14:textId="77777777" w:rsidR="007E533A" w:rsidRPr="00F47241" w:rsidRDefault="007E533A" w:rsidP="000235D3">
            <w:pPr>
              <w:widowControl w:val="0"/>
              <w:tabs>
                <w:tab w:val="clear" w:pos="284"/>
              </w:tabs>
              <w:autoSpaceDE w:val="0"/>
              <w:autoSpaceDN w:val="0"/>
              <w:ind w:left="9"/>
              <w:rPr>
                <w:i/>
                <w:szCs w:val="22"/>
                <w:lang w:val="sr-Latn-ME"/>
              </w:rPr>
            </w:pPr>
            <w:r w:rsidRPr="00F47241">
              <w:rPr>
                <w:i/>
                <w:szCs w:val="22"/>
                <w:lang w:val="sr-Latn-ME"/>
              </w:rPr>
              <w:t>Staphylococcus aureus (osjetljiv na meticilin)</w:t>
            </w:r>
          </w:p>
        </w:tc>
      </w:tr>
      <w:tr w:rsidR="007E533A" w:rsidRPr="00F47241" w14:paraId="44F95508" w14:textId="77777777" w:rsidTr="000235D3">
        <w:trPr>
          <w:trHeight w:val="301"/>
        </w:trPr>
        <w:tc>
          <w:tcPr>
            <w:tcW w:w="9540" w:type="dxa"/>
          </w:tcPr>
          <w:p w14:paraId="6A366CD0" w14:textId="77777777" w:rsidR="007E533A" w:rsidRPr="00F47241" w:rsidRDefault="007E533A" w:rsidP="000235D3">
            <w:pPr>
              <w:widowControl w:val="0"/>
              <w:tabs>
                <w:tab w:val="clear" w:pos="284"/>
              </w:tabs>
              <w:autoSpaceDE w:val="0"/>
              <w:autoSpaceDN w:val="0"/>
              <w:ind w:left="9"/>
              <w:rPr>
                <w:b/>
                <w:szCs w:val="22"/>
                <w:lang w:val="sr-Latn-ME"/>
              </w:rPr>
            </w:pPr>
            <w:r w:rsidRPr="00F47241">
              <w:rPr>
                <w:b/>
                <w:szCs w:val="22"/>
                <w:lang w:val="sr-Latn-ME"/>
              </w:rPr>
              <w:t>Vrste kod kojih stečena rezistencija može predstavljati problem</w:t>
            </w:r>
          </w:p>
        </w:tc>
      </w:tr>
      <w:tr w:rsidR="007E533A" w:rsidRPr="00F47241" w14:paraId="06230FBE" w14:textId="77777777" w:rsidTr="000235D3">
        <w:trPr>
          <w:trHeight w:val="834"/>
        </w:trPr>
        <w:tc>
          <w:tcPr>
            <w:tcW w:w="9540" w:type="dxa"/>
          </w:tcPr>
          <w:p w14:paraId="2C3FFC35" w14:textId="77777777" w:rsidR="007E533A" w:rsidRPr="00F47241" w:rsidRDefault="007E533A" w:rsidP="000235D3">
            <w:pPr>
              <w:widowControl w:val="0"/>
              <w:tabs>
                <w:tab w:val="clear" w:pos="284"/>
              </w:tabs>
              <w:autoSpaceDE w:val="0"/>
              <w:autoSpaceDN w:val="0"/>
              <w:ind w:left="9"/>
              <w:rPr>
                <w:i/>
                <w:szCs w:val="22"/>
                <w:lang w:val="sr-Latn-ME"/>
              </w:rPr>
            </w:pPr>
            <w:r w:rsidRPr="00F47241">
              <w:rPr>
                <w:i/>
                <w:szCs w:val="22"/>
                <w:lang w:val="sr-Latn-ME"/>
              </w:rPr>
              <w:t>Haemophilus influenzae</w:t>
            </w:r>
          </w:p>
          <w:p w14:paraId="2DBB511A" w14:textId="77777777" w:rsidR="007E533A" w:rsidRPr="00F47241" w:rsidRDefault="007E533A" w:rsidP="000235D3">
            <w:pPr>
              <w:widowControl w:val="0"/>
              <w:tabs>
                <w:tab w:val="clear" w:pos="284"/>
              </w:tabs>
              <w:autoSpaceDE w:val="0"/>
              <w:autoSpaceDN w:val="0"/>
              <w:ind w:left="9" w:right="1754"/>
              <w:rPr>
                <w:i/>
                <w:szCs w:val="22"/>
                <w:lang w:val="sr-Latn-ME"/>
              </w:rPr>
            </w:pPr>
            <w:r w:rsidRPr="00F47241">
              <w:rPr>
                <w:i/>
                <w:szCs w:val="22"/>
                <w:lang w:val="sr-Latn-ME"/>
              </w:rPr>
              <w:t>Streptococcus spp.Beta-hemolitički grupe A, B, C i G Streptococcus pneumoniae Staphylococcus aureus (osjetljiv na meticilin)</w:t>
            </w:r>
          </w:p>
        </w:tc>
      </w:tr>
      <w:tr w:rsidR="007E533A" w:rsidRPr="00F47241" w14:paraId="77CF9ED8" w14:textId="77777777" w:rsidTr="000235D3">
        <w:trPr>
          <w:trHeight w:val="287"/>
        </w:trPr>
        <w:tc>
          <w:tcPr>
            <w:tcW w:w="9540" w:type="dxa"/>
          </w:tcPr>
          <w:p w14:paraId="0A1F8F78" w14:textId="77777777" w:rsidR="007E533A" w:rsidRPr="00F47241" w:rsidRDefault="007E533A" w:rsidP="000235D3">
            <w:pPr>
              <w:widowControl w:val="0"/>
              <w:tabs>
                <w:tab w:val="clear" w:pos="284"/>
              </w:tabs>
              <w:autoSpaceDE w:val="0"/>
              <w:autoSpaceDN w:val="0"/>
              <w:ind w:left="9"/>
              <w:rPr>
                <w:b/>
                <w:szCs w:val="22"/>
                <w:lang w:val="sr-Latn-ME"/>
              </w:rPr>
            </w:pPr>
            <w:r w:rsidRPr="00F47241">
              <w:rPr>
                <w:b/>
                <w:szCs w:val="22"/>
                <w:lang w:val="sr-Latn-ME"/>
              </w:rPr>
              <w:t>Urodjeno rezistentni mikroorganizmi</w:t>
            </w:r>
          </w:p>
        </w:tc>
      </w:tr>
      <w:tr w:rsidR="007E533A" w:rsidRPr="00F47241" w14:paraId="463E94A8" w14:textId="77777777" w:rsidTr="000235D3">
        <w:trPr>
          <w:trHeight w:val="1700"/>
        </w:trPr>
        <w:tc>
          <w:tcPr>
            <w:tcW w:w="9540" w:type="dxa"/>
          </w:tcPr>
          <w:p w14:paraId="730DC3C5" w14:textId="77777777" w:rsidR="007E533A" w:rsidRPr="00F47241" w:rsidRDefault="007E533A" w:rsidP="000235D3">
            <w:pPr>
              <w:widowControl w:val="0"/>
              <w:tabs>
                <w:tab w:val="clear" w:pos="284"/>
              </w:tabs>
              <w:autoSpaceDE w:val="0"/>
              <w:autoSpaceDN w:val="0"/>
              <w:ind w:left="9"/>
              <w:rPr>
                <w:szCs w:val="22"/>
                <w:lang w:val="sr-Latn-ME"/>
              </w:rPr>
            </w:pPr>
            <w:r w:rsidRPr="00F47241">
              <w:rPr>
                <w:i/>
                <w:szCs w:val="22"/>
                <w:lang w:val="sr-Latn-ME"/>
              </w:rPr>
              <w:t xml:space="preserve">Citrobacter </w:t>
            </w:r>
            <w:r w:rsidRPr="00F47241">
              <w:rPr>
                <w:szCs w:val="22"/>
                <w:lang w:val="sr-Latn-ME"/>
              </w:rPr>
              <w:t>spp</w:t>
            </w:r>
          </w:p>
          <w:p w14:paraId="721C4DC8" w14:textId="77777777" w:rsidR="007E533A" w:rsidRPr="00F47241" w:rsidRDefault="007E533A" w:rsidP="000235D3">
            <w:pPr>
              <w:widowControl w:val="0"/>
              <w:tabs>
                <w:tab w:val="clear" w:pos="284"/>
              </w:tabs>
              <w:autoSpaceDE w:val="0"/>
              <w:autoSpaceDN w:val="0"/>
              <w:ind w:left="9" w:right="1216"/>
              <w:rPr>
                <w:i/>
                <w:szCs w:val="22"/>
                <w:lang w:val="sr-Latn-ME"/>
              </w:rPr>
            </w:pPr>
            <w:r w:rsidRPr="00F47241">
              <w:rPr>
                <w:i/>
                <w:szCs w:val="22"/>
                <w:lang w:val="sr-Latn-ME"/>
              </w:rPr>
              <w:t xml:space="preserve">Enterobacter </w:t>
            </w:r>
            <w:r w:rsidRPr="00F47241">
              <w:rPr>
                <w:szCs w:val="22"/>
                <w:lang w:val="sr-Latn-ME"/>
              </w:rPr>
              <w:t xml:space="preserve">spp </w:t>
            </w:r>
            <w:r w:rsidRPr="00F47241">
              <w:rPr>
                <w:i/>
                <w:szCs w:val="22"/>
                <w:lang w:val="sr-Latn-ME"/>
              </w:rPr>
              <w:t>(Enterobacter cloacae, Enterobacter aerogenes) Morganella morganii Proteus stuartii Proteus vulgaris</w:t>
            </w:r>
          </w:p>
          <w:p w14:paraId="42E0DD2E" w14:textId="77777777" w:rsidR="007E533A" w:rsidRPr="00F47241" w:rsidRDefault="007E533A" w:rsidP="000235D3">
            <w:pPr>
              <w:widowControl w:val="0"/>
              <w:tabs>
                <w:tab w:val="clear" w:pos="284"/>
              </w:tabs>
              <w:autoSpaceDE w:val="0"/>
              <w:autoSpaceDN w:val="0"/>
              <w:ind w:left="9"/>
              <w:rPr>
                <w:i/>
                <w:szCs w:val="22"/>
                <w:lang w:val="sr-Latn-ME"/>
              </w:rPr>
            </w:pPr>
            <w:r w:rsidRPr="00F47241">
              <w:rPr>
                <w:i/>
                <w:szCs w:val="22"/>
                <w:lang w:val="sr-Latn-ME"/>
              </w:rPr>
              <w:t xml:space="preserve">Pseudomonas aeruginosa Serratia </w:t>
            </w:r>
            <w:r w:rsidRPr="00F47241">
              <w:rPr>
                <w:szCs w:val="22"/>
                <w:lang w:val="sr-Latn-ME"/>
              </w:rPr>
              <w:t>spp</w:t>
            </w:r>
            <w:r w:rsidRPr="00F47241">
              <w:rPr>
                <w:i/>
                <w:szCs w:val="22"/>
                <w:lang w:val="sr-Latn-ME"/>
              </w:rPr>
              <w:t>.</w:t>
            </w:r>
          </w:p>
          <w:p w14:paraId="4791FA5D" w14:textId="77777777" w:rsidR="007E533A" w:rsidRPr="00F47241" w:rsidRDefault="007E533A" w:rsidP="000235D3">
            <w:pPr>
              <w:widowControl w:val="0"/>
              <w:tabs>
                <w:tab w:val="clear" w:pos="284"/>
              </w:tabs>
              <w:autoSpaceDE w:val="0"/>
              <w:autoSpaceDN w:val="0"/>
              <w:ind w:left="9" w:right="1179"/>
              <w:rPr>
                <w:i/>
                <w:szCs w:val="22"/>
                <w:lang w:val="sr-Latn-ME"/>
              </w:rPr>
            </w:pPr>
            <w:r w:rsidRPr="00F47241">
              <w:rPr>
                <w:i/>
                <w:szCs w:val="22"/>
                <w:lang w:val="sr-Latn-ME"/>
              </w:rPr>
              <w:t xml:space="preserve">Staphylococcus, na meticilin otporan, indol-pozitivni Proteus </w:t>
            </w:r>
            <w:r w:rsidRPr="00F47241">
              <w:rPr>
                <w:szCs w:val="22"/>
                <w:lang w:val="sr-Latn-ME"/>
              </w:rPr>
              <w:t xml:space="preserve">spp </w:t>
            </w:r>
            <w:r w:rsidRPr="00F47241">
              <w:rPr>
                <w:i/>
                <w:szCs w:val="22"/>
                <w:lang w:val="sr-Latn-ME"/>
              </w:rPr>
              <w:t>Klebsiella pneumoniae Proteus mirabilis</w:t>
            </w:r>
          </w:p>
        </w:tc>
      </w:tr>
    </w:tbl>
    <w:p w14:paraId="69D9C6D2" w14:textId="77777777" w:rsidR="007E533A" w:rsidRPr="00F47241" w:rsidRDefault="007E533A" w:rsidP="007E533A">
      <w:pPr>
        <w:rPr>
          <w:b/>
          <w:bCs/>
          <w:szCs w:val="22"/>
          <w:lang w:val="sr-Latn-ME"/>
        </w:rPr>
      </w:pPr>
    </w:p>
    <w:p w14:paraId="62AD65AA" w14:textId="77777777" w:rsidR="007E533A" w:rsidRPr="00F47241" w:rsidRDefault="007E533A" w:rsidP="007E533A">
      <w:pPr>
        <w:rPr>
          <w:b/>
          <w:bCs/>
          <w:szCs w:val="22"/>
          <w:lang w:val="sr-Latn-ME"/>
        </w:rPr>
      </w:pPr>
      <w:r w:rsidRPr="00F47241">
        <w:rPr>
          <w:b/>
          <w:bCs/>
          <w:szCs w:val="22"/>
          <w:lang w:val="sr-Latn-ME"/>
        </w:rPr>
        <w:t>5.2. Farmakokinetički podaci</w:t>
      </w:r>
    </w:p>
    <w:p w14:paraId="312222DE" w14:textId="77777777" w:rsidR="007E533A" w:rsidRPr="00F47241" w:rsidRDefault="007E533A" w:rsidP="007E533A">
      <w:pPr>
        <w:rPr>
          <w:szCs w:val="22"/>
          <w:lang w:val="sr-Latn-ME"/>
        </w:rPr>
      </w:pPr>
    </w:p>
    <w:p w14:paraId="05A07F03" w14:textId="77777777" w:rsidR="007E533A" w:rsidRPr="00F47241" w:rsidRDefault="007E533A" w:rsidP="007E533A">
      <w:pPr>
        <w:rPr>
          <w:iCs/>
          <w:szCs w:val="22"/>
          <w:u w:val="single"/>
          <w:lang w:val="sr-Latn-ME"/>
        </w:rPr>
      </w:pPr>
      <w:r w:rsidRPr="00F47241">
        <w:rPr>
          <w:iCs/>
          <w:szCs w:val="22"/>
          <w:u w:val="single"/>
          <w:lang w:val="sr-Latn-ME"/>
        </w:rPr>
        <w:t>Resorpcija i distribucija</w:t>
      </w:r>
    </w:p>
    <w:p w14:paraId="793539D4" w14:textId="77777777" w:rsidR="007E533A" w:rsidRPr="00F47241" w:rsidRDefault="007E533A" w:rsidP="007E533A">
      <w:pPr>
        <w:rPr>
          <w:i/>
          <w:szCs w:val="22"/>
          <w:lang w:val="sr-Latn-ME"/>
        </w:rPr>
      </w:pPr>
    </w:p>
    <w:p w14:paraId="09F86C82" w14:textId="77777777" w:rsidR="007E533A" w:rsidRPr="00F47241" w:rsidRDefault="007E533A" w:rsidP="007E533A">
      <w:pPr>
        <w:rPr>
          <w:iCs/>
          <w:szCs w:val="22"/>
          <w:lang w:val="sr-Latn-ME"/>
        </w:rPr>
      </w:pPr>
      <w:r w:rsidRPr="00F47241">
        <w:rPr>
          <w:iCs/>
          <w:szCs w:val="22"/>
          <w:lang w:val="sr-Latn-ME"/>
        </w:rPr>
        <w:t>Intramuskularna primjena:</w:t>
      </w:r>
    </w:p>
    <w:p w14:paraId="1A677FAF" w14:textId="77777777" w:rsidR="007E533A" w:rsidRPr="00F47241" w:rsidRDefault="007E533A" w:rsidP="007E533A">
      <w:pPr>
        <w:rPr>
          <w:iCs/>
          <w:szCs w:val="22"/>
          <w:lang w:val="sr-Latn-ME"/>
        </w:rPr>
      </w:pPr>
      <w:r w:rsidRPr="00F47241">
        <w:rPr>
          <w:iCs/>
          <w:szCs w:val="22"/>
          <w:lang w:val="sr-Latn-ME"/>
        </w:rPr>
        <w:t>U humanoj farmakologiji serumski nivoi cefazolina i trajanje djelovanja nakon intramuskularne primjene dati su u sljedećoj tabeli.</w:t>
      </w:r>
    </w:p>
    <w:p w14:paraId="0F9A28DB" w14:textId="77777777" w:rsidR="007E533A" w:rsidRPr="00F47241" w:rsidRDefault="007E533A" w:rsidP="007E533A">
      <w:pPr>
        <w:rPr>
          <w:i/>
          <w:szCs w:val="22"/>
          <w:lang w:val="sr-Latn-ME"/>
        </w:rPr>
      </w:pPr>
    </w:p>
    <w:p w14:paraId="281E0997" w14:textId="77777777" w:rsidR="007E533A" w:rsidRPr="00F47241" w:rsidRDefault="007E533A" w:rsidP="007E533A">
      <w:pPr>
        <w:rPr>
          <w:i/>
          <w:szCs w:val="22"/>
          <w:lang w:val="sr-Latn-ME"/>
        </w:rPr>
      </w:pPr>
      <w:r w:rsidRPr="00F47241">
        <w:rPr>
          <w:iCs/>
          <w:noProof/>
          <w:szCs w:val="22"/>
          <w:lang w:val="sr-Latn-ME"/>
        </w:rPr>
        <mc:AlternateContent>
          <mc:Choice Requires="wps">
            <w:drawing>
              <wp:anchor distT="0" distB="0" distL="114300" distR="114300" simplePos="0" relativeHeight="251659264" behindDoc="0" locked="0" layoutInCell="1" allowOverlap="1" wp14:anchorId="2933353A" wp14:editId="2C8DB150">
                <wp:simplePos x="0" y="0"/>
                <wp:positionH relativeFrom="page">
                  <wp:posOffset>762000</wp:posOffset>
                </wp:positionH>
                <wp:positionV relativeFrom="paragraph">
                  <wp:posOffset>8890</wp:posOffset>
                </wp:positionV>
                <wp:extent cx="6050280" cy="943610"/>
                <wp:effectExtent l="0" t="0" r="7620" b="8890"/>
                <wp:wrapNone/>
                <wp:docPr id="21039674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94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05"/>
                              <w:gridCol w:w="1465"/>
                              <w:gridCol w:w="1321"/>
                              <w:gridCol w:w="1323"/>
                              <w:gridCol w:w="1170"/>
                              <w:gridCol w:w="1033"/>
                              <w:gridCol w:w="1613"/>
                            </w:tblGrid>
                            <w:tr w:rsidR="007E533A" w14:paraId="701C6F3E" w14:textId="77777777" w:rsidTr="00864310">
                              <w:trPr>
                                <w:trHeight w:val="272"/>
                              </w:trPr>
                              <w:tc>
                                <w:tcPr>
                                  <w:tcW w:w="1505" w:type="dxa"/>
                                  <w:vMerge w:val="restart"/>
                                </w:tcPr>
                                <w:p w14:paraId="4FFA6B30" w14:textId="77777777" w:rsidR="007E533A" w:rsidRPr="00F47241" w:rsidRDefault="007E533A">
                                  <w:pPr>
                                    <w:ind w:left="9"/>
                                    <w:rPr>
                                      <w:lang w:val="sr-Latn-ME"/>
                                    </w:rPr>
                                  </w:pPr>
                                  <w:r w:rsidRPr="00F47241">
                                    <w:rPr>
                                      <w:lang w:val="sr-Latn-ME"/>
                                    </w:rPr>
                                    <w:t>Doza (g)</w:t>
                                  </w:r>
                                </w:p>
                              </w:tc>
                              <w:tc>
                                <w:tcPr>
                                  <w:tcW w:w="7925" w:type="dxa"/>
                                  <w:gridSpan w:val="6"/>
                                </w:tcPr>
                                <w:p w14:paraId="54EF0194" w14:textId="77777777" w:rsidR="007E533A" w:rsidRPr="00F47241" w:rsidRDefault="007E533A">
                                  <w:pPr>
                                    <w:ind w:left="11"/>
                                    <w:rPr>
                                      <w:lang w:val="sr-Latn-ME"/>
                                    </w:rPr>
                                  </w:pPr>
                                  <w:r w:rsidRPr="00F47241">
                                    <w:rPr>
                                      <w:lang w:val="sr-Latn-ME"/>
                                    </w:rPr>
                                    <w:t>Koncentracija u serumu (μg/ml)</w:t>
                                  </w:r>
                                </w:p>
                              </w:tc>
                            </w:tr>
                            <w:tr w:rsidR="007E533A" w14:paraId="27334933" w14:textId="77777777" w:rsidTr="00864310">
                              <w:trPr>
                                <w:trHeight w:val="272"/>
                              </w:trPr>
                              <w:tc>
                                <w:tcPr>
                                  <w:tcW w:w="1505" w:type="dxa"/>
                                  <w:vMerge/>
                                  <w:tcBorders>
                                    <w:top w:val="nil"/>
                                  </w:tcBorders>
                                </w:tcPr>
                                <w:p w14:paraId="0DE48D9F" w14:textId="77777777" w:rsidR="007E533A" w:rsidRDefault="007E533A">
                                  <w:pPr>
                                    <w:rPr>
                                      <w:sz w:val="2"/>
                                      <w:szCs w:val="2"/>
                                    </w:rPr>
                                  </w:pPr>
                                </w:p>
                              </w:tc>
                              <w:tc>
                                <w:tcPr>
                                  <w:tcW w:w="1465" w:type="dxa"/>
                                </w:tcPr>
                                <w:p w14:paraId="1419B60D" w14:textId="77777777" w:rsidR="007E533A" w:rsidRDefault="007E533A">
                                  <w:pPr>
                                    <w:ind w:left="11"/>
                                  </w:pPr>
                                  <w:r>
                                    <w:t>30 min</w:t>
                                  </w:r>
                                </w:p>
                              </w:tc>
                              <w:tc>
                                <w:tcPr>
                                  <w:tcW w:w="1321" w:type="dxa"/>
                                </w:tcPr>
                                <w:p w14:paraId="3969C76C" w14:textId="77777777" w:rsidR="007E533A" w:rsidRDefault="007E533A">
                                  <w:pPr>
                                    <w:ind w:left="8"/>
                                  </w:pPr>
                                  <w:r>
                                    <w:t>1 sat</w:t>
                                  </w:r>
                                </w:p>
                              </w:tc>
                              <w:tc>
                                <w:tcPr>
                                  <w:tcW w:w="1323" w:type="dxa"/>
                                </w:tcPr>
                                <w:p w14:paraId="2A1444A4" w14:textId="77777777" w:rsidR="007E533A" w:rsidRDefault="007E533A">
                                  <w:pPr>
                                    <w:ind w:left="7"/>
                                  </w:pPr>
                                  <w:r>
                                    <w:t>2 sat</w:t>
                                  </w:r>
                                </w:p>
                              </w:tc>
                              <w:tc>
                                <w:tcPr>
                                  <w:tcW w:w="1170" w:type="dxa"/>
                                </w:tcPr>
                                <w:p w14:paraId="669A0937" w14:textId="77777777" w:rsidR="007E533A" w:rsidRDefault="007E533A">
                                  <w:pPr>
                                    <w:ind w:left="7"/>
                                  </w:pPr>
                                  <w:r>
                                    <w:t>4 sat</w:t>
                                  </w:r>
                                </w:p>
                              </w:tc>
                              <w:tc>
                                <w:tcPr>
                                  <w:tcW w:w="1033" w:type="dxa"/>
                                </w:tcPr>
                                <w:p w14:paraId="3E606151" w14:textId="77777777" w:rsidR="007E533A" w:rsidRDefault="007E533A">
                                  <w:pPr>
                                    <w:ind w:left="6"/>
                                  </w:pPr>
                                  <w:r>
                                    <w:t>6 sat</w:t>
                                  </w:r>
                                </w:p>
                              </w:tc>
                              <w:tc>
                                <w:tcPr>
                                  <w:tcW w:w="1613" w:type="dxa"/>
                                </w:tcPr>
                                <w:p w14:paraId="12822E34" w14:textId="77777777" w:rsidR="007E533A" w:rsidRDefault="007E533A">
                                  <w:pPr>
                                    <w:ind w:left="5"/>
                                  </w:pPr>
                                  <w:r>
                                    <w:t>8 sat</w:t>
                                  </w:r>
                                </w:p>
                              </w:tc>
                            </w:tr>
                            <w:tr w:rsidR="007E533A" w14:paraId="0BAA3C23" w14:textId="77777777" w:rsidTr="00864310">
                              <w:trPr>
                                <w:trHeight w:val="272"/>
                              </w:trPr>
                              <w:tc>
                                <w:tcPr>
                                  <w:tcW w:w="1505" w:type="dxa"/>
                                </w:tcPr>
                                <w:p w14:paraId="758BE7DD" w14:textId="77777777" w:rsidR="007E533A" w:rsidRDefault="007E533A">
                                  <w:pPr>
                                    <w:spacing w:line="249" w:lineRule="exact"/>
                                    <w:ind w:left="9"/>
                                  </w:pPr>
                                  <w:r>
                                    <w:t>0,25</w:t>
                                  </w:r>
                                </w:p>
                              </w:tc>
                              <w:tc>
                                <w:tcPr>
                                  <w:tcW w:w="1465" w:type="dxa"/>
                                </w:tcPr>
                                <w:p w14:paraId="134B0E49" w14:textId="77777777" w:rsidR="007E533A" w:rsidRDefault="007E533A">
                                  <w:pPr>
                                    <w:spacing w:line="249" w:lineRule="exact"/>
                                    <w:ind w:left="11"/>
                                  </w:pPr>
                                  <w:r>
                                    <w:t>15,5</w:t>
                                  </w:r>
                                </w:p>
                              </w:tc>
                              <w:tc>
                                <w:tcPr>
                                  <w:tcW w:w="1321" w:type="dxa"/>
                                </w:tcPr>
                                <w:p w14:paraId="416FC9E1" w14:textId="77777777" w:rsidR="007E533A" w:rsidRDefault="007E533A">
                                  <w:pPr>
                                    <w:spacing w:line="249" w:lineRule="exact"/>
                                    <w:ind w:left="8"/>
                                  </w:pPr>
                                  <w:r>
                                    <w:t>17,0</w:t>
                                  </w:r>
                                </w:p>
                              </w:tc>
                              <w:tc>
                                <w:tcPr>
                                  <w:tcW w:w="1323" w:type="dxa"/>
                                </w:tcPr>
                                <w:p w14:paraId="78A0A1E3" w14:textId="77777777" w:rsidR="007E533A" w:rsidRDefault="007E533A">
                                  <w:pPr>
                                    <w:spacing w:line="249" w:lineRule="exact"/>
                                    <w:ind w:left="7"/>
                                  </w:pPr>
                                  <w:r>
                                    <w:t>13,0</w:t>
                                  </w:r>
                                </w:p>
                              </w:tc>
                              <w:tc>
                                <w:tcPr>
                                  <w:tcW w:w="1170" w:type="dxa"/>
                                </w:tcPr>
                                <w:p w14:paraId="456F89E9" w14:textId="77777777" w:rsidR="007E533A" w:rsidRDefault="007E533A">
                                  <w:pPr>
                                    <w:spacing w:line="249" w:lineRule="exact"/>
                                    <w:ind w:left="7"/>
                                  </w:pPr>
                                  <w:r>
                                    <w:t>5,1</w:t>
                                  </w:r>
                                </w:p>
                              </w:tc>
                              <w:tc>
                                <w:tcPr>
                                  <w:tcW w:w="1033" w:type="dxa"/>
                                </w:tcPr>
                                <w:p w14:paraId="630A80A4" w14:textId="77777777" w:rsidR="007E533A" w:rsidRDefault="007E533A">
                                  <w:pPr>
                                    <w:spacing w:line="249" w:lineRule="exact"/>
                                    <w:ind w:left="6"/>
                                  </w:pPr>
                                  <w:r>
                                    <w:t>2,5</w:t>
                                  </w:r>
                                </w:p>
                              </w:tc>
                              <w:tc>
                                <w:tcPr>
                                  <w:tcW w:w="1613" w:type="dxa"/>
                                </w:tcPr>
                                <w:p w14:paraId="24F5FAFB" w14:textId="77777777" w:rsidR="007E533A" w:rsidRDefault="007E533A">
                                  <w:pPr>
                                    <w:rPr>
                                      <w:sz w:val="20"/>
                                    </w:rPr>
                                  </w:pPr>
                                </w:p>
                              </w:tc>
                            </w:tr>
                            <w:tr w:rsidR="007E533A" w14:paraId="306B5BF9" w14:textId="77777777" w:rsidTr="00864310">
                              <w:trPr>
                                <w:trHeight w:val="272"/>
                              </w:trPr>
                              <w:tc>
                                <w:tcPr>
                                  <w:tcW w:w="1505" w:type="dxa"/>
                                </w:tcPr>
                                <w:p w14:paraId="1CD1D319" w14:textId="77777777" w:rsidR="007E533A" w:rsidRDefault="007E533A">
                                  <w:pPr>
                                    <w:spacing w:line="249" w:lineRule="exact"/>
                                    <w:ind w:left="9"/>
                                  </w:pPr>
                                  <w:r>
                                    <w:t>0,50</w:t>
                                  </w:r>
                                </w:p>
                              </w:tc>
                              <w:tc>
                                <w:tcPr>
                                  <w:tcW w:w="1465" w:type="dxa"/>
                                </w:tcPr>
                                <w:p w14:paraId="389C2B64" w14:textId="77777777" w:rsidR="007E533A" w:rsidRDefault="007E533A">
                                  <w:pPr>
                                    <w:spacing w:line="249" w:lineRule="exact"/>
                                    <w:ind w:left="11"/>
                                  </w:pPr>
                                  <w:r>
                                    <w:t>36,2</w:t>
                                  </w:r>
                                </w:p>
                              </w:tc>
                              <w:tc>
                                <w:tcPr>
                                  <w:tcW w:w="1321" w:type="dxa"/>
                                </w:tcPr>
                                <w:p w14:paraId="5A3975D7" w14:textId="77777777" w:rsidR="007E533A" w:rsidRDefault="007E533A">
                                  <w:pPr>
                                    <w:spacing w:line="249" w:lineRule="exact"/>
                                    <w:ind w:left="8"/>
                                  </w:pPr>
                                  <w:r>
                                    <w:t>36,8</w:t>
                                  </w:r>
                                </w:p>
                              </w:tc>
                              <w:tc>
                                <w:tcPr>
                                  <w:tcW w:w="1323" w:type="dxa"/>
                                </w:tcPr>
                                <w:p w14:paraId="696AA320" w14:textId="77777777" w:rsidR="007E533A" w:rsidRDefault="007E533A">
                                  <w:pPr>
                                    <w:spacing w:line="249" w:lineRule="exact"/>
                                    <w:ind w:left="7"/>
                                  </w:pPr>
                                  <w:r>
                                    <w:t>37,9</w:t>
                                  </w:r>
                                </w:p>
                              </w:tc>
                              <w:tc>
                                <w:tcPr>
                                  <w:tcW w:w="1170" w:type="dxa"/>
                                </w:tcPr>
                                <w:p w14:paraId="3B0103A7" w14:textId="77777777" w:rsidR="007E533A" w:rsidRDefault="007E533A">
                                  <w:pPr>
                                    <w:spacing w:line="249" w:lineRule="exact"/>
                                    <w:ind w:left="7"/>
                                  </w:pPr>
                                  <w:r>
                                    <w:t>15,5</w:t>
                                  </w:r>
                                </w:p>
                              </w:tc>
                              <w:tc>
                                <w:tcPr>
                                  <w:tcW w:w="1033" w:type="dxa"/>
                                </w:tcPr>
                                <w:p w14:paraId="30F5EF44" w14:textId="77777777" w:rsidR="007E533A" w:rsidRDefault="007E533A">
                                  <w:pPr>
                                    <w:spacing w:line="249" w:lineRule="exact"/>
                                    <w:ind w:left="6"/>
                                  </w:pPr>
                                  <w:r>
                                    <w:t>6,5</w:t>
                                  </w:r>
                                </w:p>
                              </w:tc>
                              <w:tc>
                                <w:tcPr>
                                  <w:tcW w:w="1613" w:type="dxa"/>
                                </w:tcPr>
                                <w:p w14:paraId="65E8D61F" w14:textId="77777777" w:rsidR="007E533A" w:rsidRDefault="007E533A">
                                  <w:pPr>
                                    <w:spacing w:line="249" w:lineRule="exact"/>
                                    <w:ind w:left="5"/>
                                  </w:pPr>
                                  <w:r>
                                    <w:t>3,0</w:t>
                                  </w:r>
                                </w:p>
                              </w:tc>
                            </w:tr>
                            <w:tr w:rsidR="007E533A" w14:paraId="79E246AE" w14:textId="77777777" w:rsidTr="00864310">
                              <w:trPr>
                                <w:trHeight w:val="275"/>
                              </w:trPr>
                              <w:tc>
                                <w:tcPr>
                                  <w:tcW w:w="1505" w:type="dxa"/>
                                </w:tcPr>
                                <w:p w14:paraId="21B42AD6" w14:textId="77777777" w:rsidR="007E533A" w:rsidRDefault="007E533A">
                                  <w:pPr>
                                    <w:spacing w:line="249" w:lineRule="exact"/>
                                    <w:ind w:left="9"/>
                                  </w:pPr>
                                  <w:r>
                                    <w:t>1,0*</w:t>
                                  </w:r>
                                </w:p>
                              </w:tc>
                              <w:tc>
                                <w:tcPr>
                                  <w:tcW w:w="1465" w:type="dxa"/>
                                </w:tcPr>
                                <w:p w14:paraId="17DC233E" w14:textId="77777777" w:rsidR="007E533A" w:rsidRDefault="007E533A">
                                  <w:pPr>
                                    <w:spacing w:line="249" w:lineRule="exact"/>
                                    <w:ind w:left="11"/>
                                  </w:pPr>
                                  <w:r>
                                    <w:t>60,0</w:t>
                                  </w:r>
                                </w:p>
                              </w:tc>
                              <w:tc>
                                <w:tcPr>
                                  <w:tcW w:w="1321" w:type="dxa"/>
                                </w:tcPr>
                                <w:p w14:paraId="7340D0A5" w14:textId="77777777" w:rsidR="007E533A" w:rsidRDefault="007E533A">
                                  <w:pPr>
                                    <w:spacing w:line="249" w:lineRule="exact"/>
                                    <w:ind w:left="8"/>
                                  </w:pPr>
                                  <w:r>
                                    <w:t>63,8</w:t>
                                  </w:r>
                                </w:p>
                              </w:tc>
                              <w:tc>
                                <w:tcPr>
                                  <w:tcW w:w="1323" w:type="dxa"/>
                                </w:tcPr>
                                <w:p w14:paraId="189142F4" w14:textId="77777777" w:rsidR="007E533A" w:rsidRDefault="007E533A">
                                  <w:pPr>
                                    <w:spacing w:line="249" w:lineRule="exact"/>
                                    <w:ind w:left="7"/>
                                  </w:pPr>
                                  <w:r>
                                    <w:t>54,3</w:t>
                                  </w:r>
                                </w:p>
                              </w:tc>
                              <w:tc>
                                <w:tcPr>
                                  <w:tcW w:w="1170" w:type="dxa"/>
                                </w:tcPr>
                                <w:p w14:paraId="17C24B9B" w14:textId="77777777" w:rsidR="007E533A" w:rsidRDefault="007E533A">
                                  <w:pPr>
                                    <w:spacing w:line="249" w:lineRule="exact"/>
                                    <w:ind w:left="7"/>
                                  </w:pPr>
                                  <w:r>
                                    <w:t>29,3</w:t>
                                  </w:r>
                                </w:p>
                              </w:tc>
                              <w:tc>
                                <w:tcPr>
                                  <w:tcW w:w="1033" w:type="dxa"/>
                                </w:tcPr>
                                <w:p w14:paraId="13DB3F4B" w14:textId="77777777" w:rsidR="007E533A" w:rsidRDefault="007E533A">
                                  <w:pPr>
                                    <w:spacing w:line="249" w:lineRule="exact"/>
                                    <w:ind w:left="6"/>
                                  </w:pPr>
                                  <w:r>
                                    <w:t>13,2</w:t>
                                  </w:r>
                                </w:p>
                              </w:tc>
                              <w:tc>
                                <w:tcPr>
                                  <w:tcW w:w="1613" w:type="dxa"/>
                                </w:tcPr>
                                <w:p w14:paraId="5D17ECBF" w14:textId="77777777" w:rsidR="007E533A" w:rsidRDefault="007E533A">
                                  <w:pPr>
                                    <w:spacing w:line="249" w:lineRule="exact"/>
                                    <w:ind w:left="5"/>
                                  </w:pPr>
                                  <w:r>
                                    <w:t>7,1</w:t>
                                  </w:r>
                                </w:p>
                              </w:tc>
                            </w:tr>
                          </w:tbl>
                          <w:p w14:paraId="78BE859B" w14:textId="77777777" w:rsidR="007E533A" w:rsidRDefault="007E533A" w:rsidP="007E533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3353A" id="_x0000_t202" coordsize="21600,21600" o:spt="202" path="m,l,21600r21600,l21600,xe">
                <v:stroke joinstyle="miter"/>
                <v:path gradientshapeok="t" o:connecttype="rect"/>
              </v:shapetype>
              <v:shape id="Text Box 1" o:spid="_x0000_s1026" type="#_x0000_t202" style="position:absolute;left:0;text-align:left;margin-left:60pt;margin-top:.7pt;width:476.4pt;height:74.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v+tAIAALI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05"/>
                        <w:gridCol w:w="1465"/>
                        <w:gridCol w:w="1321"/>
                        <w:gridCol w:w="1323"/>
                        <w:gridCol w:w="1170"/>
                        <w:gridCol w:w="1033"/>
                        <w:gridCol w:w="1613"/>
                      </w:tblGrid>
                      <w:tr w:rsidR="007E533A" w14:paraId="701C6F3E" w14:textId="77777777" w:rsidTr="00864310">
                        <w:trPr>
                          <w:trHeight w:val="272"/>
                        </w:trPr>
                        <w:tc>
                          <w:tcPr>
                            <w:tcW w:w="1505" w:type="dxa"/>
                            <w:vMerge w:val="restart"/>
                          </w:tcPr>
                          <w:p w14:paraId="4FFA6B30" w14:textId="77777777" w:rsidR="007E533A" w:rsidRPr="00F47241" w:rsidRDefault="007E533A">
                            <w:pPr>
                              <w:ind w:left="9"/>
                              <w:rPr>
                                <w:lang w:val="sr-Latn-ME"/>
                              </w:rPr>
                            </w:pPr>
                            <w:r w:rsidRPr="00F47241">
                              <w:rPr>
                                <w:lang w:val="sr-Latn-ME"/>
                              </w:rPr>
                              <w:t>Doza (g)</w:t>
                            </w:r>
                          </w:p>
                        </w:tc>
                        <w:tc>
                          <w:tcPr>
                            <w:tcW w:w="7925" w:type="dxa"/>
                            <w:gridSpan w:val="6"/>
                          </w:tcPr>
                          <w:p w14:paraId="54EF0194" w14:textId="77777777" w:rsidR="007E533A" w:rsidRPr="00F47241" w:rsidRDefault="007E533A">
                            <w:pPr>
                              <w:ind w:left="11"/>
                              <w:rPr>
                                <w:lang w:val="sr-Latn-ME"/>
                              </w:rPr>
                            </w:pPr>
                            <w:r w:rsidRPr="00F47241">
                              <w:rPr>
                                <w:lang w:val="sr-Latn-ME"/>
                              </w:rPr>
                              <w:t>Koncentracija u serumu (μg/ml)</w:t>
                            </w:r>
                          </w:p>
                        </w:tc>
                      </w:tr>
                      <w:tr w:rsidR="007E533A" w14:paraId="27334933" w14:textId="77777777" w:rsidTr="00864310">
                        <w:trPr>
                          <w:trHeight w:val="272"/>
                        </w:trPr>
                        <w:tc>
                          <w:tcPr>
                            <w:tcW w:w="1505" w:type="dxa"/>
                            <w:vMerge/>
                            <w:tcBorders>
                              <w:top w:val="nil"/>
                            </w:tcBorders>
                          </w:tcPr>
                          <w:p w14:paraId="0DE48D9F" w14:textId="77777777" w:rsidR="007E533A" w:rsidRDefault="007E533A">
                            <w:pPr>
                              <w:rPr>
                                <w:sz w:val="2"/>
                                <w:szCs w:val="2"/>
                              </w:rPr>
                            </w:pPr>
                          </w:p>
                        </w:tc>
                        <w:tc>
                          <w:tcPr>
                            <w:tcW w:w="1465" w:type="dxa"/>
                          </w:tcPr>
                          <w:p w14:paraId="1419B60D" w14:textId="77777777" w:rsidR="007E533A" w:rsidRDefault="007E533A">
                            <w:pPr>
                              <w:ind w:left="11"/>
                            </w:pPr>
                            <w:r>
                              <w:t>30 min</w:t>
                            </w:r>
                          </w:p>
                        </w:tc>
                        <w:tc>
                          <w:tcPr>
                            <w:tcW w:w="1321" w:type="dxa"/>
                          </w:tcPr>
                          <w:p w14:paraId="3969C76C" w14:textId="77777777" w:rsidR="007E533A" w:rsidRDefault="007E533A">
                            <w:pPr>
                              <w:ind w:left="8"/>
                            </w:pPr>
                            <w:r>
                              <w:t>1 sat</w:t>
                            </w:r>
                          </w:p>
                        </w:tc>
                        <w:tc>
                          <w:tcPr>
                            <w:tcW w:w="1323" w:type="dxa"/>
                          </w:tcPr>
                          <w:p w14:paraId="2A1444A4" w14:textId="77777777" w:rsidR="007E533A" w:rsidRDefault="007E533A">
                            <w:pPr>
                              <w:ind w:left="7"/>
                            </w:pPr>
                            <w:r>
                              <w:t>2 sat</w:t>
                            </w:r>
                          </w:p>
                        </w:tc>
                        <w:tc>
                          <w:tcPr>
                            <w:tcW w:w="1170" w:type="dxa"/>
                          </w:tcPr>
                          <w:p w14:paraId="669A0937" w14:textId="77777777" w:rsidR="007E533A" w:rsidRDefault="007E533A">
                            <w:pPr>
                              <w:ind w:left="7"/>
                            </w:pPr>
                            <w:r>
                              <w:t>4 sat</w:t>
                            </w:r>
                          </w:p>
                        </w:tc>
                        <w:tc>
                          <w:tcPr>
                            <w:tcW w:w="1033" w:type="dxa"/>
                          </w:tcPr>
                          <w:p w14:paraId="3E606151" w14:textId="77777777" w:rsidR="007E533A" w:rsidRDefault="007E533A">
                            <w:pPr>
                              <w:ind w:left="6"/>
                            </w:pPr>
                            <w:r>
                              <w:t>6 sat</w:t>
                            </w:r>
                          </w:p>
                        </w:tc>
                        <w:tc>
                          <w:tcPr>
                            <w:tcW w:w="1613" w:type="dxa"/>
                          </w:tcPr>
                          <w:p w14:paraId="12822E34" w14:textId="77777777" w:rsidR="007E533A" w:rsidRDefault="007E533A">
                            <w:pPr>
                              <w:ind w:left="5"/>
                            </w:pPr>
                            <w:r>
                              <w:t>8 sat</w:t>
                            </w:r>
                          </w:p>
                        </w:tc>
                      </w:tr>
                      <w:tr w:rsidR="007E533A" w14:paraId="0BAA3C23" w14:textId="77777777" w:rsidTr="00864310">
                        <w:trPr>
                          <w:trHeight w:val="272"/>
                        </w:trPr>
                        <w:tc>
                          <w:tcPr>
                            <w:tcW w:w="1505" w:type="dxa"/>
                          </w:tcPr>
                          <w:p w14:paraId="758BE7DD" w14:textId="77777777" w:rsidR="007E533A" w:rsidRDefault="007E533A">
                            <w:pPr>
                              <w:spacing w:line="249" w:lineRule="exact"/>
                              <w:ind w:left="9"/>
                            </w:pPr>
                            <w:r>
                              <w:t>0,25</w:t>
                            </w:r>
                          </w:p>
                        </w:tc>
                        <w:tc>
                          <w:tcPr>
                            <w:tcW w:w="1465" w:type="dxa"/>
                          </w:tcPr>
                          <w:p w14:paraId="134B0E49" w14:textId="77777777" w:rsidR="007E533A" w:rsidRDefault="007E533A">
                            <w:pPr>
                              <w:spacing w:line="249" w:lineRule="exact"/>
                              <w:ind w:left="11"/>
                            </w:pPr>
                            <w:r>
                              <w:t>15,5</w:t>
                            </w:r>
                          </w:p>
                        </w:tc>
                        <w:tc>
                          <w:tcPr>
                            <w:tcW w:w="1321" w:type="dxa"/>
                          </w:tcPr>
                          <w:p w14:paraId="416FC9E1" w14:textId="77777777" w:rsidR="007E533A" w:rsidRDefault="007E533A">
                            <w:pPr>
                              <w:spacing w:line="249" w:lineRule="exact"/>
                              <w:ind w:left="8"/>
                            </w:pPr>
                            <w:r>
                              <w:t>17,0</w:t>
                            </w:r>
                          </w:p>
                        </w:tc>
                        <w:tc>
                          <w:tcPr>
                            <w:tcW w:w="1323" w:type="dxa"/>
                          </w:tcPr>
                          <w:p w14:paraId="78A0A1E3" w14:textId="77777777" w:rsidR="007E533A" w:rsidRDefault="007E533A">
                            <w:pPr>
                              <w:spacing w:line="249" w:lineRule="exact"/>
                              <w:ind w:left="7"/>
                            </w:pPr>
                            <w:r>
                              <w:t>13,0</w:t>
                            </w:r>
                          </w:p>
                        </w:tc>
                        <w:tc>
                          <w:tcPr>
                            <w:tcW w:w="1170" w:type="dxa"/>
                          </w:tcPr>
                          <w:p w14:paraId="456F89E9" w14:textId="77777777" w:rsidR="007E533A" w:rsidRDefault="007E533A">
                            <w:pPr>
                              <w:spacing w:line="249" w:lineRule="exact"/>
                              <w:ind w:left="7"/>
                            </w:pPr>
                            <w:r>
                              <w:t>5,1</w:t>
                            </w:r>
                          </w:p>
                        </w:tc>
                        <w:tc>
                          <w:tcPr>
                            <w:tcW w:w="1033" w:type="dxa"/>
                          </w:tcPr>
                          <w:p w14:paraId="630A80A4" w14:textId="77777777" w:rsidR="007E533A" w:rsidRDefault="007E533A">
                            <w:pPr>
                              <w:spacing w:line="249" w:lineRule="exact"/>
                              <w:ind w:left="6"/>
                            </w:pPr>
                            <w:r>
                              <w:t>2,5</w:t>
                            </w:r>
                          </w:p>
                        </w:tc>
                        <w:tc>
                          <w:tcPr>
                            <w:tcW w:w="1613" w:type="dxa"/>
                          </w:tcPr>
                          <w:p w14:paraId="24F5FAFB" w14:textId="77777777" w:rsidR="007E533A" w:rsidRDefault="007E533A">
                            <w:pPr>
                              <w:rPr>
                                <w:sz w:val="20"/>
                              </w:rPr>
                            </w:pPr>
                          </w:p>
                        </w:tc>
                      </w:tr>
                      <w:tr w:rsidR="007E533A" w14:paraId="306B5BF9" w14:textId="77777777" w:rsidTr="00864310">
                        <w:trPr>
                          <w:trHeight w:val="272"/>
                        </w:trPr>
                        <w:tc>
                          <w:tcPr>
                            <w:tcW w:w="1505" w:type="dxa"/>
                          </w:tcPr>
                          <w:p w14:paraId="1CD1D319" w14:textId="77777777" w:rsidR="007E533A" w:rsidRDefault="007E533A">
                            <w:pPr>
                              <w:spacing w:line="249" w:lineRule="exact"/>
                              <w:ind w:left="9"/>
                            </w:pPr>
                            <w:r>
                              <w:t>0,50</w:t>
                            </w:r>
                          </w:p>
                        </w:tc>
                        <w:tc>
                          <w:tcPr>
                            <w:tcW w:w="1465" w:type="dxa"/>
                          </w:tcPr>
                          <w:p w14:paraId="389C2B64" w14:textId="77777777" w:rsidR="007E533A" w:rsidRDefault="007E533A">
                            <w:pPr>
                              <w:spacing w:line="249" w:lineRule="exact"/>
                              <w:ind w:left="11"/>
                            </w:pPr>
                            <w:r>
                              <w:t>36,2</w:t>
                            </w:r>
                          </w:p>
                        </w:tc>
                        <w:tc>
                          <w:tcPr>
                            <w:tcW w:w="1321" w:type="dxa"/>
                          </w:tcPr>
                          <w:p w14:paraId="5A3975D7" w14:textId="77777777" w:rsidR="007E533A" w:rsidRDefault="007E533A">
                            <w:pPr>
                              <w:spacing w:line="249" w:lineRule="exact"/>
                              <w:ind w:left="8"/>
                            </w:pPr>
                            <w:r>
                              <w:t>36,8</w:t>
                            </w:r>
                          </w:p>
                        </w:tc>
                        <w:tc>
                          <w:tcPr>
                            <w:tcW w:w="1323" w:type="dxa"/>
                          </w:tcPr>
                          <w:p w14:paraId="696AA320" w14:textId="77777777" w:rsidR="007E533A" w:rsidRDefault="007E533A">
                            <w:pPr>
                              <w:spacing w:line="249" w:lineRule="exact"/>
                              <w:ind w:left="7"/>
                            </w:pPr>
                            <w:r>
                              <w:t>37,9</w:t>
                            </w:r>
                          </w:p>
                        </w:tc>
                        <w:tc>
                          <w:tcPr>
                            <w:tcW w:w="1170" w:type="dxa"/>
                          </w:tcPr>
                          <w:p w14:paraId="3B0103A7" w14:textId="77777777" w:rsidR="007E533A" w:rsidRDefault="007E533A">
                            <w:pPr>
                              <w:spacing w:line="249" w:lineRule="exact"/>
                              <w:ind w:left="7"/>
                            </w:pPr>
                            <w:r>
                              <w:t>15,5</w:t>
                            </w:r>
                          </w:p>
                        </w:tc>
                        <w:tc>
                          <w:tcPr>
                            <w:tcW w:w="1033" w:type="dxa"/>
                          </w:tcPr>
                          <w:p w14:paraId="30F5EF44" w14:textId="77777777" w:rsidR="007E533A" w:rsidRDefault="007E533A">
                            <w:pPr>
                              <w:spacing w:line="249" w:lineRule="exact"/>
                              <w:ind w:left="6"/>
                            </w:pPr>
                            <w:r>
                              <w:t>6,5</w:t>
                            </w:r>
                          </w:p>
                        </w:tc>
                        <w:tc>
                          <w:tcPr>
                            <w:tcW w:w="1613" w:type="dxa"/>
                          </w:tcPr>
                          <w:p w14:paraId="65E8D61F" w14:textId="77777777" w:rsidR="007E533A" w:rsidRDefault="007E533A">
                            <w:pPr>
                              <w:spacing w:line="249" w:lineRule="exact"/>
                              <w:ind w:left="5"/>
                            </w:pPr>
                            <w:r>
                              <w:t>3,0</w:t>
                            </w:r>
                          </w:p>
                        </w:tc>
                      </w:tr>
                      <w:tr w:rsidR="007E533A" w14:paraId="79E246AE" w14:textId="77777777" w:rsidTr="00864310">
                        <w:trPr>
                          <w:trHeight w:val="275"/>
                        </w:trPr>
                        <w:tc>
                          <w:tcPr>
                            <w:tcW w:w="1505" w:type="dxa"/>
                          </w:tcPr>
                          <w:p w14:paraId="21B42AD6" w14:textId="77777777" w:rsidR="007E533A" w:rsidRDefault="007E533A">
                            <w:pPr>
                              <w:spacing w:line="249" w:lineRule="exact"/>
                              <w:ind w:left="9"/>
                            </w:pPr>
                            <w:r>
                              <w:t>1,0*</w:t>
                            </w:r>
                          </w:p>
                        </w:tc>
                        <w:tc>
                          <w:tcPr>
                            <w:tcW w:w="1465" w:type="dxa"/>
                          </w:tcPr>
                          <w:p w14:paraId="17DC233E" w14:textId="77777777" w:rsidR="007E533A" w:rsidRDefault="007E533A">
                            <w:pPr>
                              <w:spacing w:line="249" w:lineRule="exact"/>
                              <w:ind w:left="11"/>
                            </w:pPr>
                            <w:r>
                              <w:t>60,0</w:t>
                            </w:r>
                          </w:p>
                        </w:tc>
                        <w:tc>
                          <w:tcPr>
                            <w:tcW w:w="1321" w:type="dxa"/>
                          </w:tcPr>
                          <w:p w14:paraId="7340D0A5" w14:textId="77777777" w:rsidR="007E533A" w:rsidRDefault="007E533A">
                            <w:pPr>
                              <w:spacing w:line="249" w:lineRule="exact"/>
                              <w:ind w:left="8"/>
                            </w:pPr>
                            <w:r>
                              <w:t>63,8</w:t>
                            </w:r>
                          </w:p>
                        </w:tc>
                        <w:tc>
                          <w:tcPr>
                            <w:tcW w:w="1323" w:type="dxa"/>
                          </w:tcPr>
                          <w:p w14:paraId="189142F4" w14:textId="77777777" w:rsidR="007E533A" w:rsidRDefault="007E533A">
                            <w:pPr>
                              <w:spacing w:line="249" w:lineRule="exact"/>
                              <w:ind w:left="7"/>
                            </w:pPr>
                            <w:r>
                              <w:t>54,3</w:t>
                            </w:r>
                          </w:p>
                        </w:tc>
                        <w:tc>
                          <w:tcPr>
                            <w:tcW w:w="1170" w:type="dxa"/>
                          </w:tcPr>
                          <w:p w14:paraId="17C24B9B" w14:textId="77777777" w:rsidR="007E533A" w:rsidRDefault="007E533A">
                            <w:pPr>
                              <w:spacing w:line="249" w:lineRule="exact"/>
                              <w:ind w:left="7"/>
                            </w:pPr>
                            <w:r>
                              <w:t>29,3</w:t>
                            </w:r>
                          </w:p>
                        </w:tc>
                        <w:tc>
                          <w:tcPr>
                            <w:tcW w:w="1033" w:type="dxa"/>
                          </w:tcPr>
                          <w:p w14:paraId="13DB3F4B" w14:textId="77777777" w:rsidR="007E533A" w:rsidRDefault="007E533A">
                            <w:pPr>
                              <w:spacing w:line="249" w:lineRule="exact"/>
                              <w:ind w:left="6"/>
                            </w:pPr>
                            <w:r>
                              <w:t>13,2</w:t>
                            </w:r>
                          </w:p>
                        </w:tc>
                        <w:tc>
                          <w:tcPr>
                            <w:tcW w:w="1613" w:type="dxa"/>
                          </w:tcPr>
                          <w:p w14:paraId="5D17ECBF" w14:textId="77777777" w:rsidR="007E533A" w:rsidRDefault="007E533A">
                            <w:pPr>
                              <w:spacing w:line="249" w:lineRule="exact"/>
                              <w:ind w:left="5"/>
                            </w:pPr>
                            <w:r>
                              <w:t>7,1</w:t>
                            </w:r>
                          </w:p>
                        </w:tc>
                      </w:tr>
                    </w:tbl>
                    <w:p w14:paraId="78BE859B" w14:textId="77777777" w:rsidR="007E533A" w:rsidRDefault="007E533A" w:rsidP="007E533A">
                      <w:pPr>
                        <w:pStyle w:val="BodyText"/>
                      </w:pPr>
                    </w:p>
                  </w:txbxContent>
                </v:textbox>
                <w10:wrap anchorx="page"/>
              </v:shape>
            </w:pict>
          </mc:Fallback>
        </mc:AlternateContent>
      </w:r>
    </w:p>
    <w:p w14:paraId="2362A9E4" w14:textId="77777777" w:rsidR="007E533A" w:rsidRPr="00F47241" w:rsidRDefault="007E533A" w:rsidP="007E533A">
      <w:pPr>
        <w:rPr>
          <w:i/>
          <w:szCs w:val="22"/>
          <w:lang w:val="sr-Latn-ME"/>
        </w:rPr>
      </w:pPr>
    </w:p>
    <w:p w14:paraId="1B1C66F9" w14:textId="77777777" w:rsidR="007E533A" w:rsidRPr="00F47241" w:rsidRDefault="007E533A" w:rsidP="007E533A">
      <w:pPr>
        <w:rPr>
          <w:i/>
          <w:szCs w:val="22"/>
          <w:lang w:val="sr-Latn-ME"/>
        </w:rPr>
      </w:pPr>
    </w:p>
    <w:p w14:paraId="2BA71B73" w14:textId="77777777" w:rsidR="007E533A" w:rsidRPr="00F47241" w:rsidRDefault="007E533A" w:rsidP="007E533A">
      <w:pPr>
        <w:rPr>
          <w:i/>
          <w:szCs w:val="22"/>
          <w:lang w:val="sr-Latn-ME"/>
        </w:rPr>
      </w:pPr>
    </w:p>
    <w:p w14:paraId="44D4DF12" w14:textId="77777777" w:rsidR="007E533A" w:rsidRPr="00F47241" w:rsidRDefault="007E533A" w:rsidP="007E533A">
      <w:pPr>
        <w:rPr>
          <w:i/>
          <w:szCs w:val="22"/>
          <w:lang w:val="sr-Latn-ME"/>
        </w:rPr>
      </w:pPr>
    </w:p>
    <w:p w14:paraId="357E9CA4" w14:textId="77777777" w:rsidR="007E533A" w:rsidRPr="00F47241" w:rsidRDefault="007E533A" w:rsidP="007E533A">
      <w:pPr>
        <w:rPr>
          <w:i/>
          <w:szCs w:val="22"/>
          <w:lang w:val="sr-Latn-ME"/>
        </w:rPr>
      </w:pPr>
    </w:p>
    <w:p w14:paraId="554C1705" w14:textId="77777777" w:rsidR="007E533A" w:rsidRPr="00F47241" w:rsidRDefault="007E533A" w:rsidP="007E533A">
      <w:pPr>
        <w:rPr>
          <w:szCs w:val="22"/>
          <w:lang w:val="sr-Latn-ME"/>
        </w:rPr>
      </w:pPr>
      <w:r w:rsidRPr="00F47241">
        <w:rPr>
          <w:szCs w:val="22"/>
          <w:lang w:val="sr-Latn-ME"/>
        </w:rPr>
        <w:t>*- Prosječna vrijednost iz dva ispitivanja</w:t>
      </w:r>
    </w:p>
    <w:p w14:paraId="631BF3AE" w14:textId="77777777" w:rsidR="007E533A" w:rsidRPr="00F47241" w:rsidRDefault="007E533A" w:rsidP="007E533A">
      <w:pPr>
        <w:rPr>
          <w:i/>
          <w:szCs w:val="22"/>
          <w:lang w:val="sr-Latn-ME"/>
        </w:rPr>
      </w:pPr>
    </w:p>
    <w:p w14:paraId="42604462" w14:textId="77777777" w:rsidR="007E533A" w:rsidRPr="00F47241" w:rsidRDefault="007E533A" w:rsidP="007E533A">
      <w:pPr>
        <w:rPr>
          <w:szCs w:val="22"/>
          <w:lang w:val="sr-Latn-ME"/>
        </w:rPr>
      </w:pPr>
      <w:r w:rsidRPr="00F47241">
        <w:rPr>
          <w:szCs w:val="22"/>
          <w:lang w:val="sr-Latn-ME"/>
        </w:rPr>
        <w:t>Intravenska primjena:</w:t>
      </w:r>
    </w:p>
    <w:p w14:paraId="022C4C35" w14:textId="77777777" w:rsidR="007E533A" w:rsidRPr="00F47241" w:rsidRDefault="007E533A" w:rsidP="007E533A">
      <w:pPr>
        <w:rPr>
          <w:szCs w:val="22"/>
          <w:lang w:val="sr-Latn-ME"/>
        </w:rPr>
      </w:pPr>
      <w:r w:rsidRPr="00F47241">
        <w:rPr>
          <w:szCs w:val="22"/>
          <w:lang w:val="sr-Latn-ME"/>
        </w:rPr>
        <w:t>Nakon kontinuirane intravenske infuzije ( na zdravim dobrovoljcima) cefazolina pri dozi od 3,5 mg/kg tokom sat vremena, nakon čega slijedi doza od 1,5 mg/kg sledeća 2 sata, u trećem satu uočen je nivo u serumu od otprilike 28 μg/ml.</w:t>
      </w:r>
    </w:p>
    <w:p w14:paraId="7874303E" w14:textId="77777777" w:rsidR="007E533A" w:rsidRPr="00F47241" w:rsidRDefault="007E533A" w:rsidP="007E533A">
      <w:pPr>
        <w:rPr>
          <w:szCs w:val="22"/>
          <w:lang w:val="sr-Latn-ME"/>
        </w:rPr>
      </w:pPr>
    </w:p>
    <w:p w14:paraId="1C6BB410" w14:textId="77777777" w:rsidR="007E533A" w:rsidRPr="00F47241" w:rsidRDefault="007E533A" w:rsidP="007E533A">
      <w:pPr>
        <w:rPr>
          <w:szCs w:val="22"/>
          <w:lang w:val="sr-Latn-ME"/>
        </w:rPr>
      </w:pPr>
      <w:r w:rsidRPr="00F47241">
        <w:rPr>
          <w:szCs w:val="22"/>
          <w:lang w:val="sr-Latn-ME"/>
        </w:rPr>
        <w:t>Prosječne serumske koncentracije postignute nakon intravenske primjene pojedinačne doze od 1 g prikazane su u  sljedećoj tabeli.</w:t>
      </w:r>
    </w:p>
    <w:p w14:paraId="6AE785D4" w14:textId="77777777" w:rsidR="007E533A" w:rsidRPr="00F47241" w:rsidRDefault="007E533A" w:rsidP="007E533A">
      <w:pPr>
        <w:rPr>
          <w:szCs w:val="22"/>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522"/>
        <w:gridCol w:w="1455"/>
        <w:gridCol w:w="1417"/>
        <w:gridCol w:w="2117"/>
      </w:tblGrid>
      <w:tr w:rsidR="007E533A" w:rsidRPr="00F47241" w14:paraId="68D8B599" w14:textId="77777777" w:rsidTr="000235D3">
        <w:tc>
          <w:tcPr>
            <w:tcW w:w="1560" w:type="dxa"/>
            <w:tcBorders>
              <w:top w:val="single" w:sz="4" w:space="0" w:color="auto"/>
              <w:left w:val="single" w:sz="4" w:space="0" w:color="auto"/>
              <w:bottom w:val="single" w:sz="4" w:space="0" w:color="auto"/>
              <w:right w:val="single" w:sz="4" w:space="0" w:color="auto"/>
            </w:tcBorders>
            <w:hideMark/>
          </w:tcPr>
          <w:p w14:paraId="4F0602D0" w14:textId="77777777" w:rsidR="007E533A" w:rsidRPr="00F47241" w:rsidRDefault="007E533A" w:rsidP="000235D3">
            <w:pPr>
              <w:tabs>
                <w:tab w:val="clear" w:pos="284"/>
              </w:tabs>
              <w:rPr>
                <w:szCs w:val="22"/>
                <w:lang w:val="sr-Latn-ME"/>
              </w:rPr>
            </w:pPr>
            <w:r w:rsidRPr="00F47241">
              <w:rPr>
                <w:szCs w:val="22"/>
                <w:lang w:val="sr-Latn-ME"/>
              </w:rPr>
              <w:t xml:space="preserve">Nakon 5 min. </w:t>
            </w:r>
          </w:p>
        </w:tc>
        <w:tc>
          <w:tcPr>
            <w:tcW w:w="1559" w:type="dxa"/>
            <w:tcBorders>
              <w:top w:val="single" w:sz="4" w:space="0" w:color="auto"/>
              <w:left w:val="single" w:sz="4" w:space="0" w:color="auto"/>
              <w:bottom w:val="single" w:sz="4" w:space="0" w:color="auto"/>
              <w:right w:val="single" w:sz="4" w:space="0" w:color="auto"/>
            </w:tcBorders>
            <w:hideMark/>
          </w:tcPr>
          <w:p w14:paraId="34A6B583" w14:textId="77777777" w:rsidR="007E533A" w:rsidRPr="00F47241" w:rsidRDefault="007E533A" w:rsidP="000235D3">
            <w:pPr>
              <w:tabs>
                <w:tab w:val="clear" w:pos="284"/>
              </w:tabs>
              <w:rPr>
                <w:szCs w:val="22"/>
                <w:lang w:val="sr-Latn-ME"/>
              </w:rPr>
            </w:pPr>
            <w:r w:rsidRPr="00F47241">
              <w:rPr>
                <w:szCs w:val="22"/>
                <w:lang w:val="sr-Latn-ME"/>
              </w:rPr>
              <w:t>Nakon 15 min.</w:t>
            </w:r>
          </w:p>
        </w:tc>
        <w:tc>
          <w:tcPr>
            <w:tcW w:w="1522" w:type="dxa"/>
            <w:tcBorders>
              <w:top w:val="single" w:sz="4" w:space="0" w:color="auto"/>
              <w:left w:val="single" w:sz="4" w:space="0" w:color="auto"/>
              <w:bottom w:val="single" w:sz="4" w:space="0" w:color="auto"/>
              <w:right w:val="single" w:sz="4" w:space="0" w:color="auto"/>
            </w:tcBorders>
            <w:hideMark/>
          </w:tcPr>
          <w:p w14:paraId="7A8E3528" w14:textId="77777777" w:rsidR="007E533A" w:rsidRPr="00F47241" w:rsidRDefault="007E533A" w:rsidP="000235D3">
            <w:pPr>
              <w:tabs>
                <w:tab w:val="clear" w:pos="284"/>
              </w:tabs>
              <w:rPr>
                <w:szCs w:val="22"/>
                <w:lang w:val="sr-Latn-ME"/>
              </w:rPr>
            </w:pPr>
            <w:r w:rsidRPr="00F47241">
              <w:rPr>
                <w:szCs w:val="22"/>
                <w:lang w:val="sr-Latn-ME"/>
              </w:rPr>
              <w:t>Nakon 30 min.</w:t>
            </w:r>
          </w:p>
        </w:tc>
        <w:tc>
          <w:tcPr>
            <w:tcW w:w="1455" w:type="dxa"/>
            <w:tcBorders>
              <w:top w:val="single" w:sz="4" w:space="0" w:color="auto"/>
              <w:left w:val="single" w:sz="4" w:space="0" w:color="auto"/>
              <w:bottom w:val="single" w:sz="4" w:space="0" w:color="auto"/>
              <w:right w:val="single" w:sz="4" w:space="0" w:color="auto"/>
            </w:tcBorders>
            <w:hideMark/>
          </w:tcPr>
          <w:p w14:paraId="3C9A462E" w14:textId="77777777" w:rsidR="007E533A" w:rsidRPr="00F47241" w:rsidRDefault="007E533A" w:rsidP="000235D3">
            <w:pPr>
              <w:tabs>
                <w:tab w:val="clear" w:pos="284"/>
              </w:tabs>
              <w:rPr>
                <w:szCs w:val="22"/>
                <w:lang w:val="sr-Latn-ME"/>
              </w:rPr>
            </w:pPr>
            <w:r w:rsidRPr="00F47241">
              <w:rPr>
                <w:szCs w:val="22"/>
                <w:lang w:val="sr-Latn-ME"/>
              </w:rPr>
              <w:t>Nakon 1 sata</w:t>
            </w:r>
          </w:p>
        </w:tc>
        <w:tc>
          <w:tcPr>
            <w:tcW w:w="1417" w:type="dxa"/>
            <w:tcBorders>
              <w:top w:val="single" w:sz="4" w:space="0" w:color="auto"/>
              <w:left w:val="single" w:sz="4" w:space="0" w:color="auto"/>
              <w:bottom w:val="single" w:sz="4" w:space="0" w:color="auto"/>
              <w:right w:val="single" w:sz="4" w:space="0" w:color="auto"/>
            </w:tcBorders>
            <w:hideMark/>
          </w:tcPr>
          <w:p w14:paraId="058315ED" w14:textId="77777777" w:rsidR="007E533A" w:rsidRPr="00F47241" w:rsidRDefault="007E533A" w:rsidP="000235D3">
            <w:pPr>
              <w:tabs>
                <w:tab w:val="clear" w:pos="284"/>
              </w:tabs>
              <w:rPr>
                <w:szCs w:val="22"/>
                <w:lang w:val="sr-Latn-ME"/>
              </w:rPr>
            </w:pPr>
            <w:r w:rsidRPr="00F47241">
              <w:rPr>
                <w:szCs w:val="22"/>
                <w:lang w:val="sr-Latn-ME"/>
              </w:rPr>
              <w:t>Nakon 2 sata</w:t>
            </w:r>
          </w:p>
        </w:tc>
        <w:tc>
          <w:tcPr>
            <w:tcW w:w="2117" w:type="dxa"/>
            <w:tcBorders>
              <w:top w:val="single" w:sz="4" w:space="0" w:color="auto"/>
              <w:left w:val="single" w:sz="4" w:space="0" w:color="auto"/>
              <w:bottom w:val="single" w:sz="4" w:space="0" w:color="auto"/>
              <w:right w:val="single" w:sz="4" w:space="0" w:color="auto"/>
            </w:tcBorders>
            <w:hideMark/>
          </w:tcPr>
          <w:p w14:paraId="10ECD5F4" w14:textId="77777777" w:rsidR="007E533A" w:rsidRPr="00F47241" w:rsidRDefault="007E533A" w:rsidP="000235D3">
            <w:pPr>
              <w:tabs>
                <w:tab w:val="clear" w:pos="284"/>
              </w:tabs>
              <w:rPr>
                <w:szCs w:val="22"/>
                <w:lang w:val="sr-Latn-ME"/>
              </w:rPr>
            </w:pPr>
            <w:r w:rsidRPr="00F47241">
              <w:rPr>
                <w:szCs w:val="22"/>
                <w:lang w:val="sr-Latn-ME"/>
              </w:rPr>
              <w:t>Nakon 4 sata</w:t>
            </w:r>
          </w:p>
        </w:tc>
      </w:tr>
      <w:tr w:rsidR="007E533A" w:rsidRPr="00F47241" w14:paraId="1B68FFD8" w14:textId="77777777" w:rsidTr="000235D3">
        <w:tc>
          <w:tcPr>
            <w:tcW w:w="1560" w:type="dxa"/>
            <w:tcBorders>
              <w:top w:val="single" w:sz="4" w:space="0" w:color="auto"/>
              <w:left w:val="single" w:sz="4" w:space="0" w:color="auto"/>
              <w:bottom w:val="single" w:sz="4" w:space="0" w:color="auto"/>
              <w:right w:val="single" w:sz="4" w:space="0" w:color="auto"/>
            </w:tcBorders>
            <w:hideMark/>
          </w:tcPr>
          <w:p w14:paraId="5CBBA51E" w14:textId="77777777" w:rsidR="007E533A" w:rsidRPr="00F47241" w:rsidRDefault="007E533A" w:rsidP="000235D3">
            <w:pPr>
              <w:tabs>
                <w:tab w:val="clear" w:pos="284"/>
              </w:tabs>
              <w:rPr>
                <w:szCs w:val="22"/>
                <w:lang w:val="sr-Latn-ME"/>
              </w:rPr>
            </w:pPr>
            <w:r w:rsidRPr="00F47241">
              <w:rPr>
                <w:szCs w:val="22"/>
                <w:lang w:val="sr-Latn-ME"/>
              </w:rPr>
              <w:t>188,4</w:t>
            </w:r>
          </w:p>
        </w:tc>
        <w:tc>
          <w:tcPr>
            <w:tcW w:w="1559" w:type="dxa"/>
            <w:tcBorders>
              <w:top w:val="single" w:sz="4" w:space="0" w:color="auto"/>
              <w:left w:val="single" w:sz="4" w:space="0" w:color="auto"/>
              <w:bottom w:val="single" w:sz="4" w:space="0" w:color="auto"/>
              <w:right w:val="single" w:sz="4" w:space="0" w:color="auto"/>
            </w:tcBorders>
            <w:hideMark/>
          </w:tcPr>
          <w:p w14:paraId="25BA5760" w14:textId="77777777" w:rsidR="007E533A" w:rsidRPr="00F47241" w:rsidRDefault="007E533A" w:rsidP="000235D3">
            <w:pPr>
              <w:tabs>
                <w:tab w:val="clear" w:pos="284"/>
              </w:tabs>
              <w:rPr>
                <w:szCs w:val="22"/>
                <w:lang w:val="sr-Latn-ME"/>
              </w:rPr>
            </w:pPr>
            <w:r w:rsidRPr="00F47241">
              <w:rPr>
                <w:szCs w:val="22"/>
                <w:lang w:val="sr-Latn-ME"/>
              </w:rPr>
              <w:t>135,8</w:t>
            </w:r>
          </w:p>
        </w:tc>
        <w:tc>
          <w:tcPr>
            <w:tcW w:w="1522" w:type="dxa"/>
            <w:tcBorders>
              <w:top w:val="single" w:sz="4" w:space="0" w:color="auto"/>
              <w:left w:val="single" w:sz="4" w:space="0" w:color="auto"/>
              <w:bottom w:val="single" w:sz="4" w:space="0" w:color="auto"/>
              <w:right w:val="single" w:sz="4" w:space="0" w:color="auto"/>
            </w:tcBorders>
            <w:hideMark/>
          </w:tcPr>
          <w:p w14:paraId="78B6D1CB" w14:textId="77777777" w:rsidR="007E533A" w:rsidRPr="00F47241" w:rsidRDefault="007E533A" w:rsidP="000235D3">
            <w:pPr>
              <w:tabs>
                <w:tab w:val="clear" w:pos="284"/>
              </w:tabs>
              <w:rPr>
                <w:szCs w:val="22"/>
                <w:lang w:val="sr-Latn-ME"/>
              </w:rPr>
            </w:pPr>
            <w:r w:rsidRPr="00F47241">
              <w:rPr>
                <w:szCs w:val="22"/>
                <w:lang w:val="sr-Latn-ME"/>
              </w:rPr>
              <w:t>106,8</w:t>
            </w:r>
          </w:p>
        </w:tc>
        <w:tc>
          <w:tcPr>
            <w:tcW w:w="1455" w:type="dxa"/>
            <w:tcBorders>
              <w:top w:val="single" w:sz="4" w:space="0" w:color="auto"/>
              <w:left w:val="single" w:sz="4" w:space="0" w:color="auto"/>
              <w:bottom w:val="single" w:sz="4" w:space="0" w:color="auto"/>
              <w:right w:val="single" w:sz="4" w:space="0" w:color="auto"/>
            </w:tcBorders>
            <w:hideMark/>
          </w:tcPr>
          <w:p w14:paraId="189B435F" w14:textId="77777777" w:rsidR="007E533A" w:rsidRPr="00F47241" w:rsidRDefault="007E533A" w:rsidP="000235D3">
            <w:pPr>
              <w:tabs>
                <w:tab w:val="clear" w:pos="284"/>
              </w:tabs>
              <w:rPr>
                <w:szCs w:val="22"/>
                <w:lang w:val="sr-Latn-ME"/>
              </w:rPr>
            </w:pPr>
            <w:r w:rsidRPr="00F47241">
              <w:rPr>
                <w:szCs w:val="22"/>
                <w:lang w:val="sr-Latn-ME"/>
              </w:rPr>
              <w:t>73,7</w:t>
            </w:r>
          </w:p>
        </w:tc>
        <w:tc>
          <w:tcPr>
            <w:tcW w:w="1417" w:type="dxa"/>
            <w:tcBorders>
              <w:top w:val="single" w:sz="4" w:space="0" w:color="auto"/>
              <w:left w:val="single" w:sz="4" w:space="0" w:color="auto"/>
              <w:bottom w:val="single" w:sz="4" w:space="0" w:color="auto"/>
              <w:right w:val="single" w:sz="4" w:space="0" w:color="auto"/>
            </w:tcBorders>
            <w:hideMark/>
          </w:tcPr>
          <w:p w14:paraId="17745946" w14:textId="77777777" w:rsidR="007E533A" w:rsidRPr="00F47241" w:rsidRDefault="007E533A" w:rsidP="000235D3">
            <w:pPr>
              <w:tabs>
                <w:tab w:val="clear" w:pos="284"/>
              </w:tabs>
              <w:rPr>
                <w:szCs w:val="22"/>
                <w:lang w:val="sr-Latn-ME"/>
              </w:rPr>
            </w:pPr>
            <w:r w:rsidRPr="00F47241">
              <w:rPr>
                <w:szCs w:val="22"/>
                <w:lang w:val="sr-Latn-ME"/>
              </w:rPr>
              <w:t>45,6</w:t>
            </w:r>
          </w:p>
        </w:tc>
        <w:tc>
          <w:tcPr>
            <w:tcW w:w="2117" w:type="dxa"/>
            <w:tcBorders>
              <w:top w:val="single" w:sz="4" w:space="0" w:color="auto"/>
              <w:left w:val="single" w:sz="4" w:space="0" w:color="auto"/>
              <w:bottom w:val="single" w:sz="4" w:space="0" w:color="auto"/>
              <w:right w:val="single" w:sz="4" w:space="0" w:color="auto"/>
            </w:tcBorders>
            <w:hideMark/>
          </w:tcPr>
          <w:p w14:paraId="65918A06" w14:textId="77777777" w:rsidR="007E533A" w:rsidRPr="00F47241" w:rsidRDefault="007E533A" w:rsidP="000235D3">
            <w:pPr>
              <w:tabs>
                <w:tab w:val="clear" w:pos="284"/>
              </w:tabs>
              <w:rPr>
                <w:szCs w:val="22"/>
                <w:lang w:val="sr-Latn-ME"/>
              </w:rPr>
            </w:pPr>
            <w:r w:rsidRPr="00F47241">
              <w:rPr>
                <w:szCs w:val="22"/>
                <w:lang w:val="sr-Latn-ME"/>
              </w:rPr>
              <w:t>16,5</w:t>
            </w:r>
          </w:p>
        </w:tc>
      </w:tr>
    </w:tbl>
    <w:p w14:paraId="262BB805" w14:textId="77777777" w:rsidR="007E533A" w:rsidRPr="00F47241" w:rsidRDefault="007E533A" w:rsidP="007E533A">
      <w:pPr>
        <w:rPr>
          <w:szCs w:val="22"/>
          <w:lang w:val="sr-Latn-ME"/>
        </w:rPr>
      </w:pPr>
    </w:p>
    <w:p w14:paraId="763F5448" w14:textId="77777777" w:rsidR="007E533A" w:rsidRPr="00F47241" w:rsidRDefault="007E533A" w:rsidP="007E533A">
      <w:pPr>
        <w:rPr>
          <w:szCs w:val="22"/>
          <w:lang w:val="sr-Latn-ME"/>
        </w:rPr>
      </w:pPr>
      <w:r w:rsidRPr="00F47241">
        <w:rPr>
          <w:szCs w:val="22"/>
          <w:lang w:val="sr-Latn-ME"/>
        </w:rPr>
        <w:t>Cefazolin ima prosječni poluživot od 1,8 sati koji se može povećati i za 15 do 30 sati u slučajevima teške bubrežne disfunkcije te može biti veći u slučaju anurije.</w:t>
      </w:r>
    </w:p>
    <w:p w14:paraId="76913E65" w14:textId="77777777" w:rsidR="007E533A" w:rsidRPr="00F47241" w:rsidRDefault="007E533A" w:rsidP="007E533A">
      <w:pPr>
        <w:rPr>
          <w:szCs w:val="22"/>
          <w:lang w:val="sr-Latn-ME"/>
        </w:rPr>
      </w:pPr>
    </w:p>
    <w:p w14:paraId="3D13ACCA" w14:textId="77777777" w:rsidR="007E533A" w:rsidRPr="00F47241" w:rsidRDefault="007E533A" w:rsidP="007E533A">
      <w:pPr>
        <w:rPr>
          <w:szCs w:val="22"/>
          <w:lang w:val="sr-Latn-ME"/>
        </w:rPr>
      </w:pPr>
      <w:r w:rsidRPr="00F47241">
        <w:rPr>
          <w:szCs w:val="22"/>
          <w:lang w:val="sr-Latn-ME"/>
        </w:rPr>
        <w:t>Maksimalne koncentracije u plazmi su 63,6 mg/ml ti 188, 4 mg/ml koje se postižu nakon sat do dva kontinuirane intravenske infuzije pri dozi od 1 g. Poluživot je 100 minuta.</w:t>
      </w:r>
    </w:p>
    <w:p w14:paraId="36D8A437" w14:textId="77777777" w:rsidR="007E533A" w:rsidRPr="00F47241" w:rsidRDefault="007E533A" w:rsidP="007E533A">
      <w:pPr>
        <w:rPr>
          <w:szCs w:val="22"/>
          <w:lang w:val="sr-Latn-ME"/>
        </w:rPr>
      </w:pPr>
      <w:r w:rsidRPr="00F47241">
        <w:rPr>
          <w:szCs w:val="22"/>
          <w:lang w:val="sr-Latn-ME"/>
        </w:rPr>
        <w:lastRenderedPageBreak/>
        <w:t>Kad se cefazolin primjenjuje pacijentima bez opstrukcije žuči, koncentracije koje se javljaju u tkivu žučne kese i žuči daleko prevazilaze nivoe u serumu .</w:t>
      </w:r>
    </w:p>
    <w:p w14:paraId="30209BDC" w14:textId="77777777" w:rsidR="007E533A" w:rsidRPr="00F47241" w:rsidRDefault="007E533A" w:rsidP="007E533A">
      <w:pPr>
        <w:rPr>
          <w:szCs w:val="22"/>
          <w:lang w:val="sr-Latn-ME"/>
        </w:rPr>
      </w:pPr>
      <w:r w:rsidRPr="00F47241">
        <w:rPr>
          <w:szCs w:val="22"/>
          <w:lang w:val="sr-Latn-ME"/>
        </w:rPr>
        <w:t>Cefazolin lako prelazi placentarnu barijeru. Količine cefazolina u majčinom mlijeku su niske.</w:t>
      </w:r>
    </w:p>
    <w:p w14:paraId="6E082481" w14:textId="77777777" w:rsidR="007E533A" w:rsidRPr="00F47241" w:rsidRDefault="007E533A" w:rsidP="007E533A">
      <w:pPr>
        <w:rPr>
          <w:szCs w:val="22"/>
          <w:lang w:val="sr-Latn-ME"/>
        </w:rPr>
      </w:pPr>
      <w:r w:rsidRPr="00F47241">
        <w:rPr>
          <w:szCs w:val="22"/>
          <w:lang w:val="sr-Latn-ME"/>
        </w:rPr>
        <w:t>Stopa vezivanja za proteine je 85-90% za ljudski serum pod fiziološkim uslovima. Difuzija cefazolina u cerebrospinalnu tečnost je niska.</w:t>
      </w:r>
    </w:p>
    <w:p w14:paraId="496D640C" w14:textId="77777777" w:rsidR="007E533A" w:rsidRPr="00F47241" w:rsidRDefault="007E533A" w:rsidP="007E533A">
      <w:pPr>
        <w:rPr>
          <w:szCs w:val="22"/>
          <w:lang w:val="sr-Latn-ME"/>
        </w:rPr>
      </w:pPr>
    </w:p>
    <w:p w14:paraId="04A3EB84" w14:textId="77777777" w:rsidR="007E533A" w:rsidRPr="00F47241" w:rsidRDefault="007E533A" w:rsidP="007E533A">
      <w:pPr>
        <w:rPr>
          <w:i/>
          <w:szCs w:val="22"/>
          <w:lang w:val="sr-Latn-ME"/>
        </w:rPr>
      </w:pPr>
      <w:r w:rsidRPr="00F47241">
        <w:rPr>
          <w:i/>
          <w:szCs w:val="22"/>
          <w:lang w:val="sr-Latn-ME"/>
        </w:rPr>
        <w:t>Biotransformacija</w:t>
      </w:r>
    </w:p>
    <w:p w14:paraId="1F8EE18D" w14:textId="77777777" w:rsidR="007E533A" w:rsidRPr="00F47241" w:rsidRDefault="007E533A" w:rsidP="007E533A">
      <w:pPr>
        <w:rPr>
          <w:szCs w:val="22"/>
          <w:lang w:val="sr-Latn-ME"/>
        </w:rPr>
      </w:pPr>
      <w:r w:rsidRPr="00F47241">
        <w:rPr>
          <w:szCs w:val="22"/>
          <w:lang w:val="sr-Latn-ME"/>
        </w:rPr>
        <w:t>Cefazolin se ne metaboliše.</w:t>
      </w:r>
    </w:p>
    <w:p w14:paraId="476F9359" w14:textId="77777777" w:rsidR="007E533A" w:rsidRPr="00F47241" w:rsidRDefault="007E533A" w:rsidP="007E533A">
      <w:pPr>
        <w:rPr>
          <w:szCs w:val="22"/>
          <w:lang w:val="sr-Latn-ME"/>
        </w:rPr>
      </w:pPr>
    </w:p>
    <w:p w14:paraId="1E748EDB" w14:textId="77777777" w:rsidR="007E533A" w:rsidRPr="00F47241" w:rsidRDefault="007E533A" w:rsidP="007E533A">
      <w:pPr>
        <w:rPr>
          <w:i/>
          <w:szCs w:val="22"/>
          <w:lang w:val="sr-Latn-ME"/>
        </w:rPr>
      </w:pPr>
      <w:r w:rsidRPr="00F47241">
        <w:rPr>
          <w:i/>
          <w:szCs w:val="22"/>
          <w:lang w:val="sr-Latn-ME"/>
        </w:rPr>
        <w:t>Eliminacija</w:t>
      </w:r>
    </w:p>
    <w:p w14:paraId="78993302" w14:textId="77777777" w:rsidR="007E533A" w:rsidRPr="00F47241" w:rsidRDefault="007E533A" w:rsidP="007E533A">
      <w:pPr>
        <w:rPr>
          <w:szCs w:val="22"/>
          <w:lang w:val="sr-Latn-ME"/>
        </w:rPr>
      </w:pPr>
      <w:r w:rsidRPr="00F47241">
        <w:rPr>
          <w:szCs w:val="22"/>
          <w:lang w:val="sr-Latn-ME"/>
        </w:rPr>
        <w:t>Cefazolin se uglavnom izlučujen urinom, a mali procenat preko žuči. Nakon intramuskularne injekcije od 500 mg, 56 do 89% primijenjene doze eliminiše se putem bubrega u toku 6 sati i 80% do gotovo 100% u toku 24 sata. Nakon intramuskularne primjene 500 mg odnosno 1 g cefazolina, postižu se maksimalne koncentracije u urinu od više od 1000 odnosno više od 4000 μg/ml.</w:t>
      </w:r>
    </w:p>
    <w:p w14:paraId="2846D08F" w14:textId="77777777" w:rsidR="007E533A" w:rsidRPr="00F47241" w:rsidRDefault="007E533A" w:rsidP="007E533A">
      <w:pPr>
        <w:rPr>
          <w:szCs w:val="22"/>
          <w:lang w:val="sr-Latn-ME"/>
        </w:rPr>
      </w:pPr>
    </w:p>
    <w:p w14:paraId="3FBBC91A" w14:textId="77777777" w:rsidR="007E533A" w:rsidRPr="00F47241" w:rsidRDefault="007E533A" w:rsidP="007E533A">
      <w:pPr>
        <w:rPr>
          <w:b/>
          <w:bCs/>
          <w:szCs w:val="22"/>
          <w:lang w:val="sr-Latn-ME"/>
        </w:rPr>
      </w:pPr>
      <w:r w:rsidRPr="00F47241">
        <w:rPr>
          <w:b/>
          <w:bCs/>
          <w:szCs w:val="22"/>
          <w:lang w:val="sr-Latn-ME"/>
        </w:rPr>
        <w:t>5.3. Pretklinički podaci o bezbjednosti</w:t>
      </w:r>
    </w:p>
    <w:p w14:paraId="221ECB68" w14:textId="77777777" w:rsidR="007E533A" w:rsidRPr="00F47241" w:rsidRDefault="007E533A" w:rsidP="007E533A">
      <w:pPr>
        <w:rPr>
          <w:szCs w:val="22"/>
          <w:lang w:val="sr-Latn-ME"/>
        </w:rPr>
      </w:pPr>
    </w:p>
    <w:p w14:paraId="126E09E9" w14:textId="77777777" w:rsidR="007E533A" w:rsidRPr="00F47241" w:rsidRDefault="007E533A" w:rsidP="007E533A">
      <w:pPr>
        <w:rPr>
          <w:szCs w:val="22"/>
          <w:lang w:val="sr-Latn-ME"/>
        </w:rPr>
      </w:pPr>
      <w:r w:rsidRPr="00F47241">
        <w:rPr>
          <w:szCs w:val="22"/>
          <w:lang w:val="sr-Latn-ME"/>
        </w:rPr>
        <w:t xml:space="preserve">Akutna toksičnost cefazolina je mala. </w:t>
      </w:r>
    </w:p>
    <w:p w14:paraId="227EDACE" w14:textId="77777777" w:rsidR="007E533A" w:rsidRPr="00F47241" w:rsidRDefault="007E533A" w:rsidP="007E533A">
      <w:pPr>
        <w:rPr>
          <w:szCs w:val="22"/>
          <w:lang w:val="sr-Latn-ME"/>
        </w:rPr>
      </w:pPr>
      <w:r w:rsidRPr="00F47241">
        <w:rPr>
          <w:szCs w:val="22"/>
          <w:lang w:val="sr-Latn-ME"/>
        </w:rPr>
        <w:t xml:space="preserve">Ponovljena primjena cefazolina kod pasa i pacova u vidu različitih vrsta injekcije tokom 1 do 6 mjeseci nije pokazala značajne efekte na biohemijske i hematološke parametre. Renalna toksičnost je primjećena nakon primjene ponovljenih doza kod zečeva, ali ne i kod pasa i pacova. </w:t>
      </w:r>
    </w:p>
    <w:p w14:paraId="779CDC49" w14:textId="77777777" w:rsidR="007E533A" w:rsidRPr="00F47241" w:rsidRDefault="007E533A" w:rsidP="007E533A">
      <w:pPr>
        <w:rPr>
          <w:szCs w:val="22"/>
          <w:lang w:val="sr-Latn-ME"/>
        </w:rPr>
      </w:pPr>
      <w:r w:rsidRPr="00F47241">
        <w:rPr>
          <w:szCs w:val="22"/>
          <w:lang w:val="sr-Latn-ME"/>
        </w:rPr>
        <w:t xml:space="preserve">Cefazolin ne pokazuje teratogeno niti embriotoksično dejstvo. Nijesu sprovođene studije ispitivanja mutagenosti i karcinogenosti.  </w:t>
      </w:r>
    </w:p>
    <w:p w14:paraId="57BBD959" w14:textId="77777777" w:rsidR="007E533A" w:rsidRPr="00F47241" w:rsidRDefault="007E533A" w:rsidP="007E533A">
      <w:pPr>
        <w:pStyle w:val="NASLOV123"/>
        <w:spacing w:before="0" w:after="0"/>
        <w:jc w:val="both"/>
        <w:rPr>
          <w:lang w:val="sr-Latn-ME"/>
        </w:rPr>
      </w:pPr>
    </w:p>
    <w:p w14:paraId="5C8E1CD9" w14:textId="77777777" w:rsidR="007E533A" w:rsidRPr="00F47241" w:rsidRDefault="007E533A" w:rsidP="007E533A">
      <w:pPr>
        <w:pStyle w:val="NASLOV123"/>
        <w:spacing w:before="0" w:after="0"/>
        <w:jc w:val="both"/>
        <w:rPr>
          <w:lang w:val="sr-Latn-ME"/>
        </w:rPr>
      </w:pPr>
    </w:p>
    <w:p w14:paraId="52F591CA" w14:textId="77777777" w:rsidR="007E533A" w:rsidRPr="00F47241" w:rsidRDefault="007E533A" w:rsidP="007E533A">
      <w:pPr>
        <w:pStyle w:val="NASLOV123"/>
        <w:spacing w:before="0" w:after="0"/>
        <w:jc w:val="both"/>
        <w:rPr>
          <w:lang w:val="sr-Latn-ME"/>
        </w:rPr>
      </w:pPr>
      <w:r w:rsidRPr="00F47241">
        <w:rPr>
          <w:lang w:val="sr-Latn-ME"/>
        </w:rPr>
        <w:t>6. FARMACEUTSKI PODACI</w:t>
      </w:r>
    </w:p>
    <w:p w14:paraId="31E6CDDF" w14:textId="77777777" w:rsidR="007E533A" w:rsidRPr="00F47241" w:rsidRDefault="007E533A" w:rsidP="007E533A">
      <w:pPr>
        <w:rPr>
          <w:b/>
          <w:bCs/>
          <w:szCs w:val="22"/>
          <w:lang w:val="sr-Latn-ME"/>
        </w:rPr>
      </w:pPr>
    </w:p>
    <w:p w14:paraId="7E74B588" w14:textId="77777777" w:rsidR="007E533A" w:rsidRPr="00F47241" w:rsidRDefault="007E533A" w:rsidP="007E533A">
      <w:pPr>
        <w:rPr>
          <w:b/>
          <w:bCs/>
          <w:szCs w:val="22"/>
          <w:lang w:val="sr-Latn-ME"/>
        </w:rPr>
      </w:pPr>
      <w:r w:rsidRPr="00F47241">
        <w:rPr>
          <w:b/>
          <w:bCs/>
          <w:szCs w:val="22"/>
          <w:lang w:val="sr-Latn-ME"/>
        </w:rPr>
        <w:t>6.1. Lista pomoćnih supstanci (ekscipijenasa)</w:t>
      </w:r>
    </w:p>
    <w:p w14:paraId="5E651439" w14:textId="77777777" w:rsidR="007E533A" w:rsidRPr="00F47241" w:rsidRDefault="007E533A" w:rsidP="007E533A">
      <w:pPr>
        <w:rPr>
          <w:szCs w:val="22"/>
          <w:lang w:val="sr-Latn-ME"/>
        </w:rPr>
      </w:pPr>
    </w:p>
    <w:p w14:paraId="66C5A53F" w14:textId="77777777" w:rsidR="007E533A" w:rsidRPr="00F47241" w:rsidRDefault="007E533A" w:rsidP="007E533A">
      <w:pPr>
        <w:rPr>
          <w:szCs w:val="22"/>
          <w:lang w:val="sr-Latn-ME"/>
        </w:rPr>
      </w:pPr>
      <w:r w:rsidRPr="00F47241">
        <w:rPr>
          <w:szCs w:val="22"/>
          <w:lang w:val="sr-Latn-ME"/>
        </w:rPr>
        <w:t>Lijek ne sadrži pomoćne supstance.</w:t>
      </w:r>
    </w:p>
    <w:p w14:paraId="47615A39" w14:textId="77777777" w:rsidR="007E533A" w:rsidRPr="00F47241" w:rsidRDefault="007E533A" w:rsidP="007E533A">
      <w:pPr>
        <w:rPr>
          <w:szCs w:val="22"/>
          <w:lang w:val="sr-Latn-ME"/>
        </w:rPr>
      </w:pPr>
    </w:p>
    <w:p w14:paraId="7CCF0B9A" w14:textId="77777777" w:rsidR="007E533A" w:rsidRPr="00F47241" w:rsidRDefault="007E533A" w:rsidP="007E533A">
      <w:pPr>
        <w:rPr>
          <w:b/>
          <w:bCs/>
          <w:szCs w:val="22"/>
          <w:lang w:val="sr-Latn-ME"/>
        </w:rPr>
      </w:pPr>
      <w:r w:rsidRPr="00F47241">
        <w:rPr>
          <w:b/>
          <w:bCs/>
          <w:szCs w:val="22"/>
          <w:lang w:val="sr-Latn-ME"/>
        </w:rPr>
        <w:t>6.2. Inkompatibilnosti</w:t>
      </w:r>
    </w:p>
    <w:p w14:paraId="2DFD1D6A" w14:textId="77777777" w:rsidR="007E533A" w:rsidRPr="00F47241" w:rsidRDefault="007E533A" w:rsidP="007E533A">
      <w:pPr>
        <w:rPr>
          <w:szCs w:val="22"/>
          <w:lang w:val="sr-Latn-ME"/>
        </w:rPr>
      </w:pPr>
    </w:p>
    <w:p w14:paraId="625E38C2" w14:textId="77777777" w:rsidR="007E533A" w:rsidRPr="00F47241" w:rsidRDefault="007E533A" w:rsidP="007E533A">
      <w:pPr>
        <w:rPr>
          <w:szCs w:val="22"/>
          <w:lang w:val="sr-Latn-ME"/>
        </w:rPr>
      </w:pPr>
      <w:r w:rsidRPr="00F47241">
        <w:rPr>
          <w:szCs w:val="22"/>
          <w:lang w:val="sr-Latn-ME"/>
        </w:rPr>
        <w:t xml:space="preserve">Lijek se ne smije miješati sa drugim ljekovima, osim sa onima koji su navedeni u dijelu 6.6. </w:t>
      </w:r>
    </w:p>
    <w:p w14:paraId="53B44EBB" w14:textId="77777777" w:rsidR="007E533A" w:rsidRPr="00F47241" w:rsidRDefault="007E533A" w:rsidP="007E533A">
      <w:pPr>
        <w:rPr>
          <w:szCs w:val="22"/>
          <w:lang w:val="sr-Latn-ME"/>
        </w:rPr>
      </w:pPr>
    </w:p>
    <w:p w14:paraId="473D371F" w14:textId="77777777" w:rsidR="007E533A" w:rsidRPr="00F47241" w:rsidRDefault="007E533A" w:rsidP="007E533A">
      <w:pPr>
        <w:rPr>
          <w:b/>
          <w:bCs/>
          <w:szCs w:val="22"/>
          <w:lang w:val="sr-Latn-ME"/>
        </w:rPr>
      </w:pPr>
      <w:r w:rsidRPr="00F47241">
        <w:rPr>
          <w:b/>
          <w:bCs/>
          <w:szCs w:val="22"/>
          <w:lang w:val="sr-Latn-ME"/>
        </w:rPr>
        <w:t>6.3. Rok upotrebe</w:t>
      </w:r>
    </w:p>
    <w:p w14:paraId="12787C47" w14:textId="77777777" w:rsidR="007E533A" w:rsidRPr="00F47241" w:rsidRDefault="007E533A" w:rsidP="007E533A">
      <w:pPr>
        <w:rPr>
          <w:szCs w:val="22"/>
          <w:u w:val="single"/>
          <w:lang w:val="sr-Latn-ME"/>
        </w:rPr>
      </w:pPr>
    </w:p>
    <w:p w14:paraId="3344655E" w14:textId="77777777" w:rsidR="007E533A" w:rsidRPr="00F47241" w:rsidRDefault="007E533A" w:rsidP="007E533A">
      <w:pPr>
        <w:rPr>
          <w:szCs w:val="22"/>
          <w:lang w:val="sr-Latn-ME"/>
        </w:rPr>
      </w:pPr>
      <w:r w:rsidRPr="00F47241">
        <w:rPr>
          <w:szCs w:val="22"/>
          <w:lang w:val="sr-Latn-ME"/>
        </w:rPr>
        <w:t>Rok upotrebe prije otvaranja bočice: 2 godine.</w:t>
      </w:r>
    </w:p>
    <w:p w14:paraId="61F19C1E" w14:textId="77777777" w:rsidR="007E533A" w:rsidRPr="00F47241" w:rsidRDefault="007E533A" w:rsidP="007E533A">
      <w:pPr>
        <w:rPr>
          <w:szCs w:val="22"/>
          <w:lang w:val="sr-Latn-ME"/>
        </w:rPr>
      </w:pPr>
    </w:p>
    <w:p w14:paraId="0CFF03FE" w14:textId="77777777" w:rsidR="007E533A" w:rsidRPr="00F47241" w:rsidRDefault="007E533A" w:rsidP="007E533A">
      <w:pPr>
        <w:rPr>
          <w:szCs w:val="22"/>
          <w:lang w:val="sr-Latn-ME"/>
        </w:rPr>
      </w:pPr>
      <w:r w:rsidRPr="00F47241">
        <w:rPr>
          <w:szCs w:val="22"/>
          <w:lang w:val="sr-Latn-ME"/>
        </w:rPr>
        <w:t xml:space="preserve">Rok upotrebe nakon rekonstitucije/razblaženja: </w:t>
      </w:r>
    </w:p>
    <w:p w14:paraId="2E48D9A0" w14:textId="77777777" w:rsidR="007E533A" w:rsidRPr="00F47241" w:rsidRDefault="007E533A" w:rsidP="007E533A">
      <w:pPr>
        <w:rPr>
          <w:szCs w:val="22"/>
          <w:lang w:val="sr-Latn-ME"/>
        </w:rPr>
      </w:pPr>
      <w:r w:rsidRPr="00F47241">
        <w:rPr>
          <w:szCs w:val="22"/>
          <w:lang w:val="sr-Latn-ME"/>
        </w:rPr>
        <w:t>Dokazana je hemijska i fizička stabilnost kod primjene do 12 sati na temperaturi do 25°C i do 14 sati na temperaturi od 2°C do 8 °C.</w:t>
      </w:r>
    </w:p>
    <w:p w14:paraId="3BD1AB5D" w14:textId="77777777" w:rsidR="007E533A" w:rsidRPr="00F47241" w:rsidRDefault="007E533A" w:rsidP="007E533A">
      <w:pPr>
        <w:rPr>
          <w:szCs w:val="22"/>
          <w:lang w:val="sr-Latn-ME"/>
        </w:rPr>
      </w:pPr>
      <w:bookmarkStart w:id="0" w:name="_Hlk151470107"/>
      <w:r w:rsidRPr="00F47241">
        <w:rPr>
          <w:szCs w:val="22"/>
          <w:lang w:val="sr-Latn-ME"/>
        </w:rPr>
        <w:t>Sa mikrobiološke tačke gledišta, pripremljeni rastvor treba upotrijebiti odmah osim ako metoda otvaranja/rekonstitucije/razblaženja isključuje rizik od mikrobiološkog onečišćenja. Ukoliko se ne upotrijebi odmah, vrijeme i uslovi čuvanja prije upotrebe su odgovornost korisnika i ne bi smjeli biti duži od prethodno navedenih vremena za hemijsku i fizičku stabilnost tokom primjene.</w:t>
      </w:r>
    </w:p>
    <w:bookmarkEnd w:id="0"/>
    <w:p w14:paraId="75A7D943" w14:textId="77777777" w:rsidR="007E533A" w:rsidRPr="00F47241" w:rsidRDefault="007E533A" w:rsidP="007E533A">
      <w:pPr>
        <w:rPr>
          <w:szCs w:val="22"/>
          <w:lang w:val="sr-Latn-ME"/>
        </w:rPr>
      </w:pPr>
    </w:p>
    <w:p w14:paraId="4346CE4F" w14:textId="77777777" w:rsidR="007E533A" w:rsidRPr="00F47241" w:rsidRDefault="007E533A" w:rsidP="007E533A">
      <w:pPr>
        <w:rPr>
          <w:b/>
          <w:bCs/>
          <w:szCs w:val="22"/>
          <w:lang w:val="sr-Latn-ME"/>
        </w:rPr>
      </w:pPr>
      <w:r w:rsidRPr="00F47241">
        <w:rPr>
          <w:b/>
          <w:bCs/>
          <w:szCs w:val="22"/>
          <w:lang w:val="sr-Latn-ME"/>
        </w:rPr>
        <w:t>6.4. Posebne mjere upozorenja pri čuvanju lijeka</w:t>
      </w:r>
    </w:p>
    <w:p w14:paraId="0E6586FE" w14:textId="77777777" w:rsidR="007E533A" w:rsidRPr="00F47241" w:rsidRDefault="007E533A" w:rsidP="007E533A">
      <w:pPr>
        <w:rPr>
          <w:szCs w:val="22"/>
          <w:lang w:val="sr-Latn-ME"/>
        </w:rPr>
      </w:pPr>
    </w:p>
    <w:p w14:paraId="67F86D07" w14:textId="77777777" w:rsidR="007E533A" w:rsidRPr="00F47241" w:rsidRDefault="007E533A" w:rsidP="007E533A">
      <w:pPr>
        <w:rPr>
          <w:szCs w:val="22"/>
          <w:lang w:val="sr-Latn-ME"/>
        </w:rPr>
      </w:pPr>
      <w:r w:rsidRPr="00F47241">
        <w:rPr>
          <w:szCs w:val="22"/>
          <w:lang w:val="sr-Latn-ME"/>
        </w:rPr>
        <w:t>Lijek ne zahtijeva posebne uslove čuvanja. Za uslove čuvanja nakon rekonstitucije/razblaženja lijeka, pogledati dio 6.3.</w:t>
      </w:r>
      <w:r w:rsidRPr="00F47241">
        <w:rPr>
          <w:szCs w:val="22"/>
          <w:lang w:val="sr-Latn-ME"/>
        </w:rPr>
        <w:tab/>
      </w:r>
    </w:p>
    <w:p w14:paraId="407B8C92" w14:textId="77777777" w:rsidR="007E533A" w:rsidRPr="00F47241" w:rsidRDefault="007E533A" w:rsidP="007E533A">
      <w:pPr>
        <w:rPr>
          <w:szCs w:val="22"/>
          <w:lang w:val="sr-Latn-ME"/>
        </w:rPr>
      </w:pPr>
    </w:p>
    <w:p w14:paraId="5ECC8D83" w14:textId="77777777" w:rsidR="007E533A" w:rsidRPr="00F47241" w:rsidRDefault="007E533A" w:rsidP="007E533A">
      <w:pPr>
        <w:rPr>
          <w:b/>
          <w:bCs/>
          <w:szCs w:val="22"/>
          <w:lang w:val="sr-Latn-ME"/>
        </w:rPr>
      </w:pPr>
      <w:r w:rsidRPr="00F47241">
        <w:rPr>
          <w:b/>
          <w:bCs/>
          <w:szCs w:val="22"/>
          <w:lang w:val="sr-Latn-ME"/>
        </w:rPr>
        <w:t xml:space="preserve">6.5. Vrsta i sadržaj pakovanja </w:t>
      </w:r>
    </w:p>
    <w:p w14:paraId="685DB793" w14:textId="77777777" w:rsidR="007E533A" w:rsidRPr="00F47241" w:rsidRDefault="007E533A" w:rsidP="007E533A">
      <w:pPr>
        <w:rPr>
          <w:b/>
          <w:bCs/>
          <w:szCs w:val="22"/>
          <w:lang w:val="sr-Latn-ME"/>
        </w:rPr>
      </w:pPr>
    </w:p>
    <w:p w14:paraId="6E586C33" w14:textId="77777777" w:rsidR="007E533A" w:rsidRPr="00F47241" w:rsidRDefault="007E533A" w:rsidP="007E533A">
      <w:pPr>
        <w:rPr>
          <w:bCs/>
          <w:szCs w:val="22"/>
          <w:lang w:val="sr-Latn-ME"/>
        </w:rPr>
      </w:pPr>
      <w:r w:rsidRPr="00F47241">
        <w:rPr>
          <w:bCs/>
          <w:szCs w:val="22"/>
          <w:lang w:val="sr-Latn-ME"/>
        </w:rPr>
        <w:t>Unutrašnje pakovanje je bočica od stakla hidrolitičke otpornosti tipa II sa 20 mm zatvaračem od filmom obložene butil gume i zatvorena aluminijumsko-plastičnom kombinovanom kapicom.</w:t>
      </w:r>
    </w:p>
    <w:p w14:paraId="513BCCA6" w14:textId="77777777" w:rsidR="007E533A" w:rsidRPr="00F47241" w:rsidRDefault="007E533A" w:rsidP="007E533A">
      <w:pPr>
        <w:rPr>
          <w:bCs/>
          <w:szCs w:val="22"/>
          <w:lang w:val="sr-Latn-ME"/>
        </w:rPr>
      </w:pPr>
    </w:p>
    <w:p w14:paraId="7E26DA56" w14:textId="77777777" w:rsidR="007E533A" w:rsidRPr="00F47241" w:rsidRDefault="007E533A" w:rsidP="007E533A">
      <w:pPr>
        <w:rPr>
          <w:b/>
          <w:bCs/>
          <w:szCs w:val="22"/>
          <w:lang w:val="sr-Latn-ME"/>
        </w:rPr>
      </w:pPr>
      <w:r w:rsidRPr="00F47241">
        <w:rPr>
          <w:bCs/>
          <w:szCs w:val="22"/>
          <w:lang w:val="sr-Latn-ME"/>
        </w:rPr>
        <w:t>Spoljašnje pakovanje je složiva kartonska kutija u kojoj se nalazi 100 bočica sa po 1 g praška za rastvor za injekciju/infuziju (100 x 1 g) i Uputstvo za lijek.</w:t>
      </w:r>
    </w:p>
    <w:p w14:paraId="339313DF" w14:textId="77777777" w:rsidR="007E533A" w:rsidRPr="00F47241" w:rsidRDefault="007E533A" w:rsidP="007E533A">
      <w:pPr>
        <w:rPr>
          <w:szCs w:val="22"/>
          <w:lang w:val="sr-Latn-ME"/>
        </w:rPr>
      </w:pPr>
    </w:p>
    <w:p w14:paraId="2C6E2AF4" w14:textId="77777777" w:rsidR="007E533A" w:rsidRPr="00F47241" w:rsidRDefault="007E533A" w:rsidP="007E533A">
      <w:pPr>
        <w:rPr>
          <w:b/>
          <w:bCs/>
          <w:szCs w:val="22"/>
          <w:lang w:val="sr-Latn-ME"/>
        </w:rPr>
      </w:pPr>
      <w:r w:rsidRPr="00F47241">
        <w:rPr>
          <w:b/>
          <w:bCs/>
          <w:szCs w:val="22"/>
          <w:lang w:val="sr-Latn-ME"/>
        </w:rPr>
        <w:t>6.6. Posebne mere opreza pri odlaganju materijala koji treba odbaciti nakon primene lijeka (i druga uputstva za rukovanje lijekom)</w:t>
      </w:r>
    </w:p>
    <w:p w14:paraId="19729D6C" w14:textId="77777777" w:rsidR="007E533A" w:rsidRPr="00F47241" w:rsidRDefault="007E533A" w:rsidP="007E533A">
      <w:pPr>
        <w:rPr>
          <w:szCs w:val="22"/>
          <w:lang w:val="sr-Latn-ME"/>
        </w:rPr>
      </w:pPr>
    </w:p>
    <w:p w14:paraId="5D0DF659" w14:textId="77777777" w:rsidR="007E533A" w:rsidRPr="00F47241" w:rsidRDefault="007E533A" w:rsidP="007E533A">
      <w:pPr>
        <w:rPr>
          <w:bCs/>
          <w:szCs w:val="22"/>
          <w:lang w:val="sr-Latn-ME"/>
        </w:rPr>
      </w:pPr>
      <w:r w:rsidRPr="00F47241">
        <w:rPr>
          <w:bCs/>
          <w:szCs w:val="22"/>
          <w:lang w:val="sr-Latn-ME"/>
        </w:rPr>
        <w:t>Lijek Cefazolina Qilu je sterilni prašak i mora biti rekonstituisan neposredno prije upotrebe. Zapremina rastvarača koji se koristi za rastvaranje zavisi od načina primjene.</w:t>
      </w:r>
    </w:p>
    <w:p w14:paraId="7BB0A46C" w14:textId="77777777" w:rsidR="007E533A" w:rsidRPr="00F47241" w:rsidRDefault="007E533A" w:rsidP="007E533A">
      <w:pPr>
        <w:rPr>
          <w:bCs/>
          <w:szCs w:val="22"/>
          <w:lang w:val="sr-Latn-ME"/>
        </w:rPr>
      </w:pPr>
    </w:p>
    <w:p w14:paraId="42A0B93F" w14:textId="77777777" w:rsidR="007E533A" w:rsidRPr="00F47241" w:rsidRDefault="007E533A" w:rsidP="007E533A">
      <w:pPr>
        <w:rPr>
          <w:lang w:val="sr-Latn-ME"/>
        </w:rPr>
      </w:pPr>
      <w:r w:rsidRPr="00F47241">
        <w:rPr>
          <w:lang w:val="sr-Latn-ME"/>
        </w:rPr>
        <w:t>Nakon dodavanja rastvarača za rastvaranje, dobro protresti bočicu dok se sav prašak ne rastvori.</w:t>
      </w:r>
    </w:p>
    <w:p w14:paraId="2AEF8306" w14:textId="77777777" w:rsidR="007E533A" w:rsidRPr="00F47241" w:rsidRDefault="007E533A" w:rsidP="007E533A">
      <w:pPr>
        <w:rPr>
          <w:lang w:val="sr-Latn-ME"/>
        </w:rPr>
      </w:pPr>
      <w:r w:rsidRPr="00F47241">
        <w:rPr>
          <w:lang w:val="sr-Latn-ME"/>
        </w:rPr>
        <w:t>Rastvor mora biti vizuelno pregledan prije upotrebe. Samo potpuno čisti rastvori bez čestica smiju biti primijenjeni.</w:t>
      </w:r>
    </w:p>
    <w:p w14:paraId="41824E8D" w14:textId="77777777" w:rsidR="007E533A" w:rsidRPr="00F47241" w:rsidRDefault="007E533A" w:rsidP="007E533A">
      <w:pPr>
        <w:rPr>
          <w:lang w:val="sr-Latn-ME"/>
        </w:rPr>
      </w:pPr>
    </w:p>
    <w:p w14:paraId="3F0C5B1A" w14:textId="77777777" w:rsidR="007E533A" w:rsidRPr="00F47241" w:rsidRDefault="007E533A" w:rsidP="007E533A">
      <w:pPr>
        <w:rPr>
          <w:bCs/>
          <w:szCs w:val="22"/>
          <w:lang w:val="sr-Latn-ME"/>
        </w:rPr>
      </w:pPr>
      <w:r w:rsidRPr="00F47241">
        <w:rPr>
          <w:bCs/>
          <w:szCs w:val="22"/>
          <w:lang w:val="sr-Latn-ME"/>
        </w:rPr>
        <w:t>Rastvor lijeka Cefazolina Qilu priprema se neposredno prije primjene injekcije.</w:t>
      </w:r>
    </w:p>
    <w:p w14:paraId="580FD327" w14:textId="77777777" w:rsidR="007E533A" w:rsidRPr="00F47241" w:rsidRDefault="007E533A" w:rsidP="007E533A">
      <w:pPr>
        <w:rPr>
          <w:bCs/>
          <w:szCs w:val="22"/>
          <w:lang w:val="sr-Latn-ME"/>
        </w:rPr>
      </w:pPr>
    </w:p>
    <w:p w14:paraId="72246FC8" w14:textId="77777777" w:rsidR="007E533A" w:rsidRPr="00F47241" w:rsidRDefault="007E533A" w:rsidP="007E533A">
      <w:pPr>
        <w:rPr>
          <w:bCs/>
          <w:szCs w:val="22"/>
          <w:lang w:val="sr-Latn-ME"/>
        </w:rPr>
      </w:pPr>
      <w:r w:rsidRPr="00F47241">
        <w:rPr>
          <w:bCs/>
          <w:szCs w:val="22"/>
          <w:lang w:val="sr-Latn-ME"/>
        </w:rPr>
        <w:t>Neupotrijebljeni lijek ili otpadni materijal se uništava u skladu sa važećim propisima.</w:t>
      </w:r>
    </w:p>
    <w:p w14:paraId="7AE14C15" w14:textId="77777777" w:rsidR="007E533A" w:rsidRPr="00F47241" w:rsidRDefault="007E533A" w:rsidP="007E533A">
      <w:pPr>
        <w:rPr>
          <w:szCs w:val="22"/>
          <w:u w:val="single"/>
          <w:lang w:val="sr-Latn-ME"/>
        </w:rPr>
      </w:pPr>
    </w:p>
    <w:p w14:paraId="3030A85B" w14:textId="77777777" w:rsidR="007E533A" w:rsidRPr="00F47241" w:rsidRDefault="007E533A" w:rsidP="007E533A">
      <w:pPr>
        <w:rPr>
          <w:bCs/>
          <w:iCs/>
          <w:szCs w:val="22"/>
          <w:u w:val="single"/>
          <w:lang w:val="sr-Latn-ME"/>
        </w:rPr>
      </w:pPr>
      <w:r w:rsidRPr="00F47241">
        <w:rPr>
          <w:bCs/>
          <w:iCs/>
          <w:szCs w:val="22"/>
          <w:u w:val="single"/>
          <w:lang w:val="sr-Latn-ME"/>
        </w:rPr>
        <w:t>Intramuskularna injekcija</w:t>
      </w:r>
    </w:p>
    <w:p w14:paraId="55B78618" w14:textId="77777777" w:rsidR="007E533A" w:rsidRPr="00F47241" w:rsidRDefault="007E533A" w:rsidP="007E533A">
      <w:pPr>
        <w:rPr>
          <w:szCs w:val="22"/>
          <w:lang w:val="sr-Latn-ME"/>
        </w:rPr>
      </w:pPr>
      <w:r w:rsidRPr="00F47241">
        <w:rPr>
          <w:szCs w:val="22"/>
          <w:lang w:val="sr-Latn-ME"/>
        </w:rPr>
        <w:t xml:space="preserve">Rastvor za intramuskularnu primjenu se priprema tako što se sadržaj bočice (prašak) rastvori u 2,5 ml vode za injekcije (otprilike 330 mg/ml) ili u 4ml 0,5% rastvora lidokaina (otprilike 250 mg/ml). Protresite bočicu do potpunog rastvaranja i primijeniti dubokom intramuskularnom injekcijom. </w:t>
      </w:r>
    </w:p>
    <w:p w14:paraId="7CA03B27" w14:textId="77777777" w:rsidR="007E533A" w:rsidRPr="00F47241" w:rsidRDefault="007E533A" w:rsidP="007E533A">
      <w:pPr>
        <w:rPr>
          <w:bCs/>
          <w:szCs w:val="22"/>
          <w:lang w:val="sr-Latn-ME"/>
        </w:rPr>
      </w:pPr>
    </w:p>
    <w:p w14:paraId="2A0A51B6" w14:textId="77777777" w:rsidR="007E533A" w:rsidRPr="00F47241" w:rsidRDefault="007E533A" w:rsidP="007E533A">
      <w:pPr>
        <w:rPr>
          <w:bCs/>
          <w:iCs/>
          <w:szCs w:val="22"/>
          <w:u w:val="single"/>
          <w:lang w:val="sr-Latn-ME"/>
        </w:rPr>
      </w:pPr>
      <w:r w:rsidRPr="00F47241">
        <w:rPr>
          <w:bCs/>
          <w:iCs/>
          <w:szCs w:val="22"/>
          <w:u w:val="single"/>
          <w:lang w:val="sr-Latn-ME"/>
        </w:rPr>
        <w:t>Intravenska primjena</w:t>
      </w:r>
    </w:p>
    <w:p w14:paraId="68ED8769" w14:textId="77777777" w:rsidR="007E533A" w:rsidRPr="00F47241" w:rsidRDefault="007E533A" w:rsidP="007E533A">
      <w:pPr>
        <w:rPr>
          <w:szCs w:val="22"/>
          <w:u w:val="single"/>
          <w:lang w:val="sr-Latn-ME"/>
        </w:rPr>
      </w:pPr>
      <w:r w:rsidRPr="00F47241">
        <w:rPr>
          <w:szCs w:val="22"/>
          <w:u w:val="single"/>
          <w:lang w:val="sr-Latn-ME"/>
        </w:rPr>
        <w:t>Intravenska injekcija</w:t>
      </w:r>
    </w:p>
    <w:p w14:paraId="7B70AE3E" w14:textId="77777777" w:rsidR="007E533A" w:rsidRPr="00F47241" w:rsidRDefault="007E533A" w:rsidP="007E533A">
      <w:pPr>
        <w:rPr>
          <w:szCs w:val="22"/>
          <w:lang w:val="sr-Latn-ME"/>
        </w:rPr>
      </w:pPr>
      <w:r w:rsidRPr="00F47241">
        <w:rPr>
          <w:szCs w:val="22"/>
          <w:lang w:val="sr-Latn-ME"/>
        </w:rPr>
        <w:t>Primijeniti sporo, direktno u venu ili u liniju intravenske infuzije, tokom 3-5 minuta (ni u kom slučaju primjena ne smije biti kraća od 3 minute).</w:t>
      </w:r>
    </w:p>
    <w:p w14:paraId="2CD97E54" w14:textId="77777777" w:rsidR="007E533A" w:rsidRPr="00F47241" w:rsidRDefault="007E533A" w:rsidP="007E533A">
      <w:pPr>
        <w:rPr>
          <w:szCs w:val="22"/>
          <w:lang w:val="sr-Latn-ME"/>
        </w:rPr>
      </w:pPr>
    </w:p>
    <w:p w14:paraId="2ED03575" w14:textId="77777777" w:rsidR="007E533A" w:rsidRPr="00F47241" w:rsidRDefault="007E533A" w:rsidP="007E533A">
      <w:pPr>
        <w:rPr>
          <w:szCs w:val="22"/>
          <w:lang w:val="sr-Latn-ME"/>
        </w:rPr>
      </w:pPr>
      <w:r w:rsidRPr="00F47241">
        <w:rPr>
          <w:szCs w:val="22"/>
          <w:lang w:val="sr-Latn-ME"/>
        </w:rPr>
        <w:t>Tabela za rekonstituciju za intravensku injekciju</w:t>
      </w:r>
    </w:p>
    <w:tbl>
      <w:tblPr>
        <w:tblStyle w:val="TableGrid"/>
        <w:tblW w:w="0" w:type="auto"/>
        <w:tblLook w:val="04A0" w:firstRow="1" w:lastRow="0" w:firstColumn="1" w:lastColumn="0" w:noHBand="0" w:noVBand="1"/>
      </w:tblPr>
      <w:tblGrid>
        <w:gridCol w:w="3209"/>
        <w:gridCol w:w="3210"/>
        <w:gridCol w:w="3210"/>
      </w:tblGrid>
      <w:tr w:rsidR="007E533A" w:rsidRPr="00F47241" w14:paraId="4F853390" w14:textId="77777777" w:rsidTr="000235D3">
        <w:tc>
          <w:tcPr>
            <w:tcW w:w="3209" w:type="dxa"/>
          </w:tcPr>
          <w:p w14:paraId="049F9449" w14:textId="77777777" w:rsidR="007E533A" w:rsidRPr="00F47241" w:rsidRDefault="007E533A" w:rsidP="000235D3">
            <w:pPr>
              <w:rPr>
                <w:szCs w:val="22"/>
                <w:lang w:val="sr-Latn-ME"/>
              </w:rPr>
            </w:pPr>
            <w:r w:rsidRPr="00F47241">
              <w:rPr>
                <w:szCs w:val="22"/>
                <w:lang w:val="sr-Latn-ME"/>
              </w:rPr>
              <w:t>Sadržaj po bočici</w:t>
            </w:r>
          </w:p>
        </w:tc>
        <w:tc>
          <w:tcPr>
            <w:tcW w:w="3210" w:type="dxa"/>
          </w:tcPr>
          <w:p w14:paraId="790872A2" w14:textId="77777777" w:rsidR="007E533A" w:rsidRPr="00F47241" w:rsidRDefault="007E533A" w:rsidP="000235D3">
            <w:pPr>
              <w:rPr>
                <w:szCs w:val="22"/>
                <w:lang w:val="sr-Latn-ME"/>
              </w:rPr>
            </w:pPr>
            <w:r w:rsidRPr="00F47241">
              <w:rPr>
                <w:szCs w:val="22"/>
                <w:lang w:val="sr-Latn-ME"/>
              </w:rPr>
              <w:t>Minimalna količina rastvarača koja treba da se doda</w:t>
            </w:r>
          </w:p>
        </w:tc>
        <w:tc>
          <w:tcPr>
            <w:tcW w:w="3210" w:type="dxa"/>
          </w:tcPr>
          <w:p w14:paraId="5422A0F2" w14:textId="77777777" w:rsidR="007E533A" w:rsidRPr="00F47241" w:rsidRDefault="007E533A" w:rsidP="000235D3">
            <w:pPr>
              <w:rPr>
                <w:szCs w:val="22"/>
                <w:lang w:val="sr-Latn-ME"/>
              </w:rPr>
            </w:pPr>
            <w:r w:rsidRPr="00F47241">
              <w:rPr>
                <w:szCs w:val="22"/>
                <w:lang w:val="sr-Latn-ME"/>
              </w:rPr>
              <w:t>Približna koncetracija</w:t>
            </w:r>
          </w:p>
        </w:tc>
      </w:tr>
      <w:tr w:rsidR="007E533A" w:rsidRPr="00F47241" w14:paraId="5321F614" w14:textId="77777777" w:rsidTr="000235D3">
        <w:tc>
          <w:tcPr>
            <w:tcW w:w="3209" w:type="dxa"/>
          </w:tcPr>
          <w:p w14:paraId="4417F860" w14:textId="77777777" w:rsidR="007E533A" w:rsidRPr="00F47241" w:rsidRDefault="007E533A" w:rsidP="000235D3">
            <w:pPr>
              <w:rPr>
                <w:szCs w:val="22"/>
                <w:lang w:val="sr-Latn-ME"/>
              </w:rPr>
            </w:pPr>
            <w:r w:rsidRPr="00F47241">
              <w:rPr>
                <w:szCs w:val="22"/>
                <w:lang w:val="sr-Latn-ME"/>
              </w:rPr>
              <w:t>1g</w:t>
            </w:r>
          </w:p>
        </w:tc>
        <w:tc>
          <w:tcPr>
            <w:tcW w:w="3210" w:type="dxa"/>
          </w:tcPr>
          <w:p w14:paraId="66A04547" w14:textId="77777777" w:rsidR="007E533A" w:rsidRPr="00F47241" w:rsidRDefault="007E533A" w:rsidP="000235D3">
            <w:pPr>
              <w:rPr>
                <w:szCs w:val="22"/>
                <w:lang w:val="sr-Latn-ME"/>
              </w:rPr>
            </w:pPr>
            <w:r w:rsidRPr="00F47241">
              <w:rPr>
                <w:szCs w:val="22"/>
                <w:lang w:val="sr-Latn-ME"/>
              </w:rPr>
              <w:t>2,5ml</w:t>
            </w:r>
          </w:p>
        </w:tc>
        <w:tc>
          <w:tcPr>
            <w:tcW w:w="3210" w:type="dxa"/>
          </w:tcPr>
          <w:p w14:paraId="2D8E9CCB" w14:textId="77777777" w:rsidR="007E533A" w:rsidRPr="00F47241" w:rsidRDefault="007E533A" w:rsidP="000235D3">
            <w:pPr>
              <w:rPr>
                <w:szCs w:val="22"/>
                <w:lang w:val="sr-Latn-ME"/>
              </w:rPr>
            </w:pPr>
            <w:r w:rsidRPr="00F47241">
              <w:rPr>
                <w:szCs w:val="22"/>
                <w:lang w:val="sr-Latn-ME"/>
              </w:rPr>
              <w:t>330 mg/ml</w:t>
            </w:r>
          </w:p>
        </w:tc>
      </w:tr>
    </w:tbl>
    <w:p w14:paraId="58EA5167" w14:textId="77777777" w:rsidR="007E533A" w:rsidRPr="00F47241" w:rsidRDefault="007E533A" w:rsidP="007E533A">
      <w:pPr>
        <w:rPr>
          <w:szCs w:val="22"/>
          <w:lang w:val="sr-Latn-ME"/>
        </w:rPr>
      </w:pPr>
    </w:p>
    <w:p w14:paraId="3041CB17" w14:textId="77777777" w:rsidR="007E533A" w:rsidRPr="00F47241" w:rsidRDefault="007E533A" w:rsidP="007E533A">
      <w:pPr>
        <w:rPr>
          <w:szCs w:val="22"/>
          <w:lang w:val="sr-Latn-ME"/>
        </w:rPr>
      </w:pPr>
      <w:r w:rsidRPr="00F47241">
        <w:rPr>
          <w:szCs w:val="22"/>
          <w:u w:val="single"/>
          <w:lang w:val="sr-Latn-ME"/>
        </w:rPr>
        <w:t>Intravenska infuzija</w:t>
      </w:r>
      <w:r w:rsidRPr="00F47241">
        <w:rPr>
          <w:szCs w:val="22"/>
          <w:lang w:val="sr-Latn-ME"/>
        </w:rPr>
        <w:t xml:space="preserve"> </w:t>
      </w:r>
    </w:p>
    <w:p w14:paraId="6718EFB2" w14:textId="77777777" w:rsidR="007E533A" w:rsidRPr="00F47241" w:rsidRDefault="007E533A" w:rsidP="007E533A">
      <w:pPr>
        <w:rPr>
          <w:szCs w:val="22"/>
          <w:lang w:val="sr-Latn-ME"/>
        </w:rPr>
      </w:pPr>
      <w:r w:rsidRPr="00F47241">
        <w:rPr>
          <w:szCs w:val="22"/>
          <w:lang w:val="sr-Latn-ME"/>
        </w:rPr>
        <w:t>Lijek Cefazolina Qilu 1g se može primijeniti kao kontinuirana infuzija ili intermitentna infuzija.</w:t>
      </w:r>
    </w:p>
    <w:p w14:paraId="42B05E4C" w14:textId="77777777" w:rsidR="007E533A" w:rsidRPr="00F47241" w:rsidRDefault="007E533A" w:rsidP="007E533A">
      <w:pPr>
        <w:rPr>
          <w:szCs w:val="22"/>
          <w:lang w:val="sr-Latn-ME"/>
        </w:rPr>
      </w:pPr>
    </w:p>
    <w:p w14:paraId="031E7343" w14:textId="77777777" w:rsidR="007E533A" w:rsidRPr="00F47241" w:rsidRDefault="007E533A" w:rsidP="007E533A">
      <w:pPr>
        <w:rPr>
          <w:szCs w:val="22"/>
          <w:lang w:val="sr-Latn-ME"/>
        </w:rPr>
      </w:pPr>
      <w:r w:rsidRPr="00F47241">
        <w:rPr>
          <w:szCs w:val="22"/>
          <w:lang w:val="sr-Latn-ME"/>
        </w:rPr>
        <w:t>Lijek Cefazolina Qilu 1g se rastvori u 2,5 ml vode za injekcije. Nakon rekonstitucije, dalje se razblaži sa 50ml do 100 ml jednog od sljedećih rastvarača:</w:t>
      </w:r>
    </w:p>
    <w:p w14:paraId="42388929" w14:textId="77777777" w:rsidR="007E533A" w:rsidRPr="00F47241" w:rsidRDefault="007E533A" w:rsidP="007E533A">
      <w:pPr>
        <w:pStyle w:val="ListParagraph"/>
        <w:numPr>
          <w:ilvl w:val="0"/>
          <w:numId w:val="7"/>
        </w:numPr>
        <w:rPr>
          <w:szCs w:val="22"/>
          <w:lang w:val="sr-Latn-ME"/>
        </w:rPr>
      </w:pPr>
      <w:r w:rsidRPr="00F47241">
        <w:rPr>
          <w:szCs w:val="22"/>
          <w:lang w:val="sr-Latn-ME"/>
        </w:rPr>
        <w:t>Natrijum hlorid 9 mg/ml (0,9%) rastvor za injekciju</w:t>
      </w:r>
    </w:p>
    <w:p w14:paraId="0DF2D01A" w14:textId="77777777" w:rsidR="007E533A" w:rsidRPr="00F47241" w:rsidRDefault="007E533A" w:rsidP="007E533A">
      <w:pPr>
        <w:pStyle w:val="ListParagraph"/>
        <w:numPr>
          <w:ilvl w:val="0"/>
          <w:numId w:val="7"/>
        </w:numPr>
        <w:rPr>
          <w:szCs w:val="22"/>
          <w:lang w:val="sr-Latn-ME"/>
        </w:rPr>
      </w:pPr>
      <w:bookmarkStart w:id="1" w:name="_Hlk119925070"/>
      <w:r w:rsidRPr="00F47241">
        <w:rPr>
          <w:szCs w:val="22"/>
          <w:lang w:val="sr-Latn-ME"/>
        </w:rPr>
        <w:t xml:space="preserve">Laktatni Ringerov rastvor </w:t>
      </w:r>
      <w:bookmarkEnd w:id="1"/>
      <w:r w:rsidRPr="00F47241">
        <w:rPr>
          <w:szCs w:val="22"/>
          <w:lang w:val="sr-Latn-ME"/>
        </w:rPr>
        <w:t>sa 50 mg/ml (5%) glukoze</w:t>
      </w:r>
    </w:p>
    <w:p w14:paraId="372636A2" w14:textId="77777777" w:rsidR="007E533A" w:rsidRPr="00F47241" w:rsidRDefault="007E533A" w:rsidP="007E533A">
      <w:pPr>
        <w:pStyle w:val="ListParagraph"/>
        <w:numPr>
          <w:ilvl w:val="0"/>
          <w:numId w:val="7"/>
        </w:numPr>
        <w:rPr>
          <w:szCs w:val="22"/>
          <w:lang w:val="sr-Latn-ME"/>
        </w:rPr>
      </w:pPr>
      <w:r w:rsidRPr="00F47241">
        <w:rPr>
          <w:szCs w:val="22"/>
          <w:lang w:val="sr-Latn-ME"/>
        </w:rPr>
        <w:t>50 mg/ml (5%) ili 100 mg/ml (10%) rastvora glukoze</w:t>
      </w:r>
    </w:p>
    <w:p w14:paraId="500ABFBD" w14:textId="77777777" w:rsidR="007E533A" w:rsidRPr="00F47241" w:rsidRDefault="007E533A" w:rsidP="007E533A">
      <w:pPr>
        <w:pStyle w:val="ListParagraph"/>
        <w:numPr>
          <w:ilvl w:val="0"/>
          <w:numId w:val="7"/>
        </w:numPr>
        <w:rPr>
          <w:szCs w:val="22"/>
          <w:lang w:val="sr-Latn-ME"/>
        </w:rPr>
      </w:pPr>
      <w:r w:rsidRPr="00F47241">
        <w:rPr>
          <w:szCs w:val="22"/>
          <w:lang w:val="sr-Latn-ME"/>
        </w:rPr>
        <w:t>Ringerov rastvor</w:t>
      </w:r>
    </w:p>
    <w:p w14:paraId="476A9C29" w14:textId="77777777" w:rsidR="007E533A" w:rsidRPr="00F47241" w:rsidRDefault="007E533A" w:rsidP="007E533A">
      <w:pPr>
        <w:pStyle w:val="ListParagraph"/>
        <w:numPr>
          <w:ilvl w:val="0"/>
          <w:numId w:val="7"/>
        </w:numPr>
        <w:rPr>
          <w:szCs w:val="22"/>
          <w:lang w:val="sr-Latn-ME"/>
        </w:rPr>
      </w:pPr>
      <w:r w:rsidRPr="00F47241">
        <w:rPr>
          <w:szCs w:val="22"/>
          <w:lang w:val="sr-Latn-ME"/>
        </w:rPr>
        <w:t>50 mg/ml (5%) rastvora glukoze i 9 mg/ml (0,9%) rastvora natrijum hlorida (ili 4,5 mg/ml (0,45%) rastvor natrijum hlorida sa 50 mg/ml (5%) rastvorom glukoze, ili 2 mg/ml (0.2%) rastvorom natrijum hlorida sa 50 mg/ml (5%) rastvorom glukoze</w:t>
      </w:r>
    </w:p>
    <w:p w14:paraId="5FF5BD50" w14:textId="77777777" w:rsidR="007E533A" w:rsidRPr="00F47241" w:rsidRDefault="007E533A" w:rsidP="007E533A">
      <w:pPr>
        <w:pStyle w:val="ListParagraph"/>
        <w:numPr>
          <w:ilvl w:val="0"/>
          <w:numId w:val="7"/>
        </w:numPr>
        <w:rPr>
          <w:szCs w:val="22"/>
          <w:lang w:val="sr-Latn-ME"/>
        </w:rPr>
      </w:pPr>
      <w:r w:rsidRPr="00F47241">
        <w:rPr>
          <w:szCs w:val="22"/>
          <w:lang w:val="sr-Latn-ME"/>
        </w:rPr>
        <w:t>Laktatni Ringerov rastvor</w:t>
      </w:r>
    </w:p>
    <w:p w14:paraId="716C9FE5" w14:textId="77777777" w:rsidR="007E533A" w:rsidRPr="00F47241" w:rsidRDefault="007E533A" w:rsidP="007E533A">
      <w:pPr>
        <w:pStyle w:val="ListParagraph"/>
        <w:numPr>
          <w:ilvl w:val="0"/>
          <w:numId w:val="7"/>
        </w:numPr>
        <w:rPr>
          <w:szCs w:val="22"/>
          <w:lang w:val="sr-Latn-ME"/>
        </w:rPr>
      </w:pPr>
      <w:r w:rsidRPr="00F47241">
        <w:rPr>
          <w:szCs w:val="22"/>
          <w:lang w:val="sr-Latn-ME"/>
        </w:rPr>
        <w:t>Voda za injekcije sa 50 mg/ml (5%) ili 100 mg/ml (10%) rastvorom invertnog šećera</w:t>
      </w:r>
    </w:p>
    <w:p w14:paraId="6F3EFB5D" w14:textId="77777777" w:rsidR="007E533A" w:rsidRPr="00F47241" w:rsidRDefault="007E533A" w:rsidP="007E533A">
      <w:pPr>
        <w:pStyle w:val="ListParagraph"/>
        <w:numPr>
          <w:ilvl w:val="0"/>
          <w:numId w:val="7"/>
        </w:numPr>
        <w:rPr>
          <w:szCs w:val="22"/>
          <w:lang w:val="sr-Latn-ME"/>
        </w:rPr>
      </w:pPr>
      <w:r w:rsidRPr="00F47241">
        <w:rPr>
          <w:szCs w:val="22"/>
          <w:lang w:val="sr-Latn-ME"/>
        </w:rPr>
        <w:t>Voda za injekcije.</w:t>
      </w:r>
    </w:p>
    <w:p w14:paraId="5E3E23A2" w14:textId="77777777" w:rsidR="007E533A" w:rsidRPr="00F47241" w:rsidRDefault="007E533A" w:rsidP="007E533A">
      <w:pPr>
        <w:pStyle w:val="NASLOV123"/>
        <w:spacing w:before="0" w:after="0"/>
        <w:jc w:val="both"/>
        <w:rPr>
          <w:lang w:val="sr-Latn-ME"/>
        </w:rPr>
      </w:pPr>
    </w:p>
    <w:p w14:paraId="10E9D9A4" w14:textId="77777777" w:rsidR="007E533A" w:rsidRPr="00F47241" w:rsidRDefault="007E533A" w:rsidP="007E533A">
      <w:pPr>
        <w:pStyle w:val="NASLOV123"/>
        <w:spacing w:before="0" w:after="0"/>
        <w:jc w:val="both"/>
        <w:rPr>
          <w:lang w:val="sr-Latn-ME"/>
        </w:rPr>
      </w:pPr>
    </w:p>
    <w:p w14:paraId="764F2F9B" w14:textId="77777777" w:rsidR="007E533A" w:rsidRPr="00F47241" w:rsidRDefault="007E533A" w:rsidP="007E533A">
      <w:pPr>
        <w:pStyle w:val="NASLOV123"/>
        <w:spacing w:before="0" w:after="0"/>
        <w:jc w:val="both"/>
        <w:rPr>
          <w:lang w:val="sr-Latn-ME"/>
        </w:rPr>
      </w:pPr>
      <w:r w:rsidRPr="00F47241">
        <w:rPr>
          <w:lang w:val="sr-Latn-ME"/>
        </w:rPr>
        <w:t xml:space="preserve">7. NOSILAC DOZVOLE </w:t>
      </w:r>
    </w:p>
    <w:p w14:paraId="56E25501" w14:textId="77777777" w:rsidR="007E533A" w:rsidRPr="00F47241" w:rsidRDefault="007E533A" w:rsidP="007E533A">
      <w:pPr>
        <w:pStyle w:val="NoSpacing"/>
        <w:jc w:val="both"/>
        <w:rPr>
          <w:rFonts w:eastAsia="Calibri"/>
          <w:sz w:val="22"/>
          <w:szCs w:val="22"/>
          <w:lang w:val="sr-Latn-ME"/>
        </w:rPr>
      </w:pPr>
      <w:bookmarkStart w:id="2" w:name="_Hlk119935859"/>
    </w:p>
    <w:p w14:paraId="43E3DF67" w14:textId="77777777" w:rsidR="007E533A" w:rsidRPr="00F47241" w:rsidRDefault="007E533A" w:rsidP="007E533A">
      <w:pPr>
        <w:pStyle w:val="NoSpacing"/>
        <w:jc w:val="both"/>
        <w:rPr>
          <w:rFonts w:eastAsia="Calibri"/>
          <w:sz w:val="22"/>
          <w:szCs w:val="22"/>
          <w:lang w:val="sr-Latn-ME"/>
        </w:rPr>
      </w:pPr>
      <w:r w:rsidRPr="00F47241">
        <w:rPr>
          <w:rFonts w:eastAsia="Calibri"/>
          <w:sz w:val="22"/>
          <w:szCs w:val="22"/>
          <w:lang w:val="sr-Latn-ME"/>
        </w:rPr>
        <w:t>Društvo za trgovinu, promet i usluge “Pontera Pharma Solutions” doo Podgorica</w:t>
      </w:r>
    </w:p>
    <w:p w14:paraId="17FE5CAB" w14:textId="77777777" w:rsidR="007E533A" w:rsidRPr="00F47241" w:rsidRDefault="007E533A" w:rsidP="007E533A">
      <w:pPr>
        <w:pStyle w:val="NoSpacing"/>
        <w:jc w:val="both"/>
        <w:rPr>
          <w:sz w:val="22"/>
          <w:szCs w:val="22"/>
          <w:lang w:val="sr-Latn-ME"/>
        </w:rPr>
      </w:pPr>
      <w:r w:rsidRPr="00F47241">
        <w:rPr>
          <w:rFonts w:eastAsia="Calibri"/>
          <w:sz w:val="22"/>
          <w:szCs w:val="22"/>
          <w:lang w:val="sr-Latn-ME"/>
        </w:rPr>
        <w:t>Cijevna bb, 81000 Podgorica, Crna Gora</w:t>
      </w:r>
    </w:p>
    <w:bookmarkEnd w:id="2"/>
    <w:p w14:paraId="1435D554" w14:textId="77777777" w:rsidR="007E533A" w:rsidRPr="00F47241" w:rsidRDefault="007E533A" w:rsidP="007E533A">
      <w:pPr>
        <w:pStyle w:val="NASLOV123"/>
        <w:spacing w:before="0" w:after="0"/>
        <w:jc w:val="both"/>
        <w:rPr>
          <w:lang w:val="sr-Latn-ME"/>
        </w:rPr>
      </w:pPr>
    </w:p>
    <w:p w14:paraId="7045BCBF" w14:textId="77777777" w:rsidR="007E533A" w:rsidRPr="00F47241" w:rsidRDefault="007E533A" w:rsidP="007E533A">
      <w:pPr>
        <w:pStyle w:val="NASLOV123"/>
        <w:spacing w:before="0" w:after="0"/>
        <w:jc w:val="both"/>
        <w:rPr>
          <w:lang w:val="sr-Latn-ME"/>
        </w:rPr>
      </w:pPr>
    </w:p>
    <w:p w14:paraId="3E66E54C" w14:textId="77777777" w:rsidR="007E533A" w:rsidRPr="00F47241" w:rsidRDefault="007E533A" w:rsidP="007E533A">
      <w:pPr>
        <w:pStyle w:val="NASLOV123"/>
        <w:spacing w:before="0" w:after="0"/>
        <w:jc w:val="both"/>
        <w:rPr>
          <w:lang w:val="sr-Latn-ME"/>
        </w:rPr>
      </w:pPr>
      <w:r w:rsidRPr="00F47241">
        <w:rPr>
          <w:lang w:val="sr-Latn-ME"/>
        </w:rPr>
        <w:t>8. BROJ DOZVOLE ZA STAVLJANJE LIJEKA U PROMET</w:t>
      </w:r>
    </w:p>
    <w:p w14:paraId="0C775C78" w14:textId="77777777" w:rsidR="007E533A" w:rsidRPr="00F47241" w:rsidRDefault="007E533A" w:rsidP="007E533A">
      <w:pPr>
        <w:pStyle w:val="NASLOV123"/>
        <w:spacing w:before="0" w:after="0"/>
        <w:jc w:val="both"/>
        <w:rPr>
          <w:lang w:val="sr-Latn-ME"/>
        </w:rPr>
      </w:pPr>
    </w:p>
    <w:p w14:paraId="5A23227C" w14:textId="1E12E9AC" w:rsidR="007E533A" w:rsidRPr="00F47241" w:rsidRDefault="00F47241" w:rsidP="007E533A">
      <w:pPr>
        <w:pStyle w:val="NASLOV123"/>
        <w:spacing w:before="0" w:after="0"/>
        <w:jc w:val="both"/>
        <w:rPr>
          <w:b w:val="0"/>
          <w:lang w:val="sr-Latn-ME"/>
        </w:rPr>
      </w:pPr>
      <w:r w:rsidRPr="00F47241">
        <w:rPr>
          <w:rFonts w:ascii="TimesNewRoman" w:eastAsiaTheme="minorHAnsi" w:hAnsi="TimesNewRoman" w:cs="TimesNewRoman"/>
          <w:b w:val="0"/>
        </w:rPr>
        <w:t>2030/23/4597 - 7848</w:t>
      </w:r>
    </w:p>
    <w:p w14:paraId="10EEE669" w14:textId="78376783" w:rsidR="007E533A" w:rsidRDefault="007E533A" w:rsidP="007E533A">
      <w:pPr>
        <w:pStyle w:val="NASLOV123"/>
        <w:spacing w:before="0" w:after="0"/>
        <w:jc w:val="both"/>
        <w:rPr>
          <w:lang w:val="sr-Latn-ME"/>
        </w:rPr>
      </w:pPr>
    </w:p>
    <w:p w14:paraId="008B0DC5" w14:textId="77777777" w:rsidR="00F47241" w:rsidRPr="00F47241" w:rsidRDefault="00F47241" w:rsidP="007E533A">
      <w:pPr>
        <w:pStyle w:val="NASLOV123"/>
        <w:spacing w:before="0" w:after="0"/>
        <w:jc w:val="both"/>
        <w:rPr>
          <w:lang w:val="sr-Latn-ME"/>
        </w:rPr>
      </w:pPr>
    </w:p>
    <w:p w14:paraId="380A0B2F" w14:textId="77777777" w:rsidR="007E533A" w:rsidRPr="00F47241" w:rsidRDefault="007E533A" w:rsidP="007E533A">
      <w:pPr>
        <w:pStyle w:val="NASLOV123"/>
        <w:spacing w:before="0" w:after="0"/>
        <w:jc w:val="both"/>
        <w:rPr>
          <w:lang w:val="sr-Latn-ME"/>
        </w:rPr>
      </w:pPr>
      <w:r w:rsidRPr="00F47241">
        <w:rPr>
          <w:lang w:val="sr-Latn-ME"/>
        </w:rPr>
        <w:t>9. DATUM PRVE DOZVOLE/OBNOVE DOZVOLE ZA STAVLJANJE LIJEKA U PROMET</w:t>
      </w:r>
    </w:p>
    <w:p w14:paraId="745BD706" w14:textId="77777777" w:rsidR="007E533A" w:rsidRPr="00F47241" w:rsidRDefault="007E533A" w:rsidP="007E533A">
      <w:pPr>
        <w:pStyle w:val="NASLOV123"/>
        <w:spacing w:before="0" w:after="0"/>
        <w:jc w:val="both"/>
        <w:rPr>
          <w:lang w:val="sr-Latn-ME"/>
        </w:rPr>
      </w:pPr>
    </w:p>
    <w:p w14:paraId="0254EFEE" w14:textId="4B243175" w:rsidR="007E533A" w:rsidRPr="00F47241" w:rsidRDefault="00F47241" w:rsidP="007E533A">
      <w:pPr>
        <w:pStyle w:val="NASLOV123"/>
        <w:spacing w:before="0" w:after="0"/>
        <w:jc w:val="both"/>
        <w:rPr>
          <w:b w:val="0"/>
          <w:lang w:val="sr-Latn-ME"/>
        </w:rPr>
      </w:pPr>
      <w:r w:rsidRPr="00F47241">
        <w:rPr>
          <w:rFonts w:ascii="TimesNewRoman" w:eastAsiaTheme="minorHAnsi" w:hAnsi="TimesNewRoman" w:cs="TimesNewRoman"/>
          <w:b w:val="0"/>
          <w:lang w:val="sr-Latn-ME"/>
        </w:rPr>
        <w:t>12.12.2023. godine</w:t>
      </w:r>
    </w:p>
    <w:p w14:paraId="0F851C8F" w14:textId="6DBE1BD0" w:rsidR="007E533A" w:rsidRDefault="007E533A" w:rsidP="007E533A">
      <w:pPr>
        <w:pStyle w:val="NASLOV123"/>
        <w:spacing w:before="0" w:after="0"/>
        <w:jc w:val="both"/>
        <w:rPr>
          <w:lang w:val="sr-Latn-ME"/>
        </w:rPr>
      </w:pPr>
    </w:p>
    <w:p w14:paraId="313DEB7B" w14:textId="77777777" w:rsidR="00F47241" w:rsidRPr="00F47241" w:rsidRDefault="00F47241" w:rsidP="007E533A">
      <w:pPr>
        <w:pStyle w:val="NASLOV123"/>
        <w:spacing w:before="0" w:after="0"/>
        <w:jc w:val="both"/>
        <w:rPr>
          <w:lang w:val="sr-Latn-ME"/>
        </w:rPr>
      </w:pPr>
      <w:bookmarkStart w:id="3" w:name="_GoBack"/>
      <w:bookmarkEnd w:id="3"/>
    </w:p>
    <w:p w14:paraId="00A55C0B" w14:textId="77777777" w:rsidR="007E533A" w:rsidRPr="00F47241" w:rsidRDefault="007E533A" w:rsidP="007E533A">
      <w:pPr>
        <w:pStyle w:val="NASLOV123"/>
        <w:spacing w:before="0" w:after="0"/>
        <w:jc w:val="both"/>
        <w:rPr>
          <w:lang w:val="sr-Latn-ME"/>
        </w:rPr>
      </w:pPr>
      <w:r w:rsidRPr="00F47241">
        <w:rPr>
          <w:lang w:val="sr-Latn-ME"/>
        </w:rPr>
        <w:t>10. DATUM REVIZIJE TEKSTA</w:t>
      </w:r>
    </w:p>
    <w:p w14:paraId="62C8BE0D" w14:textId="65DBFA15" w:rsidR="007E533A" w:rsidRPr="00F47241" w:rsidRDefault="007E533A" w:rsidP="007E533A">
      <w:pPr>
        <w:pStyle w:val="NASLOV123"/>
        <w:spacing w:before="0" w:after="0"/>
        <w:jc w:val="both"/>
        <w:rPr>
          <w:b w:val="0"/>
          <w:bCs/>
          <w:lang w:val="sr-Latn-ME"/>
        </w:rPr>
      </w:pPr>
    </w:p>
    <w:p w14:paraId="4315D870" w14:textId="328330D9" w:rsidR="00F47241" w:rsidRPr="00F47241" w:rsidRDefault="00F47241" w:rsidP="007E533A">
      <w:pPr>
        <w:pStyle w:val="NASLOV123"/>
        <w:spacing w:before="0" w:after="0"/>
        <w:jc w:val="both"/>
        <w:rPr>
          <w:b w:val="0"/>
          <w:bCs/>
          <w:lang w:val="sr-Latn-ME"/>
        </w:rPr>
      </w:pPr>
      <w:r w:rsidRPr="00F47241">
        <w:rPr>
          <w:rFonts w:ascii="TimesNewRoman" w:eastAsiaTheme="minorHAnsi" w:hAnsi="TimesNewRoman" w:cs="TimesNewRoman"/>
          <w:b w:val="0"/>
          <w:lang w:val="sr-Latn-ME"/>
        </w:rPr>
        <w:t xml:space="preserve">Decembar, </w:t>
      </w:r>
      <w:r w:rsidRPr="00F47241">
        <w:rPr>
          <w:rFonts w:ascii="TimesNewRoman" w:eastAsiaTheme="minorHAnsi" w:hAnsi="TimesNewRoman" w:cs="TimesNewRoman"/>
          <w:b w:val="0"/>
          <w:lang w:val="sr-Latn-ME"/>
        </w:rPr>
        <w:t>2023. godine</w:t>
      </w:r>
    </w:p>
    <w:p w14:paraId="4A2FF16F" w14:textId="77777777" w:rsidR="007E533A" w:rsidRPr="00F47241" w:rsidRDefault="007E533A" w:rsidP="007E533A">
      <w:pPr>
        <w:pStyle w:val="NASLOV123"/>
        <w:spacing w:before="0" w:after="0"/>
        <w:jc w:val="both"/>
        <w:rPr>
          <w:b w:val="0"/>
          <w:bCs/>
          <w:lang w:val="sr-Latn-ME"/>
        </w:rPr>
      </w:pPr>
    </w:p>
    <w:p w14:paraId="29DB1403" w14:textId="77777777" w:rsidR="00C564F4" w:rsidRPr="00F47241" w:rsidRDefault="00C564F4">
      <w:pPr>
        <w:rPr>
          <w:lang w:val="sr-Latn-ME"/>
        </w:rPr>
      </w:pPr>
    </w:p>
    <w:sectPr w:rsidR="00C564F4" w:rsidRPr="00F47241" w:rsidSect="00DD2A82">
      <w:footerReference w:type="even" r:id="rId11"/>
      <w:footerReference w:type="default" r:id="rId12"/>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3C803" w14:textId="77777777" w:rsidR="00AB30ED" w:rsidRDefault="00AB30ED">
      <w:r>
        <w:separator/>
      </w:r>
    </w:p>
  </w:endnote>
  <w:endnote w:type="continuationSeparator" w:id="0">
    <w:p w14:paraId="2C24761F" w14:textId="77777777" w:rsidR="00AB30ED" w:rsidRDefault="00AB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8093A" w14:textId="77777777" w:rsidR="007E533A" w:rsidRDefault="007E533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6D4A1" w14:textId="77777777" w:rsidR="007E533A" w:rsidRDefault="007E53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DEEE" w14:textId="7235B202" w:rsidR="007E533A" w:rsidRDefault="00AB30ED"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7E533A" w:rsidRPr="005A4234">
              <w:rPr>
                <w:sz w:val="18"/>
                <w:szCs w:val="18"/>
              </w:rPr>
              <w:fldChar w:fldCharType="begin"/>
            </w:r>
            <w:r w:rsidR="007E533A" w:rsidRPr="005A4234">
              <w:rPr>
                <w:sz w:val="18"/>
                <w:szCs w:val="18"/>
              </w:rPr>
              <w:instrText xml:space="preserve"> PAGE </w:instrText>
            </w:r>
            <w:r w:rsidR="007E533A" w:rsidRPr="005A4234">
              <w:rPr>
                <w:sz w:val="18"/>
                <w:szCs w:val="18"/>
              </w:rPr>
              <w:fldChar w:fldCharType="separate"/>
            </w:r>
            <w:r w:rsidR="00F47241">
              <w:rPr>
                <w:noProof/>
                <w:sz w:val="18"/>
                <w:szCs w:val="18"/>
              </w:rPr>
              <w:t>13</w:t>
            </w:r>
            <w:r w:rsidR="007E533A" w:rsidRPr="005A4234">
              <w:rPr>
                <w:sz w:val="18"/>
                <w:szCs w:val="18"/>
              </w:rPr>
              <w:fldChar w:fldCharType="end"/>
            </w:r>
            <w:r w:rsidR="007E533A" w:rsidRPr="005A4234">
              <w:rPr>
                <w:sz w:val="18"/>
                <w:szCs w:val="18"/>
              </w:rPr>
              <w:t xml:space="preserve"> </w:t>
            </w:r>
            <w:r w:rsidR="007E533A">
              <w:rPr>
                <w:sz w:val="18"/>
                <w:szCs w:val="18"/>
              </w:rPr>
              <w:t>/</w:t>
            </w:r>
            <w:r w:rsidR="007E533A" w:rsidRPr="005A4234">
              <w:rPr>
                <w:sz w:val="18"/>
                <w:szCs w:val="18"/>
              </w:rPr>
              <w:t xml:space="preserve"> </w:t>
            </w:r>
            <w:r w:rsidR="007E533A" w:rsidRPr="005A4234">
              <w:rPr>
                <w:sz w:val="18"/>
                <w:szCs w:val="18"/>
              </w:rPr>
              <w:fldChar w:fldCharType="begin"/>
            </w:r>
            <w:r w:rsidR="007E533A" w:rsidRPr="005A4234">
              <w:rPr>
                <w:sz w:val="18"/>
                <w:szCs w:val="18"/>
              </w:rPr>
              <w:instrText xml:space="preserve"> NUMPAGES  </w:instrText>
            </w:r>
            <w:r w:rsidR="007E533A" w:rsidRPr="005A4234">
              <w:rPr>
                <w:sz w:val="18"/>
                <w:szCs w:val="18"/>
              </w:rPr>
              <w:fldChar w:fldCharType="separate"/>
            </w:r>
            <w:r w:rsidR="00F47241">
              <w:rPr>
                <w:noProof/>
                <w:sz w:val="18"/>
                <w:szCs w:val="18"/>
              </w:rPr>
              <w:t>13</w:t>
            </w:r>
            <w:r w:rsidR="007E533A" w:rsidRPr="005A4234">
              <w:rPr>
                <w:sz w:val="18"/>
                <w:szCs w:val="18"/>
              </w:rPr>
              <w:fldChar w:fldCharType="end"/>
            </w:r>
          </w:sdtContent>
        </w:sdt>
      </w:sdtContent>
    </w:sdt>
  </w:p>
  <w:p w14:paraId="19F00FEE" w14:textId="77777777" w:rsidR="007E533A" w:rsidRPr="00C536C2" w:rsidRDefault="007E533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02131" w14:textId="77777777" w:rsidR="00AB30ED" w:rsidRDefault="00AB30ED">
      <w:r>
        <w:separator/>
      </w:r>
    </w:p>
  </w:footnote>
  <w:footnote w:type="continuationSeparator" w:id="0">
    <w:p w14:paraId="29AFED9E" w14:textId="77777777" w:rsidR="00AB30ED" w:rsidRDefault="00AB3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BE0"/>
    <w:multiLevelType w:val="hybridMultilevel"/>
    <w:tmpl w:val="56E0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3C35278"/>
    <w:multiLevelType w:val="hybridMultilevel"/>
    <w:tmpl w:val="0902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41DCD"/>
    <w:multiLevelType w:val="hybridMultilevel"/>
    <w:tmpl w:val="40B0352E"/>
    <w:lvl w:ilvl="0" w:tplc="F342D7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585BE2"/>
    <w:multiLevelType w:val="hybridMultilevel"/>
    <w:tmpl w:val="C95C6396"/>
    <w:lvl w:ilvl="0" w:tplc="E6446E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13951"/>
    <w:multiLevelType w:val="hybridMultilevel"/>
    <w:tmpl w:val="40EA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3538F"/>
    <w:multiLevelType w:val="hybridMultilevel"/>
    <w:tmpl w:val="54862332"/>
    <w:lvl w:ilvl="0" w:tplc="0DE8C1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9385ECD"/>
    <w:multiLevelType w:val="hybridMultilevel"/>
    <w:tmpl w:val="38929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F7D88"/>
    <w:multiLevelType w:val="hybridMultilevel"/>
    <w:tmpl w:val="3E4E9D5E"/>
    <w:lvl w:ilvl="0" w:tplc="4432BA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B278F"/>
    <w:multiLevelType w:val="hybridMultilevel"/>
    <w:tmpl w:val="8A50B24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11" w15:restartNumberingAfterBreak="0">
    <w:nsid w:val="4EBF2E42"/>
    <w:multiLevelType w:val="hybridMultilevel"/>
    <w:tmpl w:val="9026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740D7"/>
    <w:multiLevelType w:val="hybridMultilevel"/>
    <w:tmpl w:val="234A3F16"/>
    <w:lvl w:ilvl="0" w:tplc="EFAE9D5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38083B"/>
    <w:multiLevelType w:val="hybridMultilevel"/>
    <w:tmpl w:val="D5DE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B6156"/>
    <w:multiLevelType w:val="hybridMultilevel"/>
    <w:tmpl w:val="D692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66CE"/>
    <w:multiLevelType w:val="hybridMultilevel"/>
    <w:tmpl w:val="FFE0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
    <w:lvlOverride w:ilvl="0">
      <w:startOverride w:val="7"/>
    </w:lvlOverride>
  </w:num>
  <w:num w:numId="3">
    <w:abstractNumId w:val="16"/>
  </w:num>
  <w:num w:numId="4">
    <w:abstractNumId w:val="3"/>
  </w:num>
  <w:num w:numId="5">
    <w:abstractNumId w:val="2"/>
  </w:num>
  <w:num w:numId="6">
    <w:abstractNumId w:val="11"/>
  </w:num>
  <w:num w:numId="7">
    <w:abstractNumId w:val="0"/>
  </w:num>
  <w:num w:numId="8">
    <w:abstractNumId w:val="5"/>
  </w:num>
  <w:num w:numId="9">
    <w:abstractNumId w:val="10"/>
  </w:num>
  <w:num w:numId="10">
    <w:abstractNumId w:val="8"/>
  </w:num>
  <w:num w:numId="11">
    <w:abstractNumId w:val="12"/>
  </w:num>
  <w:num w:numId="12">
    <w:abstractNumId w:val="14"/>
  </w:num>
  <w:num w:numId="13">
    <w:abstractNumId w:val="6"/>
  </w:num>
  <w:num w:numId="14">
    <w:abstractNumId w:val="7"/>
  </w:num>
  <w:num w:numId="15">
    <w:abstractNumId w:val="1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3A"/>
    <w:rsid w:val="007E533A"/>
    <w:rsid w:val="00AB30ED"/>
    <w:rsid w:val="00C056AC"/>
    <w:rsid w:val="00C564F4"/>
    <w:rsid w:val="00F4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9714"/>
  <w15:chartTrackingRefBased/>
  <w15:docId w15:val="{830ABB31-7CD7-4E32-9F9E-3FF6FBB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3A"/>
    <w:pPr>
      <w:tabs>
        <w:tab w:val="left" w:pos="284"/>
      </w:tabs>
      <w:spacing w:after="0" w:line="240" w:lineRule="auto"/>
      <w:jc w:val="both"/>
    </w:pPr>
    <w:rPr>
      <w:rFonts w:ascii="Times New Roman" w:eastAsia="Times New Roman" w:hAnsi="Times New Roman" w:cs="Times New Roman"/>
      <w:szCs w:val="24"/>
    </w:rPr>
  </w:style>
  <w:style w:type="paragraph" w:styleId="Heading1">
    <w:name w:val="heading 1"/>
    <w:basedOn w:val="Normal"/>
    <w:next w:val="Normal"/>
    <w:link w:val="Heading1Char"/>
    <w:qFormat/>
    <w:rsid w:val="007E533A"/>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7E533A"/>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7E533A"/>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7E533A"/>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33A"/>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E533A"/>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7E533A"/>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7E533A"/>
    <w:rPr>
      <w:rFonts w:ascii="Arial" w:eastAsia="Times New Roman" w:hAnsi="Arial" w:cs="Arial"/>
      <w:i/>
      <w:iCs/>
      <w:color w:val="999999"/>
      <w:sz w:val="16"/>
      <w:szCs w:val="24"/>
    </w:rPr>
  </w:style>
  <w:style w:type="paragraph" w:styleId="Header">
    <w:name w:val="header"/>
    <w:basedOn w:val="Normal"/>
    <w:link w:val="HeaderChar"/>
    <w:rsid w:val="007E533A"/>
    <w:pPr>
      <w:tabs>
        <w:tab w:val="clear" w:pos="284"/>
        <w:tab w:val="center" w:pos="4536"/>
        <w:tab w:val="right" w:pos="9072"/>
      </w:tabs>
    </w:pPr>
  </w:style>
  <w:style w:type="character" w:customStyle="1" w:styleId="HeaderChar">
    <w:name w:val="Header Char"/>
    <w:basedOn w:val="DefaultParagraphFont"/>
    <w:link w:val="Header"/>
    <w:rsid w:val="007E533A"/>
    <w:rPr>
      <w:rFonts w:ascii="Times New Roman" w:eastAsia="Times New Roman" w:hAnsi="Times New Roman" w:cs="Times New Roman"/>
      <w:szCs w:val="24"/>
    </w:rPr>
  </w:style>
  <w:style w:type="paragraph" w:styleId="Footer">
    <w:name w:val="footer"/>
    <w:basedOn w:val="Normal"/>
    <w:link w:val="FooterChar"/>
    <w:uiPriority w:val="99"/>
    <w:rsid w:val="007E533A"/>
    <w:pPr>
      <w:tabs>
        <w:tab w:val="clear" w:pos="284"/>
        <w:tab w:val="center" w:pos="4536"/>
        <w:tab w:val="right" w:pos="9072"/>
      </w:tabs>
    </w:pPr>
  </w:style>
  <w:style w:type="character" w:customStyle="1" w:styleId="FooterChar">
    <w:name w:val="Footer Char"/>
    <w:basedOn w:val="DefaultParagraphFont"/>
    <w:link w:val="Footer"/>
    <w:uiPriority w:val="99"/>
    <w:rsid w:val="007E533A"/>
    <w:rPr>
      <w:rFonts w:ascii="Times New Roman" w:eastAsia="Times New Roman" w:hAnsi="Times New Roman" w:cs="Times New Roman"/>
      <w:szCs w:val="24"/>
    </w:rPr>
  </w:style>
  <w:style w:type="character" w:styleId="PageNumber">
    <w:name w:val="page number"/>
    <w:basedOn w:val="DefaultParagraphFont"/>
    <w:rsid w:val="007E533A"/>
  </w:style>
  <w:style w:type="character" w:styleId="CommentReference">
    <w:name w:val="annotation reference"/>
    <w:rsid w:val="007E533A"/>
    <w:rPr>
      <w:sz w:val="16"/>
      <w:szCs w:val="16"/>
    </w:rPr>
  </w:style>
  <w:style w:type="paragraph" w:styleId="CommentText">
    <w:name w:val="annotation text"/>
    <w:basedOn w:val="Normal"/>
    <w:link w:val="CommentTextChar"/>
    <w:semiHidden/>
    <w:rsid w:val="007E533A"/>
    <w:rPr>
      <w:sz w:val="20"/>
      <w:szCs w:val="20"/>
    </w:rPr>
  </w:style>
  <w:style w:type="character" w:customStyle="1" w:styleId="CommentTextChar">
    <w:name w:val="Comment Text Char"/>
    <w:basedOn w:val="DefaultParagraphFont"/>
    <w:link w:val="CommentText"/>
    <w:semiHidden/>
    <w:rsid w:val="007E5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E533A"/>
    <w:rPr>
      <w:b/>
      <w:bCs/>
    </w:rPr>
  </w:style>
  <w:style w:type="character" w:customStyle="1" w:styleId="CommentSubjectChar">
    <w:name w:val="Comment Subject Char"/>
    <w:basedOn w:val="CommentTextChar"/>
    <w:link w:val="CommentSubject"/>
    <w:semiHidden/>
    <w:rsid w:val="007E533A"/>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E533A"/>
    <w:rPr>
      <w:rFonts w:ascii="Tahoma" w:hAnsi="Tahoma" w:cs="Tahoma"/>
      <w:sz w:val="16"/>
      <w:szCs w:val="16"/>
    </w:rPr>
  </w:style>
  <w:style w:type="character" w:customStyle="1" w:styleId="BalloonTextChar">
    <w:name w:val="Balloon Text Char"/>
    <w:basedOn w:val="DefaultParagraphFont"/>
    <w:link w:val="BalloonText"/>
    <w:semiHidden/>
    <w:rsid w:val="007E533A"/>
    <w:rPr>
      <w:rFonts w:ascii="Tahoma" w:eastAsia="Times New Roman" w:hAnsi="Tahoma" w:cs="Tahoma"/>
      <w:sz w:val="16"/>
      <w:szCs w:val="16"/>
    </w:rPr>
  </w:style>
  <w:style w:type="paragraph" w:customStyle="1" w:styleId="NASLOV123">
    <w:name w:val="NASLOV 123"/>
    <w:basedOn w:val="Normal"/>
    <w:qFormat/>
    <w:rsid w:val="007E533A"/>
    <w:pPr>
      <w:spacing w:before="200" w:after="200"/>
      <w:jc w:val="left"/>
    </w:pPr>
    <w:rPr>
      <w:b/>
      <w:szCs w:val="22"/>
    </w:rPr>
  </w:style>
  <w:style w:type="paragraph" w:styleId="ListParagraph">
    <w:name w:val="List Paragraph"/>
    <w:basedOn w:val="Normal"/>
    <w:uiPriority w:val="34"/>
    <w:qFormat/>
    <w:rsid w:val="007E533A"/>
    <w:pPr>
      <w:ind w:left="720"/>
      <w:contextualSpacing/>
    </w:pPr>
  </w:style>
  <w:style w:type="table" w:styleId="TableGrid">
    <w:name w:val="Table Grid"/>
    <w:basedOn w:val="TableNormal"/>
    <w:uiPriority w:val="39"/>
    <w:rsid w:val="007E53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E533A"/>
    <w:rPr>
      <w:color w:val="0563C1" w:themeColor="hyperlink"/>
      <w:u w:val="single"/>
    </w:rPr>
  </w:style>
  <w:style w:type="paragraph" w:customStyle="1" w:styleId="Default">
    <w:name w:val="Default"/>
    <w:rsid w:val="007E53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E533A"/>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E533A"/>
    <w:pPr>
      <w:widowControl w:val="0"/>
      <w:tabs>
        <w:tab w:val="clear" w:pos="284"/>
      </w:tabs>
      <w:autoSpaceDE w:val="0"/>
      <w:autoSpaceDN w:val="0"/>
      <w:spacing w:line="246" w:lineRule="exact"/>
      <w:ind w:left="4"/>
      <w:jc w:val="left"/>
    </w:pPr>
    <w:rPr>
      <w:szCs w:val="22"/>
      <w:lang w:val="hr-HR"/>
    </w:rPr>
  </w:style>
  <w:style w:type="paragraph" w:styleId="BodyText">
    <w:name w:val="Body Text"/>
    <w:basedOn w:val="Normal"/>
    <w:link w:val="BodyTextChar"/>
    <w:semiHidden/>
    <w:unhideWhenUsed/>
    <w:rsid w:val="007E533A"/>
    <w:pPr>
      <w:spacing w:after="120"/>
    </w:pPr>
  </w:style>
  <w:style w:type="character" w:customStyle="1" w:styleId="BodyTextChar">
    <w:name w:val="Body Text Char"/>
    <w:basedOn w:val="DefaultParagraphFont"/>
    <w:link w:val="BodyText"/>
    <w:semiHidden/>
    <w:rsid w:val="007E533A"/>
    <w:rPr>
      <w:rFonts w:ascii="Times New Roman" w:eastAsia="Times New Roman" w:hAnsi="Times New Roman" w:cs="Times New Roman"/>
      <w:szCs w:val="24"/>
    </w:rPr>
  </w:style>
  <w:style w:type="paragraph" w:styleId="Revision">
    <w:name w:val="Revision"/>
    <w:hidden/>
    <w:uiPriority w:val="99"/>
    <w:semiHidden/>
    <w:rsid w:val="007E533A"/>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4698</Words>
  <Characters>26781</Characters>
  <Application>Microsoft Office Word</Application>
  <DocSecurity>0</DocSecurity>
  <Lines>223</Lines>
  <Paragraphs>62</Paragraphs>
  <ScaleCrop>false</ScaleCrop>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Klikovac</dc:creator>
  <cp:keywords/>
  <dc:description/>
  <cp:lastModifiedBy>Tatjana Banković</cp:lastModifiedBy>
  <cp:revision>2</cp:revision>
  <dcterms:created xsi:type="dcterms:W3CDTF">2023-12-11T08:26:00Z</dcterms:created>
  <dcterms:modified xsi:type="dcterms:W3CDTF">2023-12-11T13:35:00Z</dcterms:modified>
</cp:coreProperties>
</file>